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19" w:rsidRDefault="00B96919" w:rsidP="00FB74B6">
      <w:pPr>
        <w:tabs>
          <w:tab w:val="left" w:pos="720"/>
          <w:tab w:val="left" w:pos="1440"/>
        </w:tabs>
        <w:ind w:left="1440" w:hanging="1440"/>
      </w:pPr>
    </w:p>
    <w:p w:rsidR="00D439B6" w:rsidRDefault="00DC5488" w:rsidP="00FB74B6">
      <w:pPr>
        <w:tabs>
          <w:tab w:val="left" w:pos="720"/>
          <w:tab w:val="left" w:pos="1440"/>
        </w:tabs>
        <w:ind w:left="1440" w:hanging="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5pt;margin-top:12.25pt;width:500.1pt;height:583.2pt;z-index:-251658752">
            <v:imagedata r:id="rId9" o:title="" gain="19661f" blacklevel="22938f"/>
          </v:shape>
          <o:OLEObject Type="Embed" ProgID="MS_ClipArt_Gallery.5" ShapeID="_x0000_s1027" DrawAspect="Content" ObjectID="_1448274807" r:id="rId10"/>
        </w:pict>
      </w: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Default="00D439B6" w:rsidP="00D439B6">
      <w:pPr>
        <w:suppressAutoHyphens w:val="0"/>
        <w:jc w:val="left"/>
      </w:pPr>
    </w:p>
    <w:p w:rsidR="00D439B6" w:rsidRPr="00D439B6" w:rsidRDefault="00D439B6" w:rsidP="00D439B6">
      <w:pPr>
        <w:keepNext/>
        <w:suppressAutoHyphens w:val="0"/>
        <w:jc w:val="center"/>
        <w:outlineLvl w:val="0"/>
        <w:rPr>
          <w:b/>
          <w:sz w:val="72"/>
        </w:rPr>
      </w:pPr>
      <w:r w:rsidRPr="00D439B6">
        <w:rPr>
          <w:b/>
          <w:sz w:val="72"/>
        </w:rPr>
        <w:t>Minnesota Court of Appeals</w:t>
      </w:r>
    </w:p>
    <w:p w:rsidR="00D439B6" w:rsidRPr="00D439B6" w:rsidRDefault="00D439B6" w:rsidP="00D439B6">
      <w:pPr>
        <w:suppressAutoHyphens w:val="0"/>
        <w:jc w:val="center"/>
        <w:rPr>
          <w:b/>
          <w:sz w:val="72"/>
        </w:rPr>
      </w:pPr>
    </w:p>
    <w:p w:rsidR="00D439B6" w:rsidRPr="00D439B6" w:rsidRDefault="00D439B6" w:rsidP="00D439B6">
      <w:pPr>
        <w:suppressAutoHyphens w:val="0"/>
        <w:jc w:val="center"/>
        <w:rPr>
          <w:b/>
          <w:sz w:val="72"/>
        </w:rPr>
      </w:pPr>
      <w:r w:rsidRPr="00D439B6">
        <w:rPr>
          <w:b/>
          <w:sz w:val="72"/>
        </w:rPr>
        <w:t>Significant Decisions</w:t>
      </w:r>
    </w:p>
    <w:p w:rsidR="00D439B6" w:rsidRPr="00D439B6" w:rsidRDefault="00D439B6" w:rsidP="00D439B6">
      <w:pPr>
        <w:suppressAutoHyphens w:val="0"/>
        <w:jc w:val="center"/>
        <w:rPr>
          <w:b/>
          <w:sz w:val="72"/>
        </w:rPr>
      </w:pPr>
    </w:p>
    <w:p w:rsidR="00D439B6" w:rsidRDefault="00D439B6" w:rsidP="00D439B6">
      <w:pPr>
        <w:suppressAutoHyphens w:val="0"/>
        <w:jc w:val="center"/>
        <w:rPr>
          <w:b/>
          <w:sz w:val="72"/>
        </w:rPr>
      </w:pPr>
      <w:r w:rsidRPr="00D439B6">
        <w:rPr>
          <w:b/>
          <w:sz w:val="72"/>
        </w:rPr>
        <w:t>September 20</w:t>
      </w:r>
      <w:r w:rsidR="00D31630">
        <w:rPr>
          <w:b/>
          <w:sz w:val="72"/>
        </w:rPr>
        <w:t>1</w:t>
      </w:r>
      <w:r w:rsidR="004B03FD">
        <w:rPr>
          <w:b/>
          <w:sz w:val="72"/>
        </w:rPr>
        <w:t>2</w:t>
      </w:r>
      <w:r w:rsidRPr="00D439B6">
        <w:rPr>
          <w:b/>
          <w:sz w:val="72"/>
        </w:rPr>
        <w:t>-August 20</w:t>
      </w:r>
      <w:r w:rsidR="00D31630">
        <w:rPr>
          <w:b/>
          <w:sz w:val="72"/>
        </w:rPr>
        <w:t>1</w:t>
      </w:r>
      <w:r w:rsidR="004B03FD">
        <w:rPr>
          <w:b/>
          <w:sz w:val="72"/>
        </w:rPr>
        <w:t>3</w:t>
      </w:r>
    </w:p>
    <w:p w:rsidR="00A328D0" w:rsidRDefault="00A328D0" w:rsidP="00A328D0">
      <w:pPr>
        <w:suppressAutoHyphens w:val="0"/>
        <w:jc w:val="center"/>
        <w:rPr>
          <w:b/>
          <w:sz w:val="72"/>
        </w:rPr>
      </w:pPr>
    </w:p>
    <w:p w:rsidR="00A328D0" w:rsidRDefault="00A328D0" w:rsidP="00A328D0">
      <w:pPr>
        <w:suppressAutoHyphens w:val="0"/>
        <w:jc w:val="center"/>
        <w:rPr>
          <w:b/>
          <w:sz w:val="72"/>
        </w:rPr>
      </w:pPr>
    </w:p>
    <w:p w:rsidR="00A328D0" w:rsidRDefault="00A328D0" w:rsidP="00A328D0">
      <w:pPr>
        <w:suppressAutoHyphens w:val="0"/>
        <w:jc w:val="center"/>
        <w:rPr>
          <w:b/>
          <w:sz w:val="72"/>
        </w:rPr>
      </w:pPr>
    </w:p>
    <w:p w:rsidR="00A328D0" w:rsidRDefault="00A328D0" w:rsidP="00A328D0">
      <w:pPr>
        <w:suppressAutoHyphens w:val="0"/>
        <w:jc w:val="center"/>
        <w:rPr>
          <w:b/>
          <w:smallCaps/>
          <w:sz w:val="28"/>
          <w:szCs w:val="28"/>
        </w:rPr>
      </w:pPr>
    </w:p>
    <w:p w:rsidR="00A328D0" w:rsidRDefault="00A328D0" w:rsidP="00A328D0">
      <w:pPr>
        <w:suppressAutoHyphens w:val="0"/>
        <w:jc w:val="center"/>
        <w:rPr>
          <w:b/>
          <w:smallCaps/>
          <w:sz w:val="28"/>
          <w:szCs w:val="28"/>
        </w:rPr>
      </w:pPr>
    </w:p>
    <w:p w:rsidR="00A328D0" w:rsidRDefault="00A328D0" w:rsidP="00A328D0">
      <w:pPr>
        <w:suppressAutoHyphens w:val="0"/>
        <w:jc w:val="center"/>
        <w:rPr>
          <w:b/>
          <w:smallCaps/>
          <w:sz w:val="28"/>
          <w:szCs w:val="28"/>
        </w:rPr>
      </w:pPr>
    </w:p>
    <w:p w:rsidR="00A328D0" w:rsidRDefault="00A328D0" w:rsidP="00A328D0">
      <w:pPr>
        <w:suppressAutoHyphens w:val="0"/>
        <w:jc w:val="center"/>
        <w:rPr>
          <w:b/>
          <w:smallCaps/>
          <w:sz w:val="28"/>
          <w:szCs w:val="28"/>
        </w:rPr>
      </w:pPr>
    </w:p>
    <w:p w:rsidR="00A328D0" w:rsidRDefault="00A328D0" w:rsidP="00A328D0">
      <w:pPr>
        <w:suppressAutoHyphens w:val="0"/>
        <w:jc w:val="center"/>
        <w:rPr>
          <w:b/>
          <w:smallCaps/>
          <w:sz w:val="28"/>
          <w:szCs w:val="28"/>
        </w:rPr>
      </w:pPr>
    </w:p>
    <w:p w:rsidR="00A328D0" w:rsidRDefault="00A328D0" w:rsidP="00A328D0">
      <w:pPr>
        <w:suppressAutoHyphens w:val="0"/>
        <w:jc w:val="center"/>
        <w:rPr>
          <w:b/>
          <w:smallCaps/>
          <w:sz w:val="28"/>
          <w:szCs w:val="28"/>
        </w:rPr>
      </w:pPr>
    </w:p>
    <w:p w:rsidR="006F72F3" w:rsidRDefault="00A328D0" w:rsidP="00A328D0">
      <w:pPr>
        <w:suppressAutoHyphens w:val="0"/>
        <w:jc w:val="center"/>
        <w:rPr>
          <w:b/>
          <w:smallCaps/>
          <w:sz w:val="28"/>
          <w:szCs w:val="28"/>
        </w:rPr>
      </w:pPr>
      <w:r w:rsidRPr="00487B49">
        <w:rPr>
          <w:b/>
          <w:smallCaps/>
          <w:sz w:val="28"/>
          <w:szCs w:val="28"/>
        </w:rPr>
        <w:t xml:space="preserve">This </w:t>
      </w:r>
      <w:r>
        <w:rPr>
          <w:b/>
          <w:smallCaps/>
          <w:sz w:val="28"/>
          <w:szCs w:val="28"/>
        </w:rPr>
        <w:t>D</w:t>
      </w:r>
      <w:r w:rsidRPr="00487B49">
        <w:rPr>
          <w:b/>
          <w:smallCaps/>
          <w:sz w:val="28"/>
          <w:szCs w:val="28"/>
        </w:rPr>
        <w:t xml:space="preserve">ocument is </w:t>
      </w:r>
      <w:r>
        <w:rPr>
          <w:b/>
          <w:smallCaps/>
          <w:sz w:val="28"/>
          <w:szCs w:val="28"/>
        </w:rPr>
        <w:t>A</w:t>
      </w:r>
      <w:r w:rsidRPr="00487B49">
        <w:rPr>
          <w:b/>
          <w:smallCaps/>
          <w:sz w:val="28"/>
          <w:szCs w:val="28"/>
        </w:rPr>
        <w:t xml:space="preserve">vailable </w:t>
      </w:r>
      <w:r>
        <w:rPr>
          <w:b/>
          <w:smallCaps/>
          <w:sz w:val="28"/>
          <w:szCs w:val="28"/>
        </w:rPr>
        <w:t>on the Court Website</w:t>
      </w:r>
    </w:p>
    <w:p w:rsidR="00A328D0" w:rsidRPr="00487B49" w:rsidRDefault="00A328D0" w:rsidP="00A328D0">
      <w:pPr>
        <w:suppressAutoHyphens w:val="0"/>
        <w:jc w:val="center"/>
        <w:rPr>
          <w:b/>
          <w:smallCaps/>
          <w:sz w:val="28"/>
          <w:szCs w:val="28"/>
        </w:rPr>
      </w:pPr>
      <w:r w:rsidRPr="00487B49">
        <w:rPr>
          <w:b/>
          <w:smallCaps/>
          <w:sz w:val="28"/>
          <w:szCs w:val="28"/>
        </w:rPr>
        <w:t>www.</w:t>
      </w:r>
      <w:r w:rsidR="006F72F3">
        <w:rPr>
          <w:b/>
          <w:smallCaps/>
          <w:sz w:val="28"/>
          <w:szCs w:val="28"/>
        </w:rPr>
        <w:t>mncourts.gov</w:t>
      </w:r>
    </w:p>
    <w:p w:rsidR="00D439B6" w:rsidRDefault="00D439B6" w:rsidP="00FB74B6">
      <w:pPr>
        <w:pStyle w:val="Heading2"/>
        <w:tabs>
          <w:tab w:val="left" w:pos="720"/>
          <w:tab w:val="left" w:pos="1440"/>
        </w:tabs>
        <w:rPr>
          <w:spacing w:val="-3"/>
        </w:rPr>
        <w:sectPr w:rsidR="00D439B6" w:rsidSect="00CA668A">
          <w:headerReference w:type="default" r:id="rId11"/>
          <w:footerReference w:type="even" r:id="rId12"/>
          <w:footerReference w:type="default" r:id="rId13"/>
          <w:headerReference w:type="first" r:id="rId14"/>
          <w:pgSz w:w="12240" w:h="15840" w:code="1"/>
          <w:pgMar w:top="1440" w:right="1440" w:bottom="1440" w:left="1440" w:header="0" w:footer="1152" w:gutter="0"/>
          <w:cols w:space="720"/>
          <w:noEndnote/>
          <w:titlePg/>
          <w:docGrid w:linePitch="354"/>
        </w:sectPr>
      </w:pPr>
    </w:p>
    <w:p w:rsidR="00AB3A1C" w:rsidRPr="00234347" w:rsidRDefault="00AB3A1C" w:rsidP="00AB3A1C">
      <w:pPr>
        <w:widowControl w:val="0"/>
        <w:jc w:val="center"/>
        <w:rPr>
          <w:b/>
          <w:sz w:val="32"/>
          <w:szCs w:val="32"/>
        </w:rPr>
      </w:pPr>
      <w:r w:rsidRPr="00234347">
        <w:rPr>
          <w:b/>
          <w:sz w:val="32"/>
          <w:szCs w:val="32"/>
        </w:rPr>
        <w:t>TABLE OF CONTENTS</w:t>
      </w:r>
    </w:p>
    <w:p w:rsidR="00E83F80" w:rsidRDefault="00E83F80" w:rsidP="007B36E1">
      <w:pPr>
        <w:widowControl w:val="0"/>
        <w:rPr>
          <w:sz w:val="28"/>
        </w:rPr>
      </w:pPr>
    </w:p>
    <w:p w:rsidR="00AB3A1C" w:rsidRPr="00234347" w:rsidRDefault="00AB3A1C" w:rsidP="00AB3A1C">
      <w:pPr>
        <w:widowControl w:val="0"/>
        <w:jc w:val="center"/>
        <w:rPr>
          <w:b/>
          <w:sz w:val="28"/>
        </w:rPr>
      </w:pPr>
      <w:r w:rsidRPr="00234347">
        <w:rPr>
          <w:b/>
          <w:sz w:val="28"/>
        </w:rPr>
        <w:t>PART I</w:t>
      </w:r>
      <w:r>
        <w:rPr>
          <w:b/>
          <w:sz w:val="28"/>
        </w:rPr>
        <w:t xml:space="preserve"> – </w:t>
      </w:r>
      <w:r w:rsidRPr="00234347">
        <w:rPr>
          <w:b/>
          <w:sz w:val="28"/>
        </w:rPr>
        <w:t>CIVIL CASES</w:t>
      </w:r>
    </w:p>
    <w:p w:rsidR="00AB3A1C" w:rsidRPr="00C77D75" w:rsidRDefault="00AB3A1C" w:rsidP="00AB3A1C">
      <w:pPr>
        <w:widowControl w:val="0"/>
        <w:rPr>
          <w:sz w:val="28"/>
        </w:rPr>
      </w:pPr>
    </w:p>
    <w:p w:rsidR="00AB3A1C" w:rsidRPr="00816341" w:rsidRDefault="00AB3A1C" w:rsidP="00AB3A1C">
      <w:pPr>
        <w:widowControl w:val="0"/>
        <w:tabs>
          <w:tab w:val="right" w:leader="dot" w:pos="9360"/>
        </w:tabs>
        <w:rPr>
          <w:szCs w:val="26"/>
        </w:rPr>
      </w:pPr>
      <w:r w:rsidRPr="00816341">
        <w:rPr>
          <w:szCs w:val="26"/>
        </w:rPr>
        <w:t>Administrative Law</w:t>
      </w:r>
      <w:r w:rsidRPr="00816341">
        <w:rPr>
          <w:szCs w:val="26"/>
        </w:rPr>
        <w:tab/>
      </w:r>
      <w:r w:rsidR="00FC7267">
        <w:rPr>
          <w:szCs w:val="26"/>
        </w:rPr>
        <w:t>1</w:t>
      </w:r>
    </w:p>
    <w:p w:rsidR="00AB3A1C" w:rsidRDefault="00AB3A1C" w:rsidP="00AB3A1C">
      <w:pPr>
        <w:widowControl w:val="0"/>
        <w:tabs>
          <w:tab w:val="right" w:leader="dot" w:pos="9360"/>
        </w:tabs>
        <w:rPr>
          <w:szCs w:val="26"/>
        </w:rPr>
      </w:pPr>
      <w:r>
        <w:rPr>
          <w:szCs w:val="26"/>
        </w:rPr>
        <w:t>A</w:t>
      </w:r>
      <w:r w:rsidR="00E83F80">
        <w:rPr>
          <w:szCs w:val="26"/>
        </w:rPr>
        <w:t>lternative Dispute Resolution</w:t>
      </w:r>
      <w:r>
        <w:rPr>
          <w:szCs w:val="26"/>
        </w:rPr>
        <w:tab/>
      </w:r>
      <w:r w:rsidR="00FC7267">
        <w:rPr>
          <w:szCs w:val="26"/>
        </w:rPr>
        <w:t>2</w:t>
      </w:r>
    </w:p>
    <w:p w:rsidR="00E83F80" w:rsidRDefault="00E83F80" w:rsidP="00E83F80">
      <w:pPr>
        <w:widowControl w:val="0"/>
        <w:tabs>
          <w:tab w:val="right" w:leader="dot" w:pos="9360"/>
        </w:tabs>
        <w:rPr>
          <w:szCs w:val="26"/>
        </w:rPr>
      </w:pPr>
      <w:r>
        <w:rPr>
          <w:szCs w:val="26"/>
        </w:rPr>
        <w:t>Appellate Procedure</w:t>
      </w:r>
      <w:r>
        <w:rPr>
          <w:szCs w:val="26"/>
        </w:rPr>
        <w:tab/>
      </w:r>
      <w:r w:rsidR="00FC7267">
        <w:rPr>
          <w:szCs w:val="26"/>
        </w:rPr>
        <w:t>3</w:t>
      </w:r>
    </w:p>
    <w:p w:rsidR="00F86C0A" w:rsidRDefault="00F86C0A" w:rsidP="00AB3A1C">
      <w:pPr>
        <w:widowControl w:val="0"/>
        <w:tabs>
          <w:tab w:val="right" w:leader="dot" w:pos="9360"/>
        </w:tabs>
        <w:rPr>
          <w:szCs w:val="26"/>
        </w:rPr>
      </w:pPr>
      <w:r>
        <w:rPr>
          <w:szCs w:val="26"/>
        </w:rPr>
        <w:t>Child Protection</w:t>
      </w:r>
      <w:r>
        <w:rPr>
          <w:szCs w:val="26"/>
        </w:rPr>
        <w:tab/>
      </w:r>
      <w:r w:rsidR="00FC7267">
        <w:rPr>
          <w:szCs w:val="26"/>
        </w:rPr>
        <w:t>3</w:t>
      </w:r>
    </w:p>
    <w:p w:rsidR="00AB3A1C" w:rsidRDefault="00AB3A1C" w:rsidP="00AB3A1C">
      <w:pPr>
        <w:widowControl w:val="0"/>
        <w:tabs>
          <w:tab w:val="right" w:leader="dot" w:pos="9360"/>
        </w:tabs>
        <w:rPr>
          <w:szCs w:val="26"/>
        </w:rPr>
      </w:pPr>
      <w:r>
        <w:rPr>
          <w:szCs w:val="26"/>
        </w:rPr>
        <w:t xml:space="preserve">Civil </w:t>
      </w:r>
      <w:r w:rsidR="00E83F80">
        <w:rPr>
          <w:szCs w:val="26"/>
        </w:rPr>
        <w:t>Procedure</w:t>
      </w:r>
      <w:r w:rsidRPr="00816341">
        <w:rPr>
          <w:szCs w:val="26"/>
        </w:rPr>
        <w:tab/>
      </w:r>
      <w:r w:rsidR="00FC7267">
        <w:rPr>
          <w:szCs w:val="26"/>
        </w:rPr>
        <w:t>3</w:t>
      </w:r>
    </w:p>
    <w:p w:rsidR="00AB3A1C" w:rsidRPr="00816341" w:rsidRDefault="00AB3A1C" w:rsidP="00AB3A1C">
      <w:pPr>
        <w:widowControl w:val="0"/>
        <w:tabs>
          <w:tab w:val="right" w:leader="dot" w:pos="9360"/>
        </w:tabs>
        <w:rPr>
          <w:szCs w:val="26"/>
        </w:rPr>
      </w:pPr>
      <w:r w:rsidRPr="00816341">
        <w:rPr>
          <w:szCs w:val="26"/>
        </w:rPr>
        <w:t>Constitutional Law</w:t>
      </w:r>
      <w:r w:rsidRPr="00816341">
        <w:rPr>
          <w:szCs w:val="26"/>
        </w:rPr>
        <w:tab/>
      </w:r>
      <w:r w:rsidR="00FC7267">
        <w:rPr>
          <w:szCs w:val="26"/>
        </w:rPr>
        <w:t>5</w:t>
      </w:r>
    </w:p>
    <w:p w:rsidR="00AB3A1C" w:rsidRPr="00816341" w:rsidRDefault="00AB3A1C" w:rsidP="00AB3A1C">
      <w:pPr>
        <w:widowControl w:val="0"/>
        <w:tabs>
          <w:tab w:val="right" w:leader="dot" w:pos="9360"/>
        </w:tabs>
        <w:rPr>
          <w:szCs w:val="26"/>
        </w:rPr>
      </w:pPr>
      <w:r w:rsidRPr="00816341">
        <w:rPr>
          <w:szCs w:val="26"/>
        </w:rPr>
        <w:t>Contracts</w:t>
      </w:r>
      <w:r w:rsidRPr="00816341">
        <w:rPr>
          <w:szCs w:val="26"/>
        </w:rPr>
        <w:tab/>
      </w:r>
      <w:r w:rsidR="00FC7267">
        <w:rPr>
          <w:szCs w:val="26"/>
        </w:rPr>
        <w:t>6</w:t>
      </w:r>
    </w:p>
    <w:p w:rsidR="00AB3A1C" w:rsidRPr="00816341" w:rsidRDefault="00AB3A1C" w:rsidP="00AB3A1C">
      <w:pPr>
        <w:widowControl w:val="0"/>
        <w:tabs>
          <w:tab w:val="right" w:leader="dot" w:pos="9360"/>
        </w:tabs>
        <w:rPr>
          <w:szCs w:val="26"/>
        </w:rPr>
      </w:pPr>
      <w:r w:rsidRPr="00816341">
        <w:rPr>
          <w:szCs w:val="26"/>
        </w:rPr>
        <w:t>Family Law</w:t>
      </w:r>
      <w:r w:rsidRPr="00816341">
        <w:rPr>
          <w:szCs w:val="26"/>
        </w:rPr>
        <w:tab/>
      </w:r>
      <w:r w:rsidR="00FC7267">
        <w:rPr>
          <w:szCs w:val="26"/>
        </w:rPr>
        <w:t>6</w:t>
      </w:r>
    </w:p>
    <w:p w:rsidR="00AB3A1C" w:rsidRPr="00816341" w:rsidRDefault="00E83F80" w:rsidP="00AB3A1C">
      <w:pPr>
        <w:widowControl w:val="0"/>
        <w:tabs>
          <w:tab w:val="right" w:leader="dot" w:pos="9360"/>
        </w:tabs>
        <w:rPr>
          <w:szCs w:val="26"/>
        </w:rPr>
      </w:pPr>
      <w:r>
        <w:rPr>
          <w:szCs w:val="26"/>
        </w:rPr>
        <w:t>Harassment Restraining Orders and Orders for Protection</w:t>
      </w:r>
      <w:r w:rsidR="00AB3A1C" w:rsidRPr="00816341">
        <w:rPr>
          <w:szCs w:val="26"/>
        </w:rPr>
        <w:tab/>
      </w:r>
      <w:r w:rsidR="00FC7267">
        <w:rPr>
          <w:szCs w:val="26"/>
        </w:rPr>
        <w:t>9</w:t>
      </w:r>
    </w:p>
    <w:p w:rsidR="00AB3A1C" w:rsidRPr="00816341" w:rsidRDefault="00AB3A1C" w:rsidP="00AB3A1C">
      <w:pPr>
        <w:widowControl w:val="0"/>
        <w:tabs>
          <w:tab w:val="right" w:leader="dot" w:pos="9360"/>
        </w:tabs>
        <w:rPr>
          <w:szCs w:val="26"/>
        </w:rPr>
      </w:pPr>
      <w:r w:rsidRPr="00816341">
        <w:rPr>
          <w:szCs w:val="26"/>
        </w:rPr>
        <w:t>Insurance</w:t>
      </w:r>
      <w:r>
        <w:rPr>
          <w:szCs w:val="26"/>
        </w:rPr>
        <w:t xml:space="preserve"> Coverage</w:t>
      </w:r>
      <w:r w:rsidRPr="00816341">
        <w:rPr>
          <w:szCs w:val="26"/>
        </w:rPr>
        <w:tab/>
      </w:r>
      <w:r w:rsidR="00FC7267">
        <w:rPr>
          <w:szCs w:val="26"/>
        </w:rPr>
        <w:t>9</w:t>
      </w:r>
    </w:p>
    <w:p w:rsidR="00AB3A1C" w:rsidRDefault="00AB3A1C" w:rsidP="00AB3A1C">
      <w:pPr>
        <w:widowControl w:val="0"/>
        <w:tabs>
          <w:tab w:val="right" w:leader="dot" w:pos="9360"/>
        </w:tabs>
        <w:rPr>
          <w:szCs w:val="26"/>
        </w:rPr>
      </w:pPr>
      <w:r>
        <w:rPr>
          <w:szCs w:val="26"/>
        </w:rPr>
        <w:t>Jurisdiction and Procedure</w:t>
      </w:r>
      <w:r w:rsidRPr="00816341">
        <w:rPr>
          <w:szCs w:val="26"/>
        </w:rPr>
        <w:tab/>
      </w:r>
      <w:r w:rsidR="00FC7267">
        <w:rPr>
          <w:szCs w:val="26"/>
        </w:rPr>
        <w:t>10</w:t>
      </w:r>
    </w:p>
    <w:p w:rsidR="00AB3A1C" w:rsidRPr="00816341" w:rsidRDefault="00AB3A1C" w:rsidP="00AB3A1C">
      <w:pPr>
        <w:widowControl w:val="0"/>
        <w:tabs>
          <w:tab w:val="right" w:leader="dot" w:pos="9360"/>
        </w:tabs>
        <w:rPr>
          <w:szCs w:val="26"/>
        </w:rPr>
      </w:pPr>
      <w:r>
        <w:rPr>
          <w:szCs w:val="26"/>
        </w:rPr>
        <w:t>Labor and Employment</w:t>
      </w:r>
      <w:r w:rsidRPr="00816341">
        <w:rPr>
          <w:szCs w:val="26"/>
        </w:rPr>
        <w:tab/>
      </w:r>
      <w:r w:rsidR="00FC7267">
        <w:rPr>
          <w:szCs w:val="26"/>
        </w:rPr>
        <w:t>10</w:t>
      </w:r>
    </w:p>
    <w:p w:rsidR="00AB3A1C" w:rsidRDefault="00AB3A1C" w:rsidP="00AB3A1C">
      <w:pPr>
        <w:widowControl w:val="0"/>
        <w:tabs>
          <w:tab w:val="right" w:leader="dot" w:pos="9360"/>
        </w:tabs>
        <w:rPr>
          <w:szCs w:val="26"/>
        </w:rPr>
      </w:pPr>
      <w:r>
        <w:rPr>
          <w:szCs w:val="26"/>
        </w:rPr>
        <w:t>Liens</w:t>
      </w:r>
      <w:r w:rsidR="008D5456">
        <w:rPr>
          <w:szCs w:val="26"/>
        </w:rPr>
        <w:t xml:space="preserve"> and Foreclosures</w:t>
      </w:r>
      <w:r w:rsidRPr="00816341">
        <w:rPr>
          <w:szCs w:val="26"/>
        </w:rPr>
        <w:tab/>
      </w:r>
      <w:r w:rsidR="00FC7267">
        <w:rPr>
          <w:szCs w:val="26"/>
        </w:rPr>
        <w:t>12</w:t>
      </w:r>
    </w:p>
    <w:p w:rsidR="00893DBE" w:rsidRDefault="006F7821" w:rsidP="00AB3A1C">
      <w:pPr>
        <w:widowControl w:val="0"/>
        <w:tabs>
          <w:tab w:val="right" w:leader="dot" w:pos="9360"/>
        </w:tabs>
        <w:rPr>
          <w:szCs w:val="26"/>
        </w:rPr>
      </w:pPr>
      <w:r>
        <w:rPr>
          <w:szCs w:val="26"/>
        </w:rPr>
        <w:t>Local Government</w:t>
      </w:r>
      <w:r w:rsidR="00893DBE" w:rsidRPr="00816341">
        <w:rPr>
          <w:szCs w:val="26"/>
        </w:rPr>
        <w:tab/>
      </w:r>
      <w:r w:rsidR="00FC7267">
        <w:rPr>
          <w:szCs w:val="26"/>
        </w:rPr>
        <w:t>12</w:t>
      </w:r>
    </w:p>
    <w:p w:rsidR="00AB3A1C" w:rsidRPr="00816341" w:rsidRDefault="00AB3A1C" w:rsidP="00AB3A1C">
      <w:pPr>
        <w:widowControl w:val="0"/>
        <w:tabs>
          <w:tab w:val="right" w:leader="dot" w:pos="9360"/>
        </w:tabs>
        <w:rPr>
          <w:szCs w:val="26"/>
        </w:rPr>
      </w:pPr>
      <w:r w:rsidRPr="00816341">
        <w:rPr>
          <w:szCs w:val="26"/>
        </w:rPr>
        <w:t>Probate</w:t>
      </w:r>
      <w:r w:rsidRPr="00816341">
        <w:rPr>
          <w:szCs w:val="26"/>
        </w:rPr>
        <w:tab/>
      </w:r>
      <w:r w:rsidR="00FC7267">
        <w:rPr>
          <w:szCs w:val="26"/>
        </w:rPr>
        <w:t>13</w:t>
      </w:r>
    </w:p>
    <w:p w:rsidR="00AB3A1C" w:rsidRPr="00816341" w:rsidRDefault="003A2140" w:rsidP="00AB3A1C">
      <w:pPr>
        <w:widowControl w:val="0"/>
        <w:tabs>
          <w:tab w:val="right" w:leader="dot" w:pos="9360"/>
        </w:tabs>
        <w:rPr>
          <w:szCs w:val="26"/>
        </w:rPr>
      </w:pPr>
      <w:r>
        <w:rPr>
          <w:szCs w:val="26"/>
        </w:rPr>
        <w:t xml:space="preserve">Real </w:t>
      </w:r>
      <w:r w:rsidR="008D5456">
        <w:rPr>
          <w:szCs w:val="26"/>
        </w:rPr>
        <w:t>Estate and Property Rights</w:t>
      </w:r>
      <w:r w:rsidR="00AB3A1C" w:rsidRPr="00816341">
        <w:rPr>
          <w:szCs w:val="26"/>
        </w:rPr>
        <w:tab/>
      </w:r>
      <w:r w:rsidR="00FC7267">
        <w:rPr>
          <w:szCs w:val="26"/>
        </w:rPr>
        <w:t>14</w:t>
      </w:r>
    </w:p>
    <w:p w:rsidR="00AB3A1C" w:rsidRPr="00816341" w:rsidRDefault="00AB3A1C" w:rsidP="00AB3A1C">
      <w:pPr>
        <w:widowControl w:val="0"/>
        <w:tabs>
          <w:tab w:val="right" w:leader="dot" w:pos="9360"/>
        </w:tabs>
        <w:rPr>
          <w:szCs w:val="26"/>
        </w:rPr>
      </w:pPr>
      <w:r w:rsidRPr="00816341">
        <w:rPr>
          <w:szCs w:val="26"/>
        </w:rPr>
        <w:t>Torts</w:t>
      </w:r>
      <w:r w:rsidRPr="00816341">
        <w:rPr>
          <w:szCs w:val="26"/>
        </w:rPr>
        <w:tab/>
      </w:r>
      <w:r w:rsidR="00FC7267">
        <w:rPr>
          <w:szCs w:val="26"/>
        </w:rPr>
        <w:t>15</w:t>
      </w:r>
    </w:p>
    <w:p w:rsidR="00AB3A1C" w:rsidRPr="00816341" w:rsidRDefault="00AB3A1C" w:rsidP="00AB3A1C">
      <w:pPr>
        <w:widowControl w:val="0"/>
        <w:tabs>
          <w:tab w:val="right" w:leader="dot" w:pos="9360"/>
        </w:tabs>
        <w:rPr>
          <w:szCs w:val="26"/>
        </w:rPr>
      </w:pPr>
      <w:r w:rsidRPr="003870A5">
        <w:rPr>
          <w:szCs w:val="26"/>
        </w:rPr>
        <w:t>Unemployment Benefits</w:t>
      </w:r>
      <w:r w:rsidRPr="00816341">
        <w:rPr>
          <w:szCs w:val="26"/>
        </w:rPr>
        <w:tab/>
      </w:r>
      <w:r w:rsidR="00FC7267">
        <w:rPr>
          <w:szCs w:val="26"/>
        </w:rPr>
        <w:t>18</w:t>
      </w:r>
    </w:p>
    <w:p w:rsidR="00AB3A1C" w:rsidRDefault="00AB3A1C" w:rsidP="00AB3A1C">
      <w:pPr>
        <w:suppressAutoHyphens w:val="0"/>
        <w:jc w:val="left"/>
        <w:rPr>
          <w:b/>
        </w:rPr>
      </w:pPr>
    </w:p>
    <w:p w:rsidR="00E83F80" w:rsidRDefault="00E83F80" w:rsidP="00AB3A1C">
      <w:pPr>
        <w:suppressAutoHyphens w:val="0"/>
        <w:jc w:val="left"/>
        <w:rPr>
          <w:b/>
        </w:rPr>
      </w:pPr>
    </w:p>
    <w:p w:rsidR="00AB3A1C" w:rsidRPr="00861FB8" w:rsidRDefault="00AB3A1C" w:rsidP="00AB3A1C">
      <w:pPr>
        <w:jc w:val="center"/>
        <w:rPr>
          <w:b/>
          <w:sz w:val="28"/>
          <w:szCs w:val="28"/>
        </w:rPr>
      </w:pPr>
      <w:r w:rsidRPr="00861FB8">
        <w:rPr>
          <w:b/>
          <w:sz w:val="28"/>
          <w:szCs w:val="28"/>
        </w:rPr>
        <w:t>PART II – CRIMINAL CASES AND</w:t>
      </w:r>
      <w:r>
        <w:rPr>
          <w:b/>
          <w:sz w:val="28"/>
          <w:szCs w:val="28"/>
        </w:rPr>
        <w:t xml:space="preserve"> CASES ON</w:t>
      </w:r>
      <w:r w:rsidRPr="00861FB8">
        <w:rPr>
          <w:b/>
          <w:sz w:val="28"/>
          <w:szCs w:val="28"/>
        </w:rPr>
        <w:t xml:space="preserve"> RELATED SUBJECTS</w:t>
      </w:r>
    </w:p>
    <w:p w:rsidR="00AB3A1C" w:rsidRDefault="00AB3A1C" w:rsidP="00AB3A1C">
      <w:pPr>
        <w:jc w:val="center"/>
        <w:rPr>
          <w:b/>
        </w:rPr>
      </w:pPr>
    </w:p>
    <w:p w:rsidR="005B17D2" w:rsidRDefault="005B17D2" w:rsidP="00AB3A1C">
      <w:pPr>
        <w:widowControl w:val="0"/>
        <w:tabs>
          <w:tab w:val="right" w:leader="dot" w:pos="9360"/>
        </w:tabs>
        <w:rPr>
          <w:szCs w:val="26"/>
        </w:rPr>
      </w:pPr>
      <w:r>
        <w:rPr>
          <w:szCs w:val="26"/>
        </w:rPr>
        <w:t xml:space="preserve">Appellate Review </w:t>
      </w:r>
      <w:r w:rsidRPr="00816341">
        <w:rPr>
          <w:szCs w:val="26"/>
        </w:rPr>
        <w:tab/>
      </w:r>
      <w:r w:rsidR="00FC7267">
        <w:rPr>
          <w:szCs w:val="26"/>
        </w:rPr>
        <w:t>19</w:t>
      </w:r>
    </w:p>
    <w:p w:rsidR="00AB3A1C" w:rsidRDefault="00AB3A1C" w:rsidP="00AB3A1C">
      <w:pPr>
        <w:widowControl w:val="0"/>
        <w:tabs>
          <w:tab w:val="right" w:leader="dot" w:pos="9360"/>
        </w:tabs>
        <w:rPr>
          <w:szCs w:val="26"/>
        </w:rPr>
      </w:pPr>
      <w:r>
        <w:rPr>
          <w:szCs w:val="26"/>
        </w:rPr>
        <w:t>Constitutional Law</w:t>
      </w:r>
      <w:r w:rsidRPr="00816341">
        <w:rPr>
          <w:szCs w:val="26"/>
        </w:rPr>
        <w:tab/>
      </w:r>
      <w:r w:rsidR="00FC7267">
        <w:rPr>
          <w:szCs w:val="26"/>
        </w:rPr>
        <w:t>19</w:t>
      </w:r>
    </w:p>
    <w:p w:rsidR="003A2140" w:rsidRDefault="003A2140" w:rsidP="00AB3A1C">
      <w:pPr>
        <w:widowControl w:val="0"/>
        <w:tabs>
          <w:tab w:val="right" w:leader="dot" w:pos="9360"/>
        </w:tabs>
        <w:rPr>
          <w:szCs w:val="26"/>
        </w:rPr>
      </w:pPr>
      <w:r>
        <w:rPr>
          <w:szCs w:val="26"/>
        </w:rPr>
        <w:t>DWI &amp; Implied Consent</w:t>
      </w:r>
      <w:r>
        <w:rPr>
          <w:szCs w:val="26"/>
        </w:rPr>
        <w:tab/>
      </w:r>
      <w:r w:rsidR="00FC7267">
        <w:rPr>
          <w:szCs w:val="26"/>
        </w:rPr>
        <w:t>21</w:t>
      </w:r>
    </w:p>
    <w:p w:rsidR="00AB3A1C" w:rsidRPr="00816341" w:rsidRDefault="00AB3A1C" w:rsidP="00AB3A1C">
      <w:pPr>
        <w:widowControl w:val="0"/>
        <w:tabs>
          <w:tab w:val="right" w:leader="dot" w:pos="9360"/>
        </w:tabs>
        <w:rPr>
          <w:szCs w:val="26"/>
        </w:rPr>
      </w:pPr>
      <w:r>
        <w:rPr>
          <w:szCs w:val="26"/>
        </w:rPr>
        <w:t>Evidence</w:t>
      </w:r>
      <w:r w:rsidRPr="00816341">
        <w:rPr>
          <w:szCs w:val="26"/>
        </w:rPr>
        <w:tab/>
      </w:r>
      <w:r w:rsidR="00FC7267">
        <w:rPr>
          <w:szCs w:val="26"/>
        </w:rPr>
        <w:t>21</w:t>
      </w:r>
    </w:p>
    <w:p w:rsidR="00E7766B" w:rsidRDefault="00E7766B" w:rsidP="00AB3A1C">
      <w:pPr>
        <w:widowControl w:val="0"/>
        <w:tabs>
          <w:tab w:val="right" w:leader="dot" w:pos="9360"/>
        </w:tabs>
        <w:rPr>
          <w:szCs w:val="26"/>
        </w:rPr>
      </w:pPr>
      <w:r>
        <w:rPr>
          <w:szCs w:val="26"/>
        </w:rPr>
        <w:t xml:space="preserve">Expungement </w:t>
      </w:r>
      <w:r w:rsidRPr="00816341">
        <w:rPr>
          <w:szCs w:val="26"/>
        </w:rPr>
        <w:tab/>
      </w:r>
      <w:r w:rsidR="00FC7267">
        <w:rPr>
          <w:szCs w:val="26"/>
        </w:rPr>
        <w:t>22</w:t>
      </w:r>
    </w:p>
    <w:p w:rsidR="00E7766B" w:rsidRDefault="00E7766B" w:rsidP="00AB3A1C">
      <w:pPr>
        <w:widowControl w:val="0"/>
        <w:tabs>
          <w:tab w:val="right" w:leader="dot" w:pos="9360"/>
        </w:tabs>
        <w:rPr>
          <w:szCs w:val="26"/>
        </w:rPr>
      </w:pPr>
      <w:r>
        <w:rPr>
          <w:szCs w:val="26"/>
        </w:rPr>
        <w:t xml:space="preserve">Forfeiture </w:t>
      </w:r>
      <w:r w:rsidRPr="00816341">
        <w:rPr>
          <w:szCs w:val="26"/>
        </w:rPr>
        <w:tab/>
      </w:r>
      <w:r w:rsidR="00FC7267">
        <w:rPr>
          <w:szCs w:val="26"/>
        </w:rPr>
        <w:t>22</w:t>
      </w:r>
    </w:p>
    <w:p w:rsidR="00AB3A1C" w:rsidRDefault="003A2140" w:rsidP="00AB3A1C">
      <w:pPr>
        <w:widowControl w:val="0"/>
        <w:tabs>
          <w:tab w:val="right" w:leader="dot" w:pos="9360"/>
        </w:tabs>
        <w:rPr>
          <w:szCs w:val="26"/>
        </w:rPr>
      </w:pPr>
      <w:r>
        <w:rPr>
          <w:szCs w:val="26"/>
        </w:rPr>
        <w:t>Guilty Pleas</w:t>
      </w:r>
      <w:r w:rsidR="00AB3A1C" w:rsidRPr="00816341">
        <w:rPr>
          <w:szCs w:val="26"/>
        </w:rPr>
        <w:tab/>
      </w:r>
      <w:r w:rsidR="00FC7267">
        <w:rPr>
          <w:szCs w:val="26"/>
        </w:rPr>
        <w:t>23</w:t>
      </w:r>
    </w:p>
    <w:p w:rsidR="00E7766B" w:rsidRDefault="00E7766B" w:rsidP="00AB3A1C">
      <w:pPr>
        <w:widowControl w:val="0"/>
        <w:tabs>
          <w:tab w:val="right" w:leader="dot" w:pos="9360"/>
        </w:tabs>
        <w:rPr>
          <w:szCs w:val="26"/>
        </w:rPr>
      </w:pPr>
      <w:r>
        <w:rPr>
          <w:szCs w:val="26"/>
        </w:rPr>
        <w:t xml:space="preserve">Juvenile Delinquency </w:t>
      </w:r>
      <w:r w:rsidRPr="00816341">
        <w:rPr>
          <w:szCs w:val="26"/>
        </w:rPr>
        <w:tab/>
      </w:r>
      <w:r w:rsidR="00FC7267">
        <w:rPr>
          <w:szCs w:val="26"/>
        </w:rPr>
        <w:t>23</w:t>
      </w:r>
    </w:p>
    <w:p w:rsidR="003A2140" w:rsidRDefault="003A2140" w:rsidP="00AB3A1C">
      <w:pPr>
        <w:widowControl w:val="0"/>
        <w:tabs>
          <w:tab w:val="right" w:leader="dot" w:pos="9360"/>
        </w:tabs>
        <w:rPr>
          <w:szCs w:val="26"/>
        </w:rPr>
      </w:pPr>
      <w:r>
        <w:rPr>
          <w:szCs w:val="26"/>
        </w:rPr>
        <w:t>Postconviction</w:t>
      </w:r>
      <w:r>
        <w:rPr>
          <w:szCs w:val="26"/>
        </w:rPr>
        <w:tab/>
      </w:r>
      <w:r w:rsidR="00FC7267">
        <w:rPr>
          <w:szCs w:val="26"/>
        </w:rPr>
        <w:t>24</w:t>
      </w:r>
    </w:p>
    <w:p w:rsidR="00AB3A1C" w:rsidRDefault="00AB3A1C" w:rsidP="00AB3A1C">
      <w:pPr>
        <w:widowControl w:val="0"/>
        <w:tabs>
          <w:tab w:val="right" w:leader="dot" w:pos="9360"/>
        </w:tabs>
        <w:rPr>
          <w:szCs w:val="26"/>
        </w:rPr>
      </w:pPr>
      <w:r>
        <w:rPr>
          <w:szCs w:val="26"/>
        </w:rPr>
        <w:t>Pretrial Procedure</w:t>
      </w:r>
      <w:r w:rsidRPr="00816341">
        <w:rPr>
          <w:szCs w:val="26"/>
        </w:rPr>
        <w:tab/>
      </w:r>
      <w:r w:rsidR="00FC7267">
        <w:rPr>
          <w:szCs w:val="26"/>
        </w:rPr>
        <w:t>24</w:t>
      </w:r>
    </w:p>
    <w:p w:rsidR="006B2827" w:rsidRPr="00816341" w:rsidRDefault="006B2827" w:rsidP="006B2827">
      <w:pPr>
        <w:widowControl w:val="0"/>
        <w:tabs>
          <w:tab w:val="right" w:leader="dot" w:pos="9360"/>
        </w:tabs>
        <w:rPr>
          <w:szCs w:val="26"/>
        </w:rPr>
      </w:pPr>
      <w:r>
        <w:rPr>
          <w:szCs w:val="26"/>
        </w:rPr>
        <w:t>Search &amp; Seizure</w:t>
      </w:r>
      <w:r w:rsidRPr="00816341">
        <w:rPr>
          <w:szCs w:val="26"/>
        </w:rPr>
        <w:tab/>
      </w:r>
      <w:r w:rsidR="00FC7267">
        <w:rPr>
          <w:szCs w:val="26"/>
        </w:rPr>
        <w:t>25</w:t>
      </w:r>
    </w:p>
    <w:p w:rsidR="00AB3A1C" w:rsidRPr="00816341" w:rsidRDefault="00AB3A1C" w:rsidP="00AB3A1C">
      <w:pPr>
        <w:widowControl w:val="0"/>
        <w:tabs>
          <w:tab w:val="right" w:leader="dot" w:pos="9360"/>
        </w:tabs>
        <w:rPr>
          <w:szCs w:val="26"/>
        </w:rPr>
      </w:pPr>
      <w:r>
        <w:rPr>
          <w:szCs w:val="26"/>
        </w:rPr>
        <w:t>Sentencing</w:t>
      </w:r>
      <w:r w:rsidRPr="00816341">
        <w:rPr>
          <w:szCs w:val="26"/>
        </w:rPr>
        <w:tab/>
      </w:r>
      <w:r w:rsidR="00FC7267">
        <w:rPr>
          <w:szCs w:val="26"/>
        </w:rPr>
        <w:t>26</w:t>
      </w:r>
    </w:p>
    <w:p w:rsidR="00E7766B" w:rsidRDefault="00E7766B" w:rsidP="00AB3A1C">
      <w:pPr>
        <w:widowControl w:val="0"/>
        <w:tabs>
          <w:tab w:val="right" w:leader="dot" w:pos="9360"/>
        </w:tabs>
        <w:rPr>
          <w:szCs w:val="26"/>
        </w:rPr>
      </w:pPr>
      <w:r>
        <w:rPr>
          <w:szCs w:val="26"/>
        </w:rPr>
        <w:t xml:space="preserve">Sex Offender Commitment </w:t>
      </w:r>
      <w:r w:rsidRPr="00816341">
        <w:rPr>
          <w:szCs w:val="26"/>
        </w:rPr>
        <w:tab/>
      </w:r>
      <w:r w:rsidR="00FC7267">
        <w:rPr>
          <w:szCs w:val="26"/>
        </w:rPr>
        <w:t>29</w:t>
      </w:r>
    </w:p>
    <w:p w:rsidR="00AB3A1C" w:rsidRPr="00816341" w:rsidRDefault="00AB3A1C" w:rsidP="00AB3A1C">
      <w:pPr>
        <w:widowControl w:val="0"/>
        <w:tabs>
          <w:tab w:val="right" w:leader="dot" w:pos="9360"/>
        </w:tabs>
        <w:rPr>
          <w:szCs w:val="26"/>
        </w:rPr>
      </w:pPr>
      <w:r>
        <w:rPr>
          <w:szCs w:val="26"/>
        </w:rPr>
        <w:t>Substantive Criminal Law</w:t>
      </w:r>
      <w:r w:rsidRPr="00816341">
        <w:rPr>
          <w:szCs w:val="26"/>
        </w:rPr>
        <w:tab/>
      </w:r>
      <w:r w:rsidR="00FC7267">
        <w:rPr>
          <w:szCs w:val="26"/>
        </w:rPr>
        <w:t>29</w:t>
      </w:r>
    </w:p>
    <w:p w:rsidR="00AB3A1C" w:rsidRDefault="00AB3A1C" w:rsidP="00AB3A1C">
      <w:pPr>
        <w:widowControl w:val="0"/>
        <w:tabs>
          <w:tab w:val="right" w:leader="dot" w:pos="9360"/>
        </w:tabs>
        <w:rPr>
          <w:szCs w:val="26"/>
        </w:rPr>
      </w:pPr>
      <w:r>
        <w:rPr>
          <w:szCs w:val="26"/>
        </w:rPr>
        <w:t>Trial Procedure</w:t>
      </w:r>
      <w:r w:rsidRPr="00816341">
        <w:rPr>
          <w:szCs w:val="26"/>
        </w:rPr>
        <w:tab/>
      </w:r>
      <w:r w:rsidR="00FC7267">
        <w:rPr>
          <w:szCs w:val="26"/>
        </w:rPr>
        <w:t>32</w:t>
      </w:r>
    </w:p>
    <w:p w:rsidR="00214E2C" w:rsidRDefault="00214E2C">
      <w:pPr>
        <w:suppressAutoHyphens w:val="0"/>
        <w:jc w:val="left"/>
        <w:rPr>
          <w:szCs w:val="26"/>
        </w:rPr>
        <w:sectPr w:rsidR="00214E2C" w:rsidSect="005F446E">
          <w:footerReference w:type="default" r:id="rId15"/>
          <w:pgSz w:w="12240" w:h="15840"/>
          <w:pgMar w:top="1440" w:right="1440" w:bottom="1440" w:left="1440" w:header="720" w:footer="1152" w:gutter="0"/>
          <w:pgNumType w:fmt="lowerRoman" w:start="1"/>
          <w:cols w:space="720"/>
          <w:docGrid w:linePitch="360"/>
        </w:sectPr>
      </w:pPr>
    </w:p>
    <w:p w:rsidR="003856A1" w:rsidRPr="00E0265D" w:rsidRDefault="003856A1" w:rsidP="00E7766B">
      <w:pPr>
        <w:pStyle w:val="Heading2"/>
        <w:tabs>
          <w:tab w:val="left" w:pos="720"/>
          <w:tab w:val="left" w:pos="1440"/>
        </w:tabs>
        <w:rPr>
          <w:sz w:val="28"/>
          <w:szCs w:val="28"/>
        </w:rPr>
      </w:pPr>
      <w:r w:rsidRPr="00E0265D">
        <w:rPr>
          <w:sz w:val="28"/>
          <w:szCs w:val="28"/>
        </w:rPr>
        <w:t>PART I – CIVIL CASES</w:t>
      </w:r>
    </w:p>
    <w:p w:rsidR="003856A1" w:rsidRDefault="003856A1" w:rsidP="003856A1">
      <w:pPr>
        <w:tabs>
          <w:tab w:val="left" w:pos="720"/>
          <w:tab w:val="left" w:pos="1440"/>
          <w:tab w:val="left" w:pos="2160"/>
        </w:tabs>
        <w:rPr>
          <w:b/>
          <w:u w:val="single"/>
        </w:rPr>
      </w:pPr>
    </w:p>
    <w:p w:rsidR="003856A1" w:rsidRDefault="003856A1" w:rsidP="003856A1">
      <w:pPr>
        <w:tabs>
          <w:tab w:val="left" w:pos="720"/>
          <w:tab w:val="left" w:pos="1440"/>
          <w:tab w:val="left" w:pos="2160"/>
        </w:tabs>
        <w:rPr>
          <w:b/>
          <w:u w:val="single"/>
        </w:rPr>
      </w:pPr>
    </w:p>
    <w:p w:rsidR="003856A1" w:rsidRDefault="003856A1" w:rsidP="003856A1">
      <w:pPr>
        <w:tabs>
          <w:tab w:val="left" w:pos="720"/>
          <w:tab w:val="left" w:pos="1440"/>
          <w:tab w:val="left" w:pos="2160"/>
        </w:tabs>
      </w:pPr>
      <w:r>
        <w:rPr>
          <w:b/>
          <w:u w:val="single"/>
        </w:rPr>
        <w:t>Administrative Law</w:t>
      </w:r>
    </w:p>
    <w:p w:rsidR="003856A1" w:rsidRDefault="003856A1" w:rsidP="003856A1">
      <w:pPr>
        <w:spacing w:before="60"/>
        <w:rPr>
          <w:i/>
        </w:rPr>
      </w:pPr>
    </w:p>
    <w:p w:rsidR="00625402" w:rsidRPr="006400C5" w:rsidRDefault="00625402" w:rsidP="00625402">
      <w:pPr>
        <w:outlineLvl w:val="3"/>
        <w:rPr>
          <w:b/>
          <w:bCs/>
          <w:szCs w:val="26"/>
        </w:rPr>
      </w:pPr>
      <w:r w:rsidRPr="006400C5">
        <w:rPr>
          <w:b/>
          <w:bCs/>
          <w:i/>
          <w:szCs w:val="26"/>
        </w:rPr>
        <w:t>In re 401 Water Quality Certification</w:t>
      </w:r>
      <w:r>
        <w:rPr>
          <w:b/>
          <w:bCs/>
          <w:szCs w:val="26"/>
        </w:rPr>
        <w:t>, 822 N.W.2d 676</w:t>
      </w:r>
      <w:r w:rsidRPr="006400C5">
        <w:rPr>
          <w:b/>
          <w:bCs/>
          <w:szCs w:val="26"/>
        </w:rPr>
        <w:t xml:space="preserve"> (Minn. App. Nov. 13, 2012) (A12-1661).  </w:t>
      </w:r>
    </w:p>
    <w:p w:rsidR="00625402" w:rsidRDefault="00625402" w:rsidP="00625402">
      <w:pPr>
        <w:outlineLvl w:val="3"/>
        <w:rPr>
          <w:szCs w:val="26"/>
        </w:rPr>
      </w:pPr>
      <w:r w:rsidRPr="006400C5">
        <w:rPr>
          <w:b/>
          <w:bCs/>
          <w:szCs w:val="26"/>
        </w:rPr>
        <w:tab/>
      </w:r>
      <w:r w:rsidRPr="006400C5">
        <w:rPr>
          <w:szCs w:val="26"/>
        </w:rPr>
        <w:t>The Minnesota Pollution Control Agency did not err in issuing a certification, pursuant to section 401 of the Clean Water Act, 33 U.S.C. § 1341 (2006), of the United States Environmental Protection Agency’s proposed National Pollutant Discharge Eliminations System (NPDES) Vessel General Permit (VGP), which would allow discharges of ballast water in Minnesota waters, effective in December 2013.</w:t>
      </w:r>
    </w:p>
    <w:p w:rsidR="00625402" w:rsidRDefault="00625402" w:rsidP="007E6091">
      <w:pPr>
        <w:rPr>
          <w:b/>
          <w:i/>
          <w:szCs w:val="26"/>
        </w:rPr>
      </w:pPr>
    </w:p>
    <w:p w:rsidR="007E6091" w:rsidRPr="00756D04" w:rsidRDefault="007E6091" w:rsidP="007E6091">
      <w:pPr>
        <w:rPr>
          <w:b/>
          <w:szCs w:val="26"/>
        </w:rPr>
      </w:pPr>
      <w:r w:rsidRPr="00756D04">
        <w:rPr>
          <w:b/>
          <w:i/>
          <w:szCs w:val="26"/>
        </w:rPr>
        <w:t>Centra Homes, LLC</w:t>
      </w:r>
      <w:r>
        <w:rPr>
          <w:b/>
          <w:i/>
          <w:szCs w:val="26"/>
        </w:rPr>
        <w:t xml:space="preserve"> </w:t>
      </w:r>
      <w:r w:rsidRPr="00756D04">
        <w:rPr>
          <w:b/>
          <w:i/>
          <w:szCs w:val="26"/>
        </w:rPr>
        <w:t xml:space="preserve">v. City of Norwood Young America, </w:t>
      </w:r>
      <w:r>
        <w:rPr>
          <w:b/>
          <w:i/>
          <w:szCs w:val="26"/>
        </w:rPr>
        <w:t>Minn.</w:t>
      </w:r>
      <w:r>
        <w:rPr>
          <w:b/>
          <w:szCs w:val="26"/>
        </w:rPr>
        <w:t>,</w:t>
      </w:r>
      <w:r w:rsidRPr="00756D04">
        <w:rPr>
          <w:b/>
          <w:szCs w:val="26"/>
        </w:rPr>
        <w:t xml:space="preserve"> </w:t>
      </w:r>
      <w:r>
        <w:rPr>
          <w:b/>
          <w:szCs w:val="26"/>
        </w:rPr>
        <w:t>834</w:t>
      </w:r>
      <w:r w:rsidRPr="00756D04">
        <w:rPr>
          <w:b/>
          <w:szCs w:val="26"/>
        </w:rPr>
        <w:t xml:space="preserve"> N.W.2d </w:t>
      </w:r>
      <w:r>
        <w:rPr>
          <w:b/>
          <w:szCs w:val="26"/>
        </w:rPr>
        <w:t>581</w:t>
      </w:r>
      <w:r w:rsidRPr="00756D04">
        <w:rPr>
          <w:b/>
          <w:szCs w:val="26"/>
        </w:rPr>
        <w:t xml:space="preserve"> (Minn. App. July 29, 2013) (A12-2287).</w:t>
      </w:r>
    </w:p>
    <w:p w:rsidR="007E6091" w:rsidRDefault="007E6091" w:rsidP="007E6091">
      <w:pPr>
        <w:outlineLvl w:val="0"/>
        <w:rPr>
          <w:szCs w:val="26"/>
          <w:lang w:val="en"/>
        </w:rPr>
      </w:pPr>
      <w:r w:rsidRPr="00756D04">
        <w:rPr>
          <w:szCs w:val="26"/>
          <w:lang w:val="en"/>
        </w:rPr>
        <w:tab/>
        <w:t>A party must exhaust administrative remedies before seeking judicial review of a municipal building official’s determination relative to the application and interpretation of the state building code.</w:t>
      </w:r>
    </w:p>
    <w:p w:rsidR="007B36E1" w:rsidRDefault="007B36E1" w:rsidP="007E6091">
      <w:pPr>
        <w:outlineLvl w:val="0"/>
        <w:rPr>
          <w:szCs w:val="26"/>
          <w:lang w:val="en"/>
        </w:rPr>
      </w:pPr>
    </w:p>
    <w:p w:rsidR="007B36E1" w:rsidRPr="00756D04" w:rsidRDefault="007B36E1" w:rsidP="007B36E1">
      <w:pPr>
        <w:rPr>
          <w:b/>
          <w:szCs w:val="26"/>
        </w:rPr>
      </w:pPr>
      <w:r w:rsidRPr="00756D04">
        <w:rPr>
          <w:b/>
          <w:i/>
          <w:szCs w:val="26"/>
        </w:rPr>
        <w:t>Constans v. Com</w:t>
      </w:r>
      <w:r>
        <w:rPr>
          <w:b/>
          <w:i/>
          <w:szCs w:val="26"/>
        </w:rPr>
        <w:t>m’r of Pub.</w:t>
      </w:r>
      <w:r w:rsidRPr="00756D04">
        <w:rPr>
          <w:b/>
          <w:i/>
          <w:szCs w:val="26"/>
        </w:rPr>
        <w:t xml:space="preserve"> Safety</w:t>
      </w:r>
      <w:r w:rsidRPr="00756D04">
        <w:rPr>
          <w:b/>
          <w:szCs w:val="26"/>
        </w:rPr>
        <w:t xml:space="preserve">, </w:t>
      </w:r>
      <w:r>
        <w:rPr>
          <w:b/>
          <w:szCs w:val="26"/>
        </w:rPr>
        <w:t xml:space="preserve">835 </w:t>
      </w:r>
      <w:r w:rsidRPr="00756D04">
        <w:rPr>
          <w:b/>
          <w:szCs w:val="26"/>
        </w:rPr>
        <w:t xml:space="preserve">N.W.2d </w:t>
      </w:r>
      <w:r>
        <w:rPr>
          <w:b/>
          <w:szCs w:val="26"/>
        </w:rPr>
        <w:t>518</w:t>
      </w:r>
      <w:r w:rsidRPr="00756D04">
        <w:rPr>
          <w:b/>
          <w:szCs w:val="26"/>
        </w:rPr>
        <w:t xml:space="preserve"> (Minn. App. Aug. 19, 2013) (A12-2307).</w:t>
      </w:r>
    </w:p>
    <w:p w:rsidR="007B36E1" w:rsidRPr="00756D04" w:rsidRDefault="007B36E1" w:rsidP="007B36E1">
      <w:pPr>
        <w:ind w:firstLine="720"/>
        <w:outlineLvl w:val="0"/>
        <w:rPr>
          <w:szCs w:val="26"/>
        </w:rPr>
      </w:pPr>
      <w:r w:rsidRPr="00756D04">
        <w:rPr>
          <w:szCs w:val="26"/>
        </w:rPr>
        <w:t>Minnesota Statutes section 171.04, subdivision 1(10) (2012), does not require evidence of impaired driving before a license can be denied and canceled under Minnesota Statutes section 171.14(a)(4) (2012), and instead provides the commissioner of the department of public safety discretion to determine driving conduct that is “inimical to public safety or welfare.”</w:t>
      </w:r>
    </w:p>
    <w:p w:rsidR="007B36E1" w:rsidRPr="007B36E1" w:rsidRDefault="007B36E1" w:rsidP="007B36E1">
      <w:pPr>
        <w:ind w:firstLine="720"/>
        <w:rPr>
          <w:szCs w:val="26"/>
        </w:rPr>
      </w:pPr>
      <w:r w:rsidRPr="00756D04">
        <w:rPr>
          <w:szCs w:val="26"/>
        </w:rPr>
        <w:t>The commissioner of the department of public safety may rely on evidence outside of a driver’s record to support a finding of “good cause to believe” that driving conduct is inimical to public safety or welfare under Minnesota Statutes sect</w:t>
      </w:r>
      <w:r>
        <w:rPr>
          <w:szCs w:val="26"/>
        </w:rPr>
        <w:t>ion 171.04, subdivision 1(10).</w:t>
      </w:r>
    </w:p>
    <w:p w:rsidR="007E6091" w:rsidRDefault="007E6091" w:rsidP="000C7EFC">
      <w:pPr>
        <w:outlineLvl w:val="3"/>
        <w:rPr>
          <w:szCs w:val="26"/>
        </w:rPr>
      </w:pPr>
    </w:p>
    <w:p w:rsidR="007E6091" w:rsidRPr="00756D04" w:rsidRDefault="007E6091" w:rsidP="007E6091">
      <w:pPr>
        <w:rPr>
          <w:b/>
          <w:szCs w:val="26"/>
        </w:rPr>
      </w:pPr>
      <w:r>
        <w:rPr>
          <w:b/>
          <w:i/>
          <w:szCs w:val="26"/>
        </w:rPr>
        <w:t>In re Minnikka Props</w:t>
      </w:r>
      <w:r w:rsidRPr="00756D04">
        <w:rPr>
          <w:b/>
          <w:szCs w:val="26"/>
        </w:rPr>
        <w:t xml:space="preserve">, </w:t>
      </w:r>
      <w:r>
        <w:rPr>
          <w:b/>
          <w:szCs w:val="26"/>
        </w:rPr>
        <w:t>834</w:t>
      </w:r>
      <w:r w:rsidRPr="00756D04">
        <w:rPr>
          <w:b/>
          <w:szCs w:val="26"/>
        </w:rPr>
        <w:t xml:space="preserve"> N.W.2d </w:t>
      </w:r>
      <w:r>
        <w:rPr>
          <w:b/>
          <w:szCs w:val="26"/>
        </w:rPr>
        <w:t>572</w:t>
      </w:r>
      <w:r w:rsidRPr="00756D04">
        <w:rPr>
          <w:b/>
          <w:szCs w:val="26"/>
        </w:rPr>
        <w:t xml:space="preserve"> (Minn. App. July 29, 2013) (A12-2126).</w:t>
      </w:r>
    </w:p>
    <w:p w:rsidR="007B36E1" w:rsidRDefault="007E6091" w:rsidP="007B36E1">
      <w:pPr>
        <w:outlineLvl w:val="0"/>
        <w:rPr>
          <w:b/>
          <w:i/>
          <w:szCs w:val="26"/>
        </w:rPr>
      </w:pPr>
      <w:r w:rsidRPr="00756D04">
        <w:rPr>
          <w:szCs w:val="26"/>
        </w:rPr>
        <w:tab/>
        <w:t>The use of waste tires in quantities that exceed accepted engineering or commercial standards, absent a case-specific determination of beneficial use, violates Minn. R. 7035.2860 (2011) and Minn. Stat. § 115A.904 (2012).</w:t>
      </w:r>
    </w:p>
    <w:p w:rsidR="007B36E1" w:rsidRDefault="007B36E1" w:rsidP="007B36E1">
      <w:pPr>
        <w:outlineLvl w:val="0"/>
        <w:rPr>
          <w:b/>
          <w:i/>
          <w:szCs w:val="26"/>
        </w:rPr>
      </w:pPr>
    </w:p>
    <w:p w:rsidR="00322313" w:rsidRPr="007B36E1" w:rsidRDefault="00322313" w:rsidP="007B36E1">
      <w:pPr>
        <w:outlineLvl w:val="0"/>
        <w:rPr>
          <w:szCs w:val="26"/>
        </w:rPr>
      </w:pPr>
      <w:r w:rsidRPr="00756D04">
        <w:rPr>
          <w:b/>
          <w:i/>
          <w:szCs w:val="26"/>
        </w:rPr>
        <w:t>Na</w:t>
      </w:r>
      <w:r>
        <w:rPr>
          <w:b/>
          <w:i/>
          <w:szCs w:val="26"/>
        </w:rPr>
        <w:t>t’</w:t>
      </w:r>
      <w:r w:rsidRPr="00756D04">
        <w:rPr>
          <w:b/>
          <w:i/>
          <w:szCs w:val="26"/>
        </w:rPr>
        <w:t xml:space="preserve">l Council on Teacher Quality v. </w:t>
      </w:r>
      <w:r>
        <w:rPr>
          <w:b/>
          <w:i/>
          <w:szCs w:val="26"/>
        </w:rPr>
        <w:t>Minn. State Colls. &amp; Univs.</w:t>
      </w:r>
      <w:r w:rsidRPr="00756D04">
        <w:rPr>
          <w:b/>
          <w:szCs w:val="26"/>
        </w:rPr>
        <w:t xml:space="preserve">, </w:t>
      </w:r>
      <w:r>
        <w:rPr>
          <w:b/>
          <w:szCs w:val="26"/>
        </w:rPr>
        <w:t>837</w:t>
      </w:r>
      <w:r w:rsidRPr="00756D04">
        <w:rPr>
          <w:b/>
          <w:szCs w:val="26"/>
        </w:rPr>
        <w:t xml:space="preserve"> N.W.2d </w:t>
      </w:r>
      <w:r>
        <w:rPr>
          <w:b/>
          <w:szCs w:val="26"/>
        </w:rPr>
        <w:t>314</w:t>
      </w:r>
      <w:r w:rsidRPr="00756D04">
        <w:rPr>
          <w:b/>
          <w:szCs w:val="26"/>
        </w:rPr>
        <w:t xml:space="preserve"> (Minn. App. Aug. 5, 2013) (A12-2031).</w:t>
      </w:r>
    </w:p>
    <w:p w:rsidR="00322313" w:rsidRPr="00756D04" w:rsidRDefault="00322313" w:rsidP="00322313">
      <w:pPr>
        <w:ind w:firstLine="720"/>
        <w:outlineLvl w:val="0"/>
        <w:rPr>
          <w:szCs w:val="26"/>
        </w:rPr>
      </w:pPr>
      <w:r w:rsidRPr="00756D04">
        <w:rPr>
          <w:szCs w:val="26"/>
        </w:rPr>
        <w:t>A state agency cannot rely on the Federal Copyright Act to refuse to disclose data that is the subject of a request for disclosure under the Minnesota Government Data Practices Act after the district court determines, without dispute, that the requestor intends only “fair use” of the data as defined by the copyright act.</w:t>
      </w:r>
    </w:p>
    <w:p w:rsidR="00322313" w:rsidRDefault="00322313" w:rsidP="000C7EFC">
      <w:pPr>
        <w:outlineLvl w:val="3"/>
        <w:rPr>
          <w:b/>
          <w:bCs/>
          <w:szCs w:val="26"/>
        </w:rPr>
      </w:pPr>
    </w:p>
    <w:p w:rsidR="007E6091" w:rsidRPr="00756D04" w:rsidRDefault="007E6091" w:rsidP="007E6091">
      <w:pPr>
        <w:rPr>
          <w:b/>
          <w:szCs w:val="26"/>
        </w:rPr>
      </w:pPr>
      <w:r w:rsidRPr="00756D04">
        <w:rPr>
          <w:b/>
          <w:i/>
          <w:szCs w:val="26"/>
        </w:rPr>
        <w:t xml:space="preserve">Schwanke v. </w:t>
      </w:r>
      <w:r>
        <w:rPr>
          <w:b/>
          <w:i/>
          <w:szCs w:val="26"/>
        </w:rPr>
        <w:t>Minn. Dep’t of Admin.</w:t>
      </w:r>
      <w:r w:rsidRPr="00756D04">
        <w:rPr>
          <w:b/>
          <w:szCs w:val="26"/>
        </w:rPr>
        <w:t xml:space="preserve">, </w:t>
      </w:r>
      <w:r>
        <w:rPr>
          <w:b/>
          <w:szCs w:val="26"/>
        </w:rPr>
        <w:t>834</w:t>
      </w:r>
      <w:r w:rsidRPr="00756D04">
        <w:rPr>
          <w:b/>
          <w:szCs w:val="26"/>
        </w:rPr>
        <w:t xml:space="preserve"> N.W.2d </w:t>
      </w:r>
      <w:r>
        <w:rPr>
          <w:b/>
          <w:szCs w:val="26"/>
        </w:rPr>
        <w:t>588</w:t>
      </w:r>
      <w:r w:rsidRPr="00756D04">
        <w:rPr>
          <w:b/>
          <w:szCs w:val="26"/>
        </w:rPr>
        <w:t xml:space="preserve"> (Minn. App. July 29, 2013)</w:t>
      </w:r>
      <w:r>
        <w:rPr>
          <w:b/>
          <w:szCs w:val="26"/>
        </w:rPr>
        <w:t xml:space="preserve">, </w:t>
      </w:r>
      <w:r>
        <w:rPr>
          <w:b/>
          <w:i/>
          <w:szCs w:val="26"/>
        </w:rPr>
        <w:t>review granted</w:t>
      </w:r>
      <w:r>
        <w:rPr>
          <w:b/>
          <w:szCs w:val="26"/>
        </w:rPr>
        <w:t xml:space="preserve"> (Minn. Oct. 15, 2013)</w:t>
      </w:r>
      <w:r w:rsidRPr="00756D04">
        <w:rPr>
          <w:b/>
          <w:szCs w:val="26"/>
        </w:rPr>
        <w:t xml:space="preserve"> (A12-2062).</w:t>
      </w:r>
    </w:p>
    <w:p w:rsidR="007E6091" w:rsidRPr="00756D04" w:rsidRDefault="007E6091" w:rsidP="007E6091">
      <w:pPr>
        <w:outlineLvl w:val="0"/>
        <w:rPr>
          <w:szCs w:val="26"/>
        </w:rPr>
      </w:pPr>
      <w:r w:rsidRPr="00756D04">
        <w:rPr>
          <w:szCs w:val="26"/>
        </w:rPr>
        <w:tab/>
        <w:t>1.</w:t>
      </w:r>
      <w:r w:rsidRPr="00756D04">
        <w:rPr>
          <w:szCs w:val="26"/>
        </w:rPr>
        <w:tab/>
        <w:t>The Minnesota Department of Administration’s authority to dismiss without a contested-case hearing an appeal contesting the accuracy or completeness of government data brought under the Minnesota Government Data Practices Act (MGDPA), Minn. Stat. § 13.04, subd. 4(a) (2012), is limited to cases in which the commissioner of administration’s efforts to resolve the dispute have succeeded, rendering the challenge moot.</w:t>
      </w:r>
    </w:p>
    <w:p w:rsidR="007E6091" w:rsidRDefault="007E6091" w:rsidP="007E6091">
      <w:pPr>
        <w:ind w:firstLine="720"/>
        <w:rPr>
          <w:szCs w:val="26"/>
        </w:rPr>
      </w:pPr>
      <w:r w:rsidRPr="00756D04">
        <w:rPr>
          <w:szCs w:val="26"/>
        </w:rPr>
        <w:t>2.</w:t>
      </w:r>
      <w:r w:rsidRPr="00756D04">
        <w:rPr>
          <w:szCs w:val="26"/>
        </w:rPr>
        <w:tab/>
        <w:t>The department of administration does not have the authority to limit the scope of a data subject’s appeal contesting the accuracy or completeness of government data brought under Minn. Stat. § 13.04, subd. 4(a), to the issues and evidence submitted to the responsible authority in the data subject’s initial data challenge.</w:t>
      </w:r>
    </w:p>
    <w:p w:rsidR="007B36E1" w:rsidRDefault="007B36E1" w:rsidP="007E6091">
      <w:pPr>
        <w:ind w:firstLine="720"/>
        <w:rPr>
          <w:szCs w:val="26"/>
        </w:rPr>
      </w:pPr>
    </w:p>
    <w:p w:rsidR="007B36E1" w:rsidRPr="00756D04" w:rsidRDefault="007B36E1" w:rsidP="007B36E1">
      <w:pPr>
        <w:rPr>
          <w:b/>
          <w:szCs w:val="26"/>
        </w:rPr>
      </w:pPr>
      <w:r w:rsidRPr="00756D04">
        <w:rPr>
          <w:b/>
          <w:i/>
          <w:szCs w:val="26"/>
        </w:rPr>
        <w:t>Williams</w:t>
      </w:r>
      <w:r>
        <w:rPr>
          <w:b/>
          <w:i/>
          <w:szCs w:val="26"/>
        </w:rPr>
        <w:t xml:space="preserve"> v. Comm’r of Pub.</w:t>
      </w:r>
      <w:r w:rsidRPr="00756D04">
        <w:rPr>
          <w:b/>
          <w:i/>
          <w:szCs w:val="26"/>
        </w:rPr>
        <w:t xml:space="preserve"> Safety</w:t>
      </w:r>
      <w:r w:rsidRPr="00756D04">
        <w:rPr>
          <w:b/>
          <w:szCs w:val="26"/>
        </w:rPr>
        <w:t xml:space="preserve">, </w:t>
      </w:r>
      <w:r>
        <w:rPr>
          <w:b/>
          <w:szCs w:val="26"/>
        </w:rPr>
        <w:t>830</w:t>
      </w:r>
      <w:r w:rsidRPr="00756D04">
        <w:rPr>
          <w:b/>
          <w:szCs w:val="26"/>
        </w:rPr>
        <w:t xml:space="preserve"> N.W.2d </w:t>
      </w:r>
      <w:r>
        <w:rPr>
          <w:b/>
          <w:szCs w:val="26"/>
        </w:rPr>
        <w:t>442</w:t>
      </w:r>
      <w:r w:rsidRPr="00756D04">
        <w:rPr>
          <w:b/>
          <w:szCs w:val="26"/>
        </w:rPr>
        <w:t xml:space="preserve"> (Minn. App. Apr. 15, 2013)</w:t>
      </w:r>
      <w:r>
        <w:rPr>
          <w:b/>
          <w:szCs w:val="26"/>
        </w:rPr>
        <w:t xml:space="preserve">, </w:t>
      </w:r>
      <w:r>
        <w:rPr>
          <w:b/>
          <w:i/>
          <w:szCs w:val="26"/>
        </w:rPr>
        <w:t>review denied</w:t>
      </w:r>
      <w:r>
        <w:rPr>
          <w:b/>
          <w:szCs w:val="26"/>
        </w:rPr>
        <w:t xml:space="preserve"> (Minn. July 16, 2013)</w:t>
      </w:r>
      <w:r w:rsidRPr="00756D04">
        <w:rPr>
          <w:b/>
          <w:szCs w:val="26"/>
        </w:rPr>
        <w:t xml:space="preserve"> (A12-1548, A12-1576, A12-1578).  </w:t>
      </w:r>
    </w:p>
    <w:p w:rsidR="007B36E1" w:rsidRPr="007B36E1" w:rsidRDefault="007B36E1" w:rsidP="007B36E1">
      <w:pPr>
        <w:suppressAutoHyphens w:val="0"/>
        <w:jc w:val="left"/>
      </w:pPr>
      <w:r w:rsidRPr="00756D04">
        <w:rPr>
          <w:b/>
          <w:szCs w:val="26"/>
        </w:rPr>
        <w:tab/>
      </w:r>
      <w:r w:rsidRPr="00756D04">
        <w:rPr>
          <w:szCs w:val="26"/>
        </w:rPr>
        <w:t>When mailing notice of revocation and revocation of a driver’s license to a licensee for violating Minn. Stat. § 169A.52, subds. 3(a), 4(a) (2012), the Minnesota Commissioner of Public Safety does not violate the procedural due process rights of the licensee by providing that licensee with six days’ notice of revocation, notwithstanding that those who are served with notice of immediate revocation under Minn. Stat. § 169A.52, subd. 7 (2012), receive a seven-day temporary driver’s license.</w:t>
      </w:r>
    </w:p>
    <w:p w:rsidR="007E6091" w:rsidRPr="000C7EFC" w:rsidRDefault="007E6091" w:rsidP="000C7EFC">
      <w:pPr>
        <w:outlineLvl w:val="3"/>
        <w:rPr>
          <w:b/>
          <w:bCs/>
          <w:szCs w:val="26"/>
        </w:rPr>
      </w:pPr>
    </w:p>
    <w:p w:rsidR="007B36E1" w:rsidRDefault="007B36E1" w:rsidP="007B36E1">
      <w:pPr>
        <w:suppressAutoHyphens w:val="0"/>
        <w:jc w:val="left"/>
        <w:rPr>
          <w:b/>
          <w:u w:val="single"/>
        </w:rPr>
      </w:pPr>
    </w:p>
    <w:p w:rsidR="003856A1" w:rsidRPr="007B36E1" w:rsidRDefault="003856A1" w:rsidP="007B36E1">
      <w:pPr>
        <w:suppressAutoHyphens w:val="0"/>
        <w:jc w:val="left"/>
        <w:rPr>
          <w:b/>
          <w:u w:val="single"/>
        </w:rPr>
      </w:pPr>
      <w:r>
        <w:rPr>
          <w:b/>
          <w:u w:val="single"/>
        </w:rPr>
        <w:t>Alternative Dispute Resolution</w:t>
      </w:r>
    </w:p>
    <w:p w:rsidR="003856A1" w:rsidRDefault="003856A1" w:rsidP="003856A1">
      <w:pPr>
        <w:tabs>
          <w:tab w:val="left" w:pos="720"/>
          <w:tab w:val="left" w:pos="1440"/>
          <w:tab w:val="left" w:pos="2160"/>
        </w:tabs>
      </w:pPr>
    </w:p>
    <w:p w:rsidR="007E6091" w:rsidRPr="00756D04" w:rsidRDefault="007E6091" w:rsidP="007E6091">
      <w:pPr>
        <w:rPr>
          <w:b/>
          <w:szCs w:val="26"/>
        </w:rPr>
      </w:pPr>
      <w:r w:rsidRPr="00756D04">
        <w:rPr>
          <w:b/>
          <w:i/>
          <w:szCs w:val="26"/>
        </w:rPr>
        <w:t>Seagate Tech</w:t>
      </w:r>
      <w:r>
        <w:rPr>
          <w:b/>
          <w:i/>
          <w:szCs w:val="26"/>
        </w:rPr>
        <w:t>.</w:t>
      </w:r>
      <w:r w:rsidRPr="00756D04">
        <w:rPr>
          <w:b/>
          <w:i/>
          <w:szCs w:val="26"/>
        </w:rPr>
        <w:t xml:space="preserve"> v. </w:t>
      </w:r>
      <w:r>
        <w:rPr>
          <w:b/>
          <w:i/>
          <w:szCs w:val="26"/>
        </w:rPr>
        <w:t>W.</w:t>
      </w:r>
      <w:r w:rsidRPr="00756D04">
        <w:rPr>
          <w:b/>
          <w:i/>
          <w:szCs w:val="26"/>
        </w:rPr>
        <w:t xml:space="preserve"> Digital </w:t>
      </w:r>
      <w:r>
        <w:rPr>
          <w:b/>
          <w:i/>
          <w:szCs w:val="26"/>
        </w:rPr>
        <w:t>Corp.</w:t>
      </w:r>
      <w:r w:rsidRPr="00756D04">
        <w:rPr>
          <w:b/>
          <w:szCs w:val="26"/>
        </w:rPr>
        <w:t xml:space="preserve">, </w:t>
      </w:r>
      <w:r>
        <w:rPr>
          <w:b/>
          <w:szCs w:val="26"/>
        </w:rPr>
        <w:t>834</w:t>
      </w:r>
      <w:r w:rsidRPr="00756D04">
        <w:rPr>
          <w:b/>
          <w:szCs w:val="26"/>
        </w:rPr>
        <w:t xml:space="preserve"> N.W.2d </w:t>
      </w:r>
      <w:r>
        <w:rPr>
          <w:b/>
          <w:szCs w:val="26"/>
        </w:rPr>
        <w:t>555</w:t>
      </w:r>
      <w:r w:rsidRPr="00756D04">
        <w:rPr>
          <w:b/>
          <w:szCs w:val="26"/>
        </w:rPr>
        <w:t xml:space="preserve"> (Minn. App. July 22, 2013)</w:t>
      </w:r>
      <w:r>
        <w:rPr>
          <w:b/>
          <w:szCs w:val="26"/>
        </w:rPr>
        <w:t xml:space="preserve">, </w:t>
      </w:r>
      <w:r>
        <w:rPr>
          <w:b/>
          <w:i/>
          <w:szCs w:val="26"/>
        </w:rPr>
        <w:t xml:space="preserve">review granted </w:t>
      </w:r>
      <w:r>
        <w:rPr>
          <w:b/>
          <w:szCs w:val="26"/>
        </w:rPr>
        <w:t>(Minn. Oct. 15, 2013)</w:t>
      </w:r>
      <w:r w:rsidRPr="00756D04">
        <w:rPr>
          <w:b/>
          <w:szCs w:val="26"/>
        </w:rPr>
        <w:t xml:space="preserve"> (A12-1944).</w:t>
      </w:r>
    </w:p>
    <w:p w:rsidR="007E6091" w:rsidRPr="00756D04" w:rsidRDefault="007E6091" w:rsidP="007E6091">
      <w:pPr>
        <w:outlineLvl w:val="0"/>
        <w:rPr>
          <w:szCs w:val="26"/>
        </w:rPr>
      </w:pPr>
      <w:r w:rsidRPr="00756D04">
        <w:rPr>
          <w:szCs w:val="26"/>
        </w:rPr>
        <w:tab/>
        <w:t>1.</w:t>
      </w:r>
      <w:r w:rsidRPr="00756D04">
        <w:rPr>
          <w:szCs w:val="26"/>
        </w:rPr>
        <w:tab/>
        <w:t xml:space="preserve">A party to arbitration waives its right to object to an arbitrator’s authority to impose sanctions when that party (a) fails to raise the issue before the arbitrator and (b) seeks the imposition of sanctions against the other party to the arbitration.  </w:t>
      </w:r>
    </w:p>
    <w:p w:rsidR="007E6091" w:rsidRPr="00756D04" w:rsidRDefault="007E6091" w:rsidP="007E6091">
      <w:pPr>
        <w:ind w:firstLine="720"/>
        <w:outlineLvl w:val="0"/>
        <w:rPr>
          <w:b/>
          <w:szCs w:val="26"/>
        </w:rPr>
      </w:pPr>
      <w:r w:rsidRPr="00756D04">
        <w:rPr>
          <w:szCs w:val="26"/>
        </w:rPr>
        <w:t>2.</w:t>
      </w:r>
      <w:r w:rsidRPr="00756D04">
        <w:rPr>
          <w:szCs w:val="26"/>
        </w:rPr>
        <w:tab/>
        <w:t xml:space="preserve">An arbitrator does not exceed his authority by imposing sanctions for bad-faith litigation conduct when both the arbitration agreement and the applicable arbitration rules, although silent on the issue of sanctions, provide the arbitrator with broad authority to grant relief.  </w:t>
      </w:r>
      <w:r w:rsidRPr="00756D04">
        <w:rPr>
          <w:b/>
          <w:szCs w:val="26"/>
        </w:rPr>
        <w:t xml:space="preserve"> </w:t>
      </w:r>
    </w:p>
    <w:p w:rsidR="007B36E1" w:rsidRDefault="007E6091" w:rsidP="007B36E1">
      <w:pPr>
        <w:rPr>
          <w:szCs w:val="26"/>
        </w:rPr>
      </w:pPr>
      <w:r w:rsidRPr="00756D04">
        <w:rPr>
          <w:szCs w:val="26"/>
        </w:rPr>
        <w:tab/>
        <w:t xml:space="preserve">3. </w:t>
      </w:r>
      <w:r w:rsidRPr="00756D04">
        <w:rPr>
          <w:szCs w:val="26"/>
        </w:rPr>
        <w:tab/>
        <w:t xml:space="preserve">The district court abuses its discretion by ordering a rehearing before a new arbitrator without making findings that the award was procured by fraud or corruption, or that the arbitrator exhibited partiality, or that some other basis supports beginning </w:t>
      </w:r>
      <w:r w:rsidR="007B36E1">
        <w:rPr>
          <w:szCs w:val="26"/>
        </w:rPr>
        <w:t>the arbitration anew.</w:t>
      </w:r>
    </w:p>
    <w:p w:rsidR="003856A1" w:rsidRPr="007B36E1" w:rsidRDefault="003856A1" w:rsidP="007B36E1">
      <w:pPr>
        <w:rPr>
          <w:szCs w:val="26"/>
        </w:rPr>
      </w:pPr>
      <w:r>
        <w:rPr>
          <w:b/>
          <w:u w:val="single"/>
        </w:rPr>
        <w:t>Appellate Procedure</w:t>
      </w:r>
    </w:p>
    <w:p w:rsidR="003856A1" w:rsidRDefault="003856A1" w:rsidP="003856A1"/>
    <w:p w:rsidR="003856A1" w:rsidRPr="00E05403" w:rsidRDefault="003856A1" w:rsidP="003856A1">
      <w:pPr>
        <w:rPr>
          <w:b/>
          <w:bCs/>
          <w:szCs w:val="26"/>
        </w:rPr>
      </w:pPr>
      <w:r w:rsidRPr="00E05403">
        <w:rPr>
          <w:b/>
          <w:i/>
          <w:szCs w:val="26"/>
        </w:rPr>
        <w:t>Banal-Shepherd v. Shepherd</w:t>
      </w:r>
      <w:r w:rsidRPr="00E05403">
        <w:rPr>
          <w:b/>
          <w:szCs w:val="26"/>
        </w:rPr>
        <w:t xml:space="preserve">, </w:t>
      </w:r>
      <w:r w:rsidRPr="00E05403">
        <w:rPr>
          <w:b/>
          <w:bCs/>
          <w:szCs w:val="26"/>
        </w:rPr>
        <w:t xml:space="preserve">829 N.W.2d 426 (Minn. App. Mar. 25, 2013), </w:t>
      </w:r>
      <w:r w:rsidRPr="00E05403">
        <w:rPr>
          <w:b/>
          <w:bCs/>
          <w:i/>
          <w:szCs w:val="26"/>
        </w:rPr>
        <w:t xml:space="preserve">review denied </w:t>
      </w:r>
      <w:r w:rsidRPr="00E05403">
        <w:rPr>
          <w:b/>
          <w:bCs/>
          <w:szCs w:val="26"/>
        </w:rPr>
        <w:t>(Minn. May 21, 2013)</w:t>
      </w:r>
      <w:r w:rsidR="004029B6" w:rsidRPr="00E05403">
        <w:rPr>
          <w:b/>
          <w:bCs/>
          <w:szCs w:val="26"/>
        </w:rPr>
        <w:t xml:space="preserve"> (A12-1933)</w:t>
      </w:r>
      <w:r w:rsidRPr="00E05403">
        <w:rPr>
          <w:b/>
          <w:bCs/>
          <w:szCs w:val="26"/>
        </w:rPr>
        <w:t xml:space="preserve">.  </w:t>
      </w:r>
    </w:p>
    <w:p w:rsidR="00756ABC" w:rsidRDefault="003856A1" w:rsidP="003856A1">
      <w:pPr>
        <w:rPr>
          <w:szCs w:val="26"/>
        </w:rPr>
      </w:pPr>
      <w:r w:rsidRPr="00E05403">
        <w:rPr>
          <w:b/>
          <w:bCs/>
          <w:szCs w:val="26"/>
        </w:rPr>
        <w:tab/>
      </w:r>
      <w:r w:rsidRPr="00E05403">
        <w:rPr>
          <w:szCs w:val="26"/>
        </w:rPr>
        <w:t xml:space="preserve">In a custody proceeding, an appellant must timely serve a notice of appeal on all adverse parties, and a guardian ad litem is an adverse party to such an appeal if the guardian was a party in the district court and if the guardian’s position with respect to the issues in the case might be prejudiced by a reversal or modification of the district court’s order. </w:t>
      </w:r>
    </w:p>
    <w:p w:rsidR="00756ABC" w:rsidRDefault="00756ABC" w:rsidP="003856A1">
      <w:pPr>
        <w:rPr>
          <w:szCs w:val="26"/>
        </w:rPr>
      </w:pPr>
    </w:p>
    <w:p w:rsidR="00756ABC" w:rsidRPr="006400C5" w:rsidRDefault="00756ABC" w:rsidP="00756ABC">
      <w:pPr>
        <w:outlineLvl w:val="3"/>
        <w:rPr>
          <w:b/>
          <w:bCs/>
          <w:szCs w:val="26"/>
        </w:rPr>
      </w:pPr>
      <w:r w:rsidRPr="006400C5">
        <w:rPr>
          <w:b/>
          <w:bCs/>
          <w:i/>
          <w:szCs w:val="26"/>
        </w:rPr>
        <w:t>Phillips v. LaPlante</w:t>
      </w:r>
      <w:r w:rsidRPr="006400C5">
        <w:rPr>
          <w:b/>
          <w:bCs/>
          <w:szCs w:val="26"/>
        </w:rPr>
        <w:t xml:space="preserve">, </w:t>
      </w:r>
      <w:r>
        <w:rPr>
          <w:b/>
          <w:bCs/>
          <w:szCs w:val="26"/>
        </w:rPr>
        <w:t>823</w:t>
      </w:r>
      <w:r w:rsidRPr="006400C5">
        <w:rPr>
          <w:b/>
          <w:bCs/>
          <w:szCs w:val="26"/>
        </w:rPr>
        <w:t xml:space="preserve"> N.W.2d </w:t>
      </w:r>
      <w:r>
        <w:rPr>
          <w:b/>
          <w:bCs/>
          <w:szCs w:val="26"/>
        </w:rPr>
        <w:t xml:space="preserve">903 </w:t>
      </w:r>
      <w:r w:rsidRPr="006400C5">
        <w:rPr>
          <w:b/>
          <w:bCs/>
          <w:szCs w:val="26"/>
        </w:rPr>
        <w:t>(Minn. App. Dec. 3, 2012)</w:t>
      </w:r>
      <w:r>
        <w:rPr>
          <w:b/>
          <w:bCs/>
          <w:szCs w:val="26"/>
        </w:rPr>
        <w:t xml:space="preserve">, </w:t>
      </w:r>
      <w:r>
        <w:rPr>
          <w:b/>
          <w:bCs/>
          <w:i/>
          <w:szCs w:val="26"/>
        </w:rPr>
        <w:t xml:space="preserve">review denied </w:t>
      </w:r>
      <w:r>
        <w:rPr>
          <w:b/>
          <w:bCs/>
          <w:szCs w:val="26"/>
        </w:rPr>
        <w:t xml:space="preserve">(Minn. Aug. 6, 2013) </w:t>
      </w:r>
      <w:r w:rsidRPr="006400C5">
        <w:rPr>
          <w:b/>
          <w:bCs/>
          <w:szCs w:val="26"/>
        </w:rPr>
        <w:t xml:space="preserve">(A12-1382).  </w:t>
      </w:r>
    </w:p>
    <w:p w:rsidR="00756ABC" w:rsidRPr="006400C5" w:rsidRDefault="00756ABC" w:rsidP="00756ABC">
      <w:pPr>
        <w:outlineLvl w:val="3"/>
        <w:rPr>
          <w:b/>
          <w:bCs/>
          <w:szCs w:val="26"/>
        </w:rPr>
      </w:pPr>
      <w:r w:rsidRPr="006400C5">
        <w:rPr>
          <w:b/>
          <w:bCs/>
          <w:szCs w:val="26"/>
        </w:rPr>
        <w:tab/>
      </w:r>
      <w:r w:rsidRPr="006400C5">
        <w:rPr>
          <w:szCs w:val="26"/>
        </w:rPr>
        <w:t>Appellant’s request for need-based attorney fees under section 518.14, subdivision 1, of the Minnesota Statutes was separate from her underlying motion to enforce respondent’s spousal-maintenance obligation.  Thus, the district court order ruling on the underlying spousal-maintenance motion was not final and appealable until the district court determined all aspects of appellant’s request for attorney fees.</w:t>
      </w:r>
    </w:p>
    <w:p w:rsidR="007B36E1" w:rsidRPr="007B36E1" w:rsidRDefault="003856A1" w:rsidP="007B36E1">
      <w:r w:rsidRPr="00E05403">
        <w:rPr>
          <w:szCs w:val="26"/>
        </w:rPr>
        <w:t xml:space="preserve"> </w:t>
      </w:r>
    </w:p>
    <w:p w:rsidR="007B36E1" w:rsidRDefault="007B36E1">
      <w:pPr>
        <w:suppressAutoHyphens w:val="0"/>
        <w:jc w:val="left"/>
        <w:rPr>
          <w:b/>
          <w:szCs w:val="26"/>
          <w:u w:val="single"/>
        </w:rPr>
      </w:pPr>
    </w:p>
    <w:p w:rsidR="003856A1" w:rsidRPr="00D61257" w:rsidRDefault="003856A1" w:rsidP="003856A1">
      <w:pPr>
        <w:rPr>
          <w:szCs w:val="26"/>
        </w:rPr>
      </w:pPr>
      <w:r w:rsidRPr="00D61257">
        <w:rPr>
          <w:b/>
          <w:szCs w:val="26"/>
          <w:u w:val="single"/>
        </w:rPr>
        <w:t>Child Protection</w:t>
      </w:r>
    </w:p>
    <w:p w:rsidR="003856A1" w:rsidRDefault="003856A1" w:rsidP="003856A1"/>
    <w:p w:rsidR="003856A1" w:rsidRPr="006400C5" w:rsidRDefault="003856A1" w:rsidP="003856A1">
      <w:pPr>
        <w:outlineLvl w:val="3"/>
        <w:rPr>
          <w:b/>
          <w:bCs/>
          <w:szCs w:val="26"/>
        </w:rPr>
      </w:pPr>
      <w:r w:rsidRPr="006400C5">
        <w:rPr>
          <w:b/>
          <w:bCs/>
          <w:i/>
          <w:szCs w:val="26"/>
        </w:rPr>
        <w:t>In re W</w:t>
      </w:r>
      <w:r>
        <w:rPr>
          <w:b/>
          <w:bCs/>
          <w:i/>
          <w:szCs w:val="26"/>
        </w:rPr>
        <w:t>elfare of Children of K.S.</w:t>
      </w:r>
      <w:r w:rsidRPr="006400C5">
        <w:rPr>
          <w:b/>
          <w:bCs/>
          <w:i/>
          <w:szCs w:val="26"/>
        </w:rPr>
        <w:t>F.</w:t>
      </w:r>
      <w:r w:rsidRPr="006400C5">
        <w:rPr>
          <w:b/>
          <w:bCs/>
          <w:szCs w:val="26"/>
        </w:rPr>
        <w:t xml:space="preserve">, </w:t>
      </w:r>
      <w:r>
        <w:rPr>
          <w:b/>
          <w:bCs/>
          <w:szCs w:val="26"/>
        </w:rPr>
        <w:t>823</w:t>
      </w:r>
      <w:r w:rsidRPr="006400C5">
        <w:rPr>
          <w:b/>
          <w:bCs/>
          <w:szCs w:val="26"/>
        </w:rPr>
        <w:t xml:space="preserve"> N.W.2d </w:t>
      </w:r>
      <w:r>
        <w:rPr>
          <w:b/>
          <w:bCs/>
          <w:szCs w:val="26"/>
        </w:rPr>
        <w:t xml:space="preserve">656 </w:t>
      </w:r>
      <w:r w:rsidRPr="006400C5">
        <w:rPr>
          <w:b/>
          <w:bCs/>
          <w:szCs w:val="26"/>
        </w:rPr>
        <w:t>(Minn. App. Oct. 15, 2012) (A12-0631)</w:t>
      </w:r>
      <w:r>
        <w:rPr>
          <w:b/>
          <w:bCs/>
          <w:szCs w:val="26"/>
        </w:rPr>
        <w:t>.</w:t>
      </w:r>
    </w:p>
    <w:p w:rsidR="008D5456" w:rsidRDefault="003856A1" w:rsidP="007B36E1">
      <w:pPr>
        <w:ind w:firstLine="720"/>
        <w:rPr>
          <w:color w:val="000000"/>
          <w:szCs w:val="26"/>
        </w:rPr>
      </w:pPr>
      <w:r w:rsidRPr="006400C5">
        <w:rPr>
          <w:color w:val="000000"/>
          <w:szCs w:val="26"/>
        </w:rPr>
        <w:t>The standard of proof in a termination-of-parental-rights proceeding is clear-and-convincing evidence.</w:t>
      </w:r>
    </w:p>
    <w:p w:rsidR="007B36E1" w:rsidRDefault="007B36E1" w:rsidP="007B36E1">
      <w:pPr>
        <w:ind w:firstLine="720"/>
        <w:rPr>
          <w:color w:val="000000"/>
          <w:szCs w:val="26"/>
        </w:rPr>
      </w:pPr>
    </w:p>
    <w:p w:rsidR="007B36E1" w:rsidRPr="007B36E1" w:rsidRDefault="007B36E1" w:rsidP="007B36E1">
      <w:pPr>
        <w:ind w:firstLine="720"/>
        <w:rPr>
          <w:color w:val="000000"/>
          <w:szCs w:val="26"/>
        </w:rPr>
      </w:pPr>
    </w:p>
    <w:p w:rsidR="003856A1" w:rsidRDefault="003856A1" w:rsidP="003856A1">
      <w:pPr>
        <w:rPr>
          <w:b/>
          <w:u w:val="single"/>
        </w:rPr>
      </w:pPr>
      <w:r w:rsidRPr="00BA7A00">
        <w:rPr>
          <w:b/>
          <w:u w:val="single"/>
        </w:rPr>
        <w:t>Civil Procedure</w:t>
      </w:r>
    </w:p>
    <w:p w:rsidR="003856A1" w:rsidRDefault="003856A1" w:rsidP="003856A1">
      <w:pPr>
        <w:autoSpaceDE w:val="0"/>
        <w:autoSpaceDN w:val="0"/>
        <w:adjustRightInd w:val="0"/>
        <w:rPr>
          <w:szCs w:val="26"/>
        </w:rPr>
      </w:pPr>
    </w:p>
    <w:p w:rsidR="00CC261B" w:rsidRPr="00756D04" w:rsidRDefault="00CC261B" w:rsidP="00CC261B">
      <w:pPr>
        <w:rPr>
          <w:b/>
        </w:rPr>
      </w:pPr>
      <w:r>
        <w:rPr>
          <w:b/>
          <w:i/>
        </w:rPr>
        <w:t xml:space="preserve">Elbert </w:t>
      </w:r>
      <w:r w:rsidRPr="00756D04">
        <w:rPr>
          <w:b/>
          <w:i/>
        </w:rPr>
        <w:t>v. Tlam</w:t>
      </w:r>
      <w:r w:rsidRPr="00756D04">
        <w:rPr>
          <w:b/>
        </w:rPr>
        <w:t xml:space="preserve">, </w:t>
      </w:r>
      <w:r>
        <w:rPr>
          <w:b/>
        </w:rPr>
        <w:t>830</w:t>
      </w:r>
      <w:r w:rsidRPr="00756D04">
        <w:rPr>
          <w:b/>
        </w:rPr>
        <w:t xml:space="preserve"> N.W.2d </w:t>
      </w:r>
      <w:r>
        <w:rPr>
          <w:b/>
        </w:rPr>
        <w:t>448</w:t>
      </w:r>
      <w:r w:rsidRPr="00756D04">
        <w:rPr>
          <w:b/>
        </w:rPr>
        <w:t xml:space="preserve"> (Minn. App. Apr. 29,</w:t>
      </w:r>
      <w:r w:rsidR="004029B6">
        <w:rPr>
          <w:b/>
        </w:rPr>
        <w:t xml:space="preserve"> </w:t>
      </w:r>
      <w:r w:rsidRPr="00756D04">
        <w:rPr>
          <w:b/>
        </w:rPr>
        <w:t>2013)</w:t>
      </w:r>
      <w:r>
        <w:rPr>
          <w:b/>
        </w:rPr>
        <w:t xml:space="preserve">, </w:t>
      </w:r>
      <w:r>
        <w:rPr>
          <w:b/>
          <w:i/>
        </w:rPr>
        <w:t>review granted</w:t>
      </w:r>
      <w:r>
        <w:rPr>
          <w:b/>
        </w:rPr>
        <w:t xml:space="preserve"> (Minn. July 16, 2013) </w:t>
      </w:r>
      <w:r>
        <w:rPr>
          <w:b/>
          <w:i/>
        </w:rPr>
        <w:t>and order granting review vacated</w:t>
      </w:r>
      <w:r>
        <w:rPr>
          <w:b/>
        </w:rPr>
        <w:t xml:space="preserve"> (Minn. Sept. 25, 2013)</w:t>
      </w:r>
      <w:r w:rsidRPr="00756D04">
        <w:rPr>
          <w:b/>
        </w:rPr>
        <w:t xml:space="preserve"> (A12-1960).</w:t>
      </w:r>
    </w:p>
    <w:p w:rsidR="00CC261B" w:rsidRDefault="00CC261B" w:rsidP="00CC261B">
      <w:pPr>
        <w:ind w:firstLine="720"/>
        <w:outlineLvl w:val="0"/>
        <w:rPr>
          <w:szCs w:val="26"/>
        </w:rPr>
      </w:pPr>
      <w:r w:rsidRPr="00756D04">
        <w:t>T</w:t>
      </w:r>
      <w:r w:rsidRPr="00756D04">
        <w:rPr>
          <w:color w:val="000000"/>
          <w:szCs w:val="26"/>
        </w:rPr>
        <w:t>o perfect an appeal to the district court under Minn. Stat. § 394.27, subd. 9 (2012), from an order granting a variance, the appealing party must serve notice of appeal on the adverse party or parties within the 30-day time period set forth in the statute; failure to do so is an incurable jurisdictional defect.</w:t>
      </w:r>
    </w:p>
    <w:p w:rsidR="00CC261B" w:rsidRDefault="00CC261B" w:rsidP="003856A1">
      <w:pPr>
        <w:autoSpaceDE w:val="0"/>
        <w:autoSpaceDN w:val="0"/>
        <w:adjustRightInd w:val="0"/>
        <w:rPr>
          <w:szCs w:val="26"/>
        </w:rPr>
      </w:pPr>
    </w:p>
    <w:p w:rsidR="00756ABC" w:rsidRPr="00D173EF" w:rsidRDefault="00756ABC" w:rsidP="00756ABC">
      <w:pPr>
        <w:rPr>
          <w:b/>
          <w:szCs w:val="26"/>
        </w:rPr>
      </w:pPr>
      <w:r>
        <w:rPr>
          <w:b/>
          <w:i/>
          <w:szCs w:val="26"/>
        </w:rPr>
        <w:t>N. Star Int’l</w:t>
      </w:r>
      <w:r w:rsidRPr="00D173EF">
        <w:rPr>
          <w:b/>
          <w:i/>
          <w:szCs w:val="26"/>
        </w:rPr>
        <w:t xml:space="preserve"> Trucks, Inc. v. </w:t>
      </w:r>
      <w:r>
        <w:rPr>
          <w:b/>
          <w:i/>
          <w:szCs w:val="26"/>
        </w:rPr>
        <w:t>Navistar, Inc.</w:t>
      </w:r>
      <w:r w:rsidRPr="00D173EF">
        <w:rPr>
          <w:b/>
          <w:szCs w:val="26"/>
        </w:rPr>
        <w:t xml:space="preserve">, </w:t>
      </w:r>
      <w:r>
        <w:rPr>
          <w:b/>
          <w:szCs w:val="26"/>
        </w:rPr>
        <w:t>837 N.W.2d 320</w:t>
      </w:r>
      <w:r w:rsidRPr="00D173EF">
        <w:rPr>
          <w:b/>
          <w:szCs w:val="26"/>
        </w:rPr>
        <w:t xml:space="preserve"> (Minn. App. Aug. 26, 2013) (A13-0304).</w:t>
      </w:r>
    </w:p>
    <w:p w:rsidR="00756ABC" w:rsidRPr="007B36E1" w:rsidRDefault="00756ABC" w:rsidP="007B36E1">
      <w:pPr>
        <w:pStyle w:val="Heading1"/>
        <w:keepNext w:val="0"/>
        <w:rPr>
          <w:b w:val="0"/>
          <w:szCs w:val="26"/>
        </w:rPr>
      </w:pPr>
      <w:r w:rsidRPr="00D173EF">
        <w:rPr>
          <w:b w:val="0"/>
          <w:szCs w:val="26"/>
        </w:rPr>
        <w:tab/>
        <w:t>Neither requesting leave to file a motion for reconsideration nor filing a motion for reconsideration tolls or extends the time to appeal an order or judgment or prevents it from becoming final.</w:t>
      </w:r>
    </w:p>
    <w:p w:rsidR="003856A1" w:rsidRPr="006400C5" w:rsidRDefault="003856A1" w:rsidP="003856A1">
      <w:pPr>
        <w:outlineLvl w:val="3"/>
        <w:rPr>
          <w:b/>
          <w:bCs/>
          <w:szCs w:val="26"/>
        </w:rPr>
      </w:pPr>
      <w:r w:rsidRPr="006400C5">
        <w:rPr>
          <w:b/>
          <w:bCs/>
          <w:i/>
          <w:szCs w:val="26"/>
        </w:rPr>
        <w:t>Phelps v. State</w:t>
      </w:r>
      <w:r w:rsidRPr="006400C5">
        <w:rPr>
          <w:b/>
          <w:bCs/>
          <w:szCs w:val="26"/>
        </w:rPr>
        <w:t xml:space="preserve">, </w:t>
      </w:r>
      <w:r>
        <w:rPr>
          <w:b/>
          <w:bCs/>
          <w:szCs w:val="26"/>
        </w:rPr>
        <w:t>823</w:t>
      </w:r>
      <w:r w:rsidRPr="006400C5">
        <w:rPr>
          <w:b/>
          <w:bCs/>
          <w:szCs w:val="26"/>
        </w:rPr>
        <w:t xml:space="preserve"> N.W.2d </w:t>
      </w:r>
      <w:r>
        <w:rPr>
          <w:b/>
          <w:bCs/>
          <w:szCs w:val="26"/>
        </w:rPr>
        <w:t>891</w:t>
      </w:r>
      <w:r w:rsidRPr="006400C5">
        <w:rPr>
          <w:b/>
          <w:bCs/>
          <w:szCs w:val="26"/>
        </w:rPr>
        <w:t xml:space="preserve"> (Minn. A</w:t>
      </w:r>
      <w:r>
        <w:rPr>
          <w:b/>
          <w:bCs/>
          <w:szCs w:val="26"/>
        </w:rPr>
        <w:t>pp. Nov. 19, 2012) (A12-0934).</w:t>
      </w:r>
    </w:p>
    <w:p w:rsidR="007E0313" w:rsidRDefault="003856A1" w:rsidP="003856A1">
      <w:pPr>
        <w:outlineLvl w:val="3"/>
        <w:rPr>
          <w:szCs w:val="26"/>
        </w:rPr>
      </w:pPr>
      <w:r w:rsidRPr="006400C5">
        <w:rPr>
          <w:b/>
          <w:bCs/>
          <w:szCs w:val="26"/>
        </w:rPr>
        <w:tab/>
      </w:r>
      <w:r w:rsidRPr="006400C5">
        <w:rPr>
          <w:szCs w:val="26"/>
        </w:rPr>
        <w:t>When a motion under Minn. R. Gen. Prac</w:t>
      </w:r>
      <w:r>
        <w:rPr>
          <w:szCs w:val="26"/>
        </w:rPr>
        <w:t>t</w:t>
      </w:r>
      <w:r w:rsidRPr="006400C5">
        <w:rPr>
          <w:szCs w:val="26"/>
        </w:rPr>
        <w:t xml:space="preserve">. 9.01–.07 is the only matter before the district court, a district court’s exercise of its authority to sua sponte grant summary judgment is not proper because (1) it violates the provision of rule 9 requiring the non-rule 9 aspects of the case to be stayed pending resolution of the rule 9 questions, and (2) the party against whom summary judgment is granted lacks adequate notice and a meaningful opportunity to oppose summary judgment.   </w:t>
      </w:r>
    </w:p>
    <w:p w:rsidR="00D15D04" w:rsidRDefault="00D15D04" w:rsidP="003856A1">
      <w:pPr>
        <w:outlineLvl w:val="3"/>
        <w:rPr>
          <w:szCs w:val="26"/>
        </w:rPr>
      </w:pPr>
    </w:p>
    <w:p w:rsidR="00D15D04" w:rsidRPr="00EE627A" w:rsidRDefault="00D15D04" w:rsidP="00D15D04">
      <w:pPr>
        <w:rPr>
          <w:szCs w:val="26"/>
        </w:rPr>
      </w:pPr>
      <w:r w:rsidRPr="00756D04">
        <w:rPr>
          <w:b/>
          <w:i/>
          <w:szCs w:val="26"/>
        </w:rPr>
        <w:t>Poppler</w:t>
      </w:r>
      <w:r>
        <w:rPr>
          <w:b/>
          <w:i/>
          <w:szCs w:val="26"/>
        </w:rPr>
        <w:t xml:space="preserve"> </w:t>
      </w:r>
      <w:r w:rsidRPr="00756D04">
        <w:rPr>
          <w:b/>
          <w:i/>
          <w:szCs w:val="26"/>
        </w:rPr>
        <w:t>v. Wright Hennepin Coop</w:t>
      </w:r>
      <w:r>
        <w:rPr>
          <w:b/>
          <w:i/>
          <w:szCs w:val="26"/>
        </w:rPr>
        <w:t>.</w:t>
      </w:r>
      <w:r w:rsidRPr="00756D04">
        <w:rPr>
          <w:b/>
          <w:i/>
          <w:szCs w:val="26"/>
        </w:rPr>
        <w:t xml:space="preserve"> Electric Ass</w:t>
      </w:r>
      <w:r>
        <w:rPr>
          <w:b/>
          <w:i/>
          <w:szCs w:val="26"/>
        </w:rPr>
        <w:t>’</w:t>
      </w:r>
      <w:r w:rsidRPr="00756D04">
        <w:rPr>
          <w:b/>
          <w:i/>
          <w:szCs w:val="26"/>
        </w:rPr>
        <w:t>n</w:t>
      </w:r>
      <w:r w:rsidRPr="00756D04">
        <w:rPr>
          <w:b/>
          <w:szCs w:val="26"/>
        </w:rPr>
        <w:t xml:space="preserve">, </w:t>
      </w:r>
      <w:r>
        <w:rPr>
          <w:b/>
          <w:szCs w:val="26"/>
        </w:rPr>
        <w:t>834</w:t>
      </w:r>
      <w:r w:rsidRPr="00756D04">
        <w:rPr>
          <w:b/>
          <w:szCs w:val="26"/>
        </w:rPr>
        <w:t xml:space="preserve"> N.W.2d </w:t>
      </w:r>
      <w:r>
        <w:rPr>
          <w:b/>
          <w:szCs w:val="26"/>
        </w:rPr>
        <w:t>527</w:t>
      </w:r>
      <w:r w:rsidRPr="00756D04">
        <w:rPr>
          <w:b/>
          <w:szCs w:val="26"/>
        </w:rPr>
        <w:t xml:space="preserve"> (Minn. App. July 19, 2013)</w:t>
      </w:r>
      <w:r>
        <w:rPr>
          <w:b/>
          <w:szCs w:val="26"/>
        </w:rPr>
        <w:t xml:space="preserve">, </w:t>
      </w:r>
      <w:r>
        <w:rPr>
          <w:b/>
          <w:i/>
          <w:szCs w:val="26"/>
        </w:rPr>
        <w:t>review granted in part, denied in part</w:t>
      </w:r>
      <w:r>
        <w:rPr>
          <w:b/>
          <w:szCs w:val="26"/>
        </w:rPr>
        <w:t xml:space="preserve"> (Minn. Sept. 15, 2013)</w:t>
      </w:r>
      <w:r w:rsidRPr="00756D04">
        <w:rPr>
          <w:b/>
          <w:szCs w:val="26"/>
        </w:rPr>
        <w:t xml:space="preserve"> (A12-1615).</w:t>
      </w:r>
      <w:r w:rsidR="00EE627A">
        <w:rPr>
          <w:b/>
          <w:szCs w:val="26"/>
        </w:rPr>
        <w:t xml:space="preserve"> </w:t>
      </w:r>
      <w:r w:rsidR="00EE627A">
        <w:rPr>
          <w:szCs w:val="26"/>
        </w:rPr>
        <w:t xml:space="preserve">(See page </w:t>
      </w:r>
      <w:r w:rsidR="005729FA">
        <w:rPr>
          <w:szCs w:val="26"/>
        </w:rPr>
        <w:t>17</w:t>
      </w:r>
      <w:r w:rsidR="00EE627A">
        <w:rPr>
          <w:szCs w:val="26"/>
        </w:rPr>
        <w:t xml:space="preserve"> for additional syllabus points for this case.)</w:t>
      </w:r>
    </w:p>
    <w:p w:rsidR="00D15D04" w:rsidRPr="00756D04" w:rsidRDefault="00D15D04" w:rsidP="00037F2A">
      <w:pPr>
        <w:contextualSpacing/>
        <w:outlineLvl w:val="0"/>
        <w:rPr>
          <w:szCs w:val="26"/>
        </w:rPr>
      </w:pPr>
      <w:r w:rsidRPr="00756D04">
        <w:rPr>
          <w:szCs w:val="26"/>
        </w:rPr>
        <w:tab/>
        <w:t>1.</w:t>
      </w:r>
      <w:r w:rsidRPr="00756D04">
        <w:rPr>
          <w:szCs w:val="26"/>
        </w:rPr>
        <w:tab/>
        <w:t>A district court does not have authority under rule 49 or rule 52 of the Minnesota Rules of Civil Procedure to make additional findings on an issue that was submitted to the jury and on which the jury returned a verdict if the additional findings are unnecessary to enter a judgment.</w:t>
      </w:r>
    </w:p>
    <w:p w:rsidR="00D15D04" w:rsidRDefault="00D15D04" w:rsidP="00037F2A">
      <w:pPr>
        <w:ind w:firstLine="720"/>
        <w:rPr>
          <w:szCs w:val="26"/>
        </w:rPr>
      </w:pPr>
      <w:r w:rsidRPr="00756D04">
        <w:rPr>
          <w:szCs w:val="26"/>
        </w:rPr>
        <w:t>3.</w:t>
      </w:r>
      <w:r w:rsidRPr="00756D04">
        <w:rPr>
          <w:szCs w:val="26"/>
        </w:rPr>
        <w:tab/>
        <w:t>If a party does not object on the record to a jury instruction pursuant to rules 51.03 and 51.04 of the Minnesota Rules of Civil Procedure, this court may review the party’s challenge to the jury instruction only for plain error.</w:t>
      </w:r>
    </w:p>
    <w:p w:rsidR="007E0313" w:rsidRPr="00D173EF" w:rsidRDefault="007E0313" w:rsidP="007E0313">
      <w:pPr>
        <w:rPr>
          <w:b/>
          <w:szCs w:val="26"/>
        </w:rPr>
      </w:pPr>
    </w:p>
    <w:p w:rsidR="00625402" w:rsidRPr="00756D04" w:rsidRDefault="00625402" w:rsidP="00625402">
      <w:pPr>
        <w:outlineLvl w:val="3"/>
        <w:rPr>
          <w:b/>
          <w:bCs/>
          <w:szCs w:val="26"/>
        </w:rPr>
      </w:pPr>
      <w:r w:rsidRPr="00756D04">
        <w:rPr>
          <w:b/>
          <w:bCs/>
          <w:i/>
          <w:szCs w:val="26"/>
        </w:rPr>
        <w:t xml:space="preserve">Safety Signs, LLC v. Niles-Wiese </w:t>
      </w:r>
      <w:r>
        <w:rPr>
          <w:b/>
          <w:bCs/>
          <w:i/>
          <w:szCs w:val="26"/>
        </w:rPr>
        <w:t>Constr. Co.</w:t>
      </w:r>
      <w:r>
        <w:rPr>
          <w:b/>
          <w:bCs/>
          <w:szCs w:val="26"/>
        </w:rPr>
        <w:t xml:space="preserve">, </w:t>
      </w:r>
      <w:r w:rsidRPr="00756D04">
        <w:rPr>
          <w:b/>
          <w:bCs/>
          <w:szCs w:val="26"/>
        </w:rPr>
        <w:t xml:space="preserve">820 N.W.2d 854 (Minn. App. Sept. 17, 2012), </w:t>
      </w:r>
      <w:r w:rsidRPr="00756D04">
        <w:rPr>
          <w:b/>
          <w:bCs/>
          <w:i/>
          <w:szCs w:val="26"/>
        </w:rPr>
        <w:t>review granted</w:t>
      </w:r>
      <w:r w:rsidRPr="00756D04">
        <w:rPr>
          <w:b/>
          <w:bCs/>
          <w:szCs w:val="26"/>
        </w:rPr>
        <w:t xml:space="preserve"> (Minn. Nov. 27, 2012) (A12-0370).</w:t>
      </w:r>
    </w:p>
    <w:p w:rsidR="00625402" w:rsidRPr="00756D04" w:rsidRDefault="00625402" w:rsidP="00625402">
      <w:pPr>
        <w:contextualSpacing/>
        <w:rPr>
          <w:szCs w:val="26"/>
        </w:rPr>
      </w:pPr>
      <w:r w:rsidRPr="00756D04">
        <w:rPr>
          <w:szCs w:val="26"/>
        </w:rPr>
        <w:tab/>
        <w:t>1.</w:t>
      </w:r>
      <w:r w:rsidRPr="00756D04">
        <w:rPr>
          <w:szCs w:val="26"/>
        </w:rPr>
        <w:tab/>
        <w:t>Service of notice of a payment-bond claim is effective upon mailing.</w:t>
      </w:r>
    </w:p>
    <w:p w:rsidR="00625402" w:rsidRPr="00756D04" w:rsidRDefault="00625402" w:rsidP="00625402">
      <w:pPr>
        <w:contextualSpacing/>
        <w:rPr>
          <w:szCs w:val="26"/>
        </w:rPr>
      </w:pPr>
      <w:r w:rsidRPr="00756D04">
        <w:rPr>
          <w:szCs w:val="26"/>
        </w:rPr>
        <w:tab/>
        <w:t>2.</w:t>
      </w:r>
      <w:r w:rsidRPr="00756D04">
        <w:rPr>
          <w:szCs w:val="26"/>
        </w:rPr>
        <w:tab/>
        <w:t xml:space="preserve">Strict compliance with the notice requirements in Minn. Stat. § 574.31, subd. 2(a) (2010), is a condition precedent to a payment-bond claim.  </w:t>
      </w:r>
    </w:p>
    <w:p w:rsidR="00625402" w:rsidRPr="00756D04" w:rsidRDefault="00625402" w:rsidP="00625402">
      <w:pPr>
        <w:contextualSpacing/>
        <w:rPr>
          <w:szCs w:val="26"/>
        </w:rPr>
      </w:pPr>
      <w:r w:rsidRPr="00756D04">
        <w:rPr>
          <w:szCs w:val="26"/>
        </w:rPr>
        <w:tab/>
        <w:t>3.</w:t>
      </w:r>
      <w:r w:rsidRPr="00756D04">
        <w:rPr>
          <w:szCs w:val="26"/>
        </w:rPr>
        <w:tab/>
        <w:t>A defect in service of a notice of a payment-bond claim cannot be waived.</w:t>
      </w:r>
    </w:p>
    <w:p w:rsidR="00625402" w:rsidRDefault="00625402" w:rsidP="007E0313">
      <w:pPr>
        <w:rPr>
          <w:b/>
          <w:i/>
          <w:szCs w:val="26"/>
        </w:rPr>
      </w:pPr>
    </w:p>
    <w:p w:rsidR="007E0313" w:rsidRPr="00D173EF" w:rsidRDefault="007E0313" w:rsidP="007E0313">
      <w:pPr>
        <w:rPr>
          <w:b/>
          <w:szCs w:val="26"/>
        </w:rPr>
      </w:pPr>
      <w:r w:rsidRPr="00D173EF">
        <w:rPr>
          <w:b/>
          <w:i/>
          <w:szCs w:val="26"/>
        </w:rPr>
        <w:t>Sterling State B</w:t>
      </w:r>
      <w:r>
        <w:rPr>
          <w:b/>
          <w:i/>
          <w:szCs w:val="26"/>
        </w:rPr>
        <w:t>ank v. Maas Commercial Prop</w:t>
      </w:r>
      <w:r w:rsidRPr="00D173EF">
        <w:rPr>
          <w:b/>
          <w:i/>
          <w:szCs w:val="26"/>
        </w:rPr>
        <w:t>s</w:t>
      </w:r>
      <w:r>
        <w:rPr>
          <w:b/>
          <w:i/>
          <w:szCs w:val="26"/>
        </w:rPr>
        <w:t>.</w:t>
      </w:r>
      <w:r w:rsidRPr="00D173EF">
        <w:rPr>
          <w:b/>
          <w:i/>
          <w:szCs w:val="26"/>
        </w:rPr>
        <w:t>, LLC,</w:t>
      </w:r>
      <w:r w:rsidRPr="00D173EF">
        <w:rPr>
          <w:b/>
          <w:szCs w:val="26"/>
        </w:rPr>
        <w:t xml:space="preserve"> </w:t>
      </w:r>
      <w:r>
        <w:rPr>
          <w:b/>
          <w:szCs w:val="26"/>
        </w:rPr>
        <w:t>837 N.W.2d 733</w:t>
      </w:r>
      <w:r w:rsidRPr="00D173EF">
        <w:rPr>
          <w:b/>
          <w:szCs w:val="26"/>
        </w:rPr>
        <w:t xml:space="preserve"> (Minn. App. Aug. 26, 2013)</w:t>
      </w:r>
      <w:r>
        <w:rPr>
          <w:b/>
          <w:szCs w:val="26"/>
        </w:rPr>
        <w:t xml:space="preserve">, </w:t>
      </w:r>
      <w:r>
        <w:rPr>
          <w:b/>
          <w:i/>
          <w:szCs w:val="26"/>
        </w:rPr>
        <w:t>review denied</w:t>
      </w:r>
      <w:r>
        <w:rPr>
          <w:b/>
          <w:szCs w:val="26"/>
        </w:rPr>
        <w:t xml:space="preserve"> (Minn. Nov. 12, 2013)</w:t>
      </w:r>
      <w:r w:rsidRPr="00D173EF">
        <w:rPr>
          <w:b/>
          <w:szCs w:val="26"/>
        </w:rPr>
        <w:t xml:space="preserve"> (A13-0643).</w:t>
      </w:r>
    </w:p>
    <w:p w:rsidR="007E0313" w:rsidRPr="00D173EF" w:rsidRDefault="007E0313" w:rsidP="007E0313">
      <w:pPr>
        <w:pStyle w:val="Heading1"/>
        <w:keepNext w:val="0"/>
        <w:ind w:firstLine="720"/>
        <w:rPr>
          <w:b w:val="0"/>
          <w:szCs w:val="26"/>
        </w:rPr>
      </w:pPr>
      <w:r w:rsidRPr="00D173EF">
        <w:rPr>
          <w:b w:val="0"/>
          <w:szCs w:val="26"/>
        </w:rPr>
        <w:t xml:space="preserve">The district court erred by directing entry of final partial judgment pursuant to rule 54.02 of the Minnesota Rules of Civil Procedure because the benefits of interlocutory appellate review do not outweigh the general policy against piecemeal appellate review and because neither party will be prejudiced by the absence of interlocutory appellate review.  </w:t>
      </w:r>
    </w:p>
    <w:p w:rsidR="005040B7" w:rsidRDefault="005040B7" w:rsidP="00756ABC">
      <w:pPr>
        <w:outlineLvl w:val="3"/>
        <w:rPr>
          <w:szCs w:val="26"/>
        </w:rPr>
      </w:pPr>
    </w:p>
    <w:p w:rsidR="005040B7" w:rsidRPr="00756D04" w:rsidRDefault="005040B7" w:rsidP="005040B7">
      <w:pPr>
        <w:outlineLvl w:val="3"/>
        <w:rPr>
          <w:b/>
          <w:bCs/>
          <w:szCs w:val="26"/>
        </w:rPr>
      </w:pPr>
      <w:r w:rsidRPr="00756D04">
        <w:rPr>
          <w:b/>
          <w:bCs/>
          <w:i/>
          <w:szCs w:val="26"/>
        </w:rPr>
        <w:t>TC/Am</w:t>
      </w:r>
      <w:r>
        <w:rPr>
          <w:b/>
          <w:bCs/>
          <w:i/>
          <w:szCs w:val="26"/>
        </w:rPr>
        <w:t>.</w:t>
      </w:r>
      <w:r w:rsidRPr="00756D04">
        <w:rPr>
          <w:b/>
          <w:bCs/>
          <w:i/>
          <w:szCs w:val="26"/>
        </w:rPr>
        <w:t xml:space="preserve"> Monorail,</w:t>
      </w:r>
      <w:r>
        <w:rPr>
          <w:b/>
          <w:bCs/>
          <w:i/>
          <w:szCs w:val="26"/>
        </w:rPr>
        <w:t xml:space="preserve"> </w:t>
      </w:r>
      <w:r w:rsidRPr="00756D04">
        <w:rPr>
          <w:b/>
          <w:bCs/>
          <w:i/>
          <w:szCs w:val="26"/>
        </w:rPr>
        <w:t>Inc. v. Custom Conveyor Corp.</w:t>
      </w:r>
      <w:r w:rsidRPr="00756D04">
        <w:rPr>
          <w:b/>
          <w:bCs/>
          <w:szCs w:val="26"/>
        </w:rPr>
        <w:t xml:space="preserve">, 822 N.W.2d 812 (Minn. App. Oct. 22, 2012), </w:t>
      </w:r>
      <w:r w:rsidRPr="00756D04">
        <w:rPr>
          <w:b/>
          <w:bCs/>
          <w:i/>
          <w:szCs w:val="26"/>
        </w:rPr>
        <w:t xml:space="preserve">review granted </w:t>
      </w:r>
      <w:r w:rsidRPr="00756D04">
        <w:rPr>
          <w:b/>
          <w:bCs/>
          <w:szCs w:val="26"/>
        </w:rPr>
        <w:t xml:space="preserve">(Minn. Jan. 15, 2013) (A11-2119).  </w:t>
      </w:r>
    </w:p>
    <w:p w:rsidR="005040B7" w:rsidRDefault="005040B7" w:rsidP="00756ABC">
      <w:pPr>
        <w:outlineLvl w:val="3"/>
        <w:rPr>
          <w:szCs w:val="26"/>
        </w:rPr>
      </w:pPr>
      <w:r w:rsidRPr="00756D04">
        <w:rPr>
          <w:b/>
          <w:bCs/>
          <w:szCs w:val="26"/>
        </w:rPr>
        <w:tab/>
      </w:r>
      <w:r w:rsidRPr="00756D04">
        <w:rPr>
          <w:szCs w:val="26"/>
        </w:rPr>
        <w:t>Because the Minnesota Rules of Civil Procedure do not distinguish between discovery depositions and those taken in order to preserve testimony for trial, a district court does not abuse its discretion by denying a party’s request to take trial depositions after the discovery deadline has passed, if the party failed to show good cause for an amendment to the court’s scheduling order.</w:t>
      </w:r>
    </w:p>
    <w:p w:rsidR="00625402" w:rsidRPr="00E21296" w:rsidRDefault="00625402" w:rsidP="00625402">
      <w:pPr>
        <w:outlineLvl w:val="3"/>
        <w:rPr>
          <w:b/>
          <w:bCs/>
          <w:szCs w:val="26"/>
        </w:rPr>
      </w:pPr>
      <w:r w:rsidRPr="00E21296">
        <w:rPr>
          <w:b/>
          <w:bCs/>
          <w:i/>
          <w:szCs w:val="26"/>
        </w:rPr>
        <w:t>T &amp; R Flooring, LLC v. O’Byrne</w:t>
      </w:r>
      <w:r w:rsidRPr="00E21296">
        <w:rPr>
          <w:b/>
          <w:bCs/>
          <w:szCs w:val="26"/>
        </w:rPr>
        <w:t xml:space="preserve">, </w:t>
      </w:r>
      <w:r>
        <w:rPr>
          <w:b/>
          <w:bCs/>
          <w:szCs w:val="26"/>
        </w:rPr>
        <w:t>826</w:t>
      </w:r>
      <w:r w:rsidRPr="00E21296">
        <w:rPr>
          <w:b/>
          <w:bCs/>
          <w:szCs w:val="26"/>
        </w:rPr>
        <w:t xml:space="preserve"> N.W.2d </w:t>
      </w:r>
      <w:r>
        <w:rPr>
          <w:b/>
          <w:bCs/>
          <w:szCs w:val="26"/>
        </w:rPr>
        <w:t xml:space="preserve">833 </w:t>
      </w:r>
      <w:r w:rsidRPr="00E21296">
        <w:rPr>
          <w:b/>
          <w:bCs/>
          <w:szCs w:val="26"/>
        </w:rPr>
        <w:t xml:space="preserve">(Minn. App. Feb. 14, 2013) (A12-1777).  </w:t>
      </w:r>
    </w:p>
    <w:p w:rsidR="00625402" w:rsidRDefault="00625402" w:rsidP="00625402">
      <w:pPr>
        <w:outlineLvl w:val="3"/>
        <w:rPr>
          <w:szCs w:val="26"/>
        </w:rPr>
      </w:pPr>
      <w:r w:rsidRPr="00E21296">
        <w:rPr>
          <w:b/>
          <w:bCs/>
          <w:szCs w:val="26"/>
        </w:rPr>
        <w:tab/>
      </w:r>
      <w:r w:rsidRPr="00E21296">
        <w:rPr>
          <w:szCs w:val="26"/>
        </w:rPr>
        <w:t>The district court erred by directing entry of final partial judgment on fewer than all claims pursuant to rule 54.02 of the Minnesota Rules of Civil Procedure because the benefits of interlocutory appellate review do not outweigh the general policy against piecemeal appellate review.</w:t>
      </w:r>
    </w:p>
    <w:p w:rsidR="00756ABC" w:rsidRPr="00E21296" w:rsidRDefault="00756ABC" w:rsidP="003856A1">
      <w:pPr>
        <w:outlineLvl w:val="3"/>
        <w:rPr>
          <w:b/>
          <w:bCs/>
          <w:szCs w:val="26"/>
        </w:rPr>
      </w:pPr>
    </w:p>
    <w:p w:rsidR="003856A1" w:rsidRDefault="003856A1" w:rsidP="003856A1">
      <w:pPr>
        <w:rPr>
          <w:b/>
          <w:u w:val="single"/>
        </w:rPr>
      </w:pPr>
    </w:p>
    <w:p w:rsidR="003856A1" w:rsidRDefault="003856A1" w:rsidP="003856A1">
      <w:pPr>
        <w:rPr>
          <w:b/>
          <w:u w:val="single"/>
        </w:rPr>
      </w:pPr>
      <w:r>
        <w:rPr>
          <w:b/>
          <w:u w:val="single"/>
        </w:rPr>
        <w:t>Constitutional Law</w:t>
      </w:r>
    </w:p>
    <w:p w:rsidR="003856A1" w:rsidRDefault="003856A1" w:rsidP="003856A1">
      <w:pPr>
        <w:rPr>
          <w:b/>
          <w:u w:val="single"/>
        </w:rPr>
      </w:pPr>
    </w:p>
    <w:p w:rsidR="003856A1" w:rsidRPr="007F6718" w:rsidRDefault="003856A1" w:rsidP="003856A1">
      <w:pPr>
        <w:outlineLvl w:val="3"/>
        <w:rPr>
          <w:b/>
          <w:bCs/>
          <w:szCs w:val="26"/>
        </w:rPr>
      </w:pPr>
      <w:r w:rsidRPr="006400C5">
        <w:rPr>
          <w:b/>
          <w:bCs/>
          <w:i/>
          <w:szCs w:val="26"/>
        </w:rPr>
        <w:t>Healthstar Home Health, Inc. v. Jesson</w:t>
      </w:r>
      <w:r w:rsidRPr="006400C5">
        <w:rPr>
          <w:b/>
          <w:bCs/>
          <w:szCs w:val="26"/>
        </w:rPr>
        <w:t xml:space="preserve">, </w:t>
      </w:r>
      <w:r>
        <w:rPr>
          <w:b/>
          <w:bCs/>
          <w:szCs w:val="26"/>
        </w:rPr>
        <w:t>827</w:t>
      </w:r>
      <w:r w:rsidRPr="006400C5">
        <w:rPr>
          <w:b/>
          <w:bCs/>
          <w:szCs w:val="26"/>
        </w:rPr>
        <w:t xml:space="preserve"> N.W.2d </w:t>
      </w:r>
      <w:r>
        <w:rPr>
          <w:b/>
          <w:bCs/>
          <w:szCs w:val="26"/>
        </w:rPr>
        <w:t xml:space="preserve">444 </w:t>
      </w:r>
      <w:r w:rsidRPr="006400C5">
        <w:rPr>
          <w:b/>
          <w:bCs/>
          <w:szCs w:val="26"/>
        </w:rPr>
        <w:t xml:space="preserve">(Minn. App. Dec. 17, </w:t>
      </w:r>
      <w:r w:rsidRPr="007F6718">
        <w:rPr>
          <w:b/>
          <w:bCs/>
          <w:szCs w:val="26"/>
        </w:rPr>
        <w:t>2012) (A12-0591).</w:t>
      </w:r>
    </w:p>
    <w:p w:rsidR="007B36E1" w:rsidRDefault="003856A1" w:rsidP="00EE627A">
      <w:pPr>
        <w:rPr>
          <w:b/>
          <w:i/>
          <w:szCs w:val="26"/>
        </w:rPr>
      </w:pPr>
      <w:r w:rsidRPr="006400C5">
        <w:rPr>
          <w:szCs w:val="26"/>
        </w:rPr>
        <w:tab/>
        <w:t>Minn. Stat. § 256B.0659, subd. 11(c) (Supp. 2011), which reduces the pay of personal care attendants who are related to recipients to 80% of the pay of nonrelative personal care attendants, creates an arbitrary distinction between similarly situated individuals in violation of the Equal Protection Clause of the Minnesota Constitution.</w:t>
      </w:r>
    </w:p>
    <w:p w:rsidR="007B36E1" w:rsidRDefault="007B36E1" w:rsidP="00EE627A">
      <w:pPr>
        <w:rPr>
          <w:b/>
          <w:i/>
          <w:szCs w:val="26"/>
        </w:rPr>
      </w:pPr>
    </w:p>
    <w:p w:rsidR="00EE627A" w:rsidRPr="007B36E1" w:rsidRDefault="00EE627A" w:rsidP="00EE627A">
      <w:pPr>
        <w:rPr>
          <w:szCs w:val="26"/>
        </w:rPr>
      </w:pPr>
      <w:r w:rsidRPr="00756D04">
        <w:rPr>
          <w:b/>
          <w:i/>
          <w:szCs w:val="26"/>
        </w:rPr>
        <w:t>State</w:t>
      </w:r>
      <w:r>
        <w:rPr>
          <w:b/>
          <w:i/>
          <w:szCs w:val="26"/>
        </w:rPr>
        <w:t xml:space="preserve"> by Comm’r of Human Servs.</w:t>
      </w:r>
      <w:r w:rsidRPr="00756D04">
        <w:rPr>
          <w:b/>
          <w:i/>
          <w:szCs w:val="26"/>
        </w:rPr>
        <w:t xml:space="preserve"> v. Buchmann</w:t>
      </w:r>
      <w:r w:rsidRPr="00756D04">
        <w:rPr>
          <w:b/>
          <w:szCs w:val="26"/>
        </w:rPr>
        <w:t xml:space="preserve">, </w:t>
      </w:r>
      <w:r>
        <w:rPr>
          <w:b/>
          <w:szCs w:val="26"/>
        </w:rPr>
        <w:t>830</w:t>
      </w:r>
      <w:r w:rsidRPr="00756D04">
        <w:rPr>
          <w:b/>
          <w:szCs w:val="26"/>
        </w:rPr>
        <w:t xml:space="preserve"> N.W.2d </w:t>
      </w:r>
      <w:r>
        <w:rPr>
          <w:b/>
          <w:szCs w:val="26"/>
        </w:rPr>
        <w:t>895</w:t>
      </w:r>
      <w:r w:rsidRPr="00756D04">
        <w:rPr>
          <w:b/>
          <w:szCs w:val="26"/>
        </w:rPr>
        <w:t xml:space="preserve"> (Minn. App. May 6, 2013)</w:t>
      </w:r>
      <w:r>
        <w:rPr>
          <w:b/>
          <w:szCs w:val="26"/>
        </w:rPr>
        <w:t xml:space="preserve">, </w:t>
      </w:r>
      <w:r>
        <w:rPr>
          <w:b/>
          <w:i/>
          <w:szCs w:val="26"/>
        </w:rPr>
        <w:t>review denied</w:t>
      </w:r>
      <w:r>
        <w:rPr>
          <w:b/>
          <w:szCs w:val="26"/>
        </w:rPr>
        <w:t xml:space="preserve"> (Minn. July 16, 2013)</w:t>
      </w:r>
      <w:r w:rsidRPr="00756D04">
        <w:rPr>
          <w:b/>
          <w:szCs w:val="26"/>
        </w:rPr>
        <w:t xml:space="preserve"> (A12-1518). </w:t>
      </w:r>
    </w:p>
    <w:p w:rsidR="00EE627A" w:rsidRPr="00756D04" w:rsidRDefault="00EE627A" w:rsidP="00EE627A">
      <w:pPr>
        <w:numPr>
          <w:ilvl w:val="0"/>
          <w:numId w:val="30"/>
        </w:numPr>
        <w:ind w:left="0" w:firstLine="720"/>
        <w:contextualSpacing/>
        <w:rPr>
          <w:szCs w:val="26"/>
        </w:rPr>
      </w:pPr>
      <w:r w:rsidRPr="00756D04">
        <w:rPr>
          <w:szCs w:val="26"/>
        </w:rPr>
        <w:t xml:space="preserve">Application of Minn. Stat. § 171.30, subd. 1(j) (2012), which prohibits issuing limited commercial driver’s licenses to child support obligors whose driver’s licenses have been suspended because they are significantly in arrears and not in compliance with a payment agreement, does not violate a rural obligor’s constitutional right to substantive due process even though that obligor was formerly employed as a commercial truck driver.    </w:t>
      </w:r>
    </w:p>
    <w:p w:rsidR="00EE627A" w:rsidRPr="00EE627A" w:rsidRDefault="00EE627A" w:rsidP="00EE627A">
      <w:pPr>
        <w:numPr>
          <w:ilvl w:val="0"/>
          <w:numId w:val="30"/>
        </w:numPr>
        <w:ind w:left="0" w:firstLine="720"/>
        <w:contextualSpacing/>
        <w:rPr>
          <w:szCs w:val="26"/>
        </w:rPr>
      </w:pPr>
      <w:r w:rsidRPr="00756D04">
        <w:rPr>
          <w:szCs w:val="26"/>
        </w:rPr>
        <w:t>Application of Minn. Stat. § 171.186, subd. 1 (2012), which permits suspension of a child support obligor’s driver’s license when that obligor is significantly in arrears and not in compliance with a payment agreement, does not violate an obligor’s constitutional right to equal protection even though that obligor lives isolated in rural Minnesota.</w:t>
      </w:r>
    </w:p>
    <w:p w:rsidR="00EE627A" w:rsidRDefault="00EE627A" w:rsidP="005040B7">
      <w:pPr>
        <w:outlineLvl w:val="3"/>
        <w:rPr>
          <w:b/>
          <w:bCs/>
          <w:i/>
          <w:szCs w:val="26"/>
        </w:rPr>
      </w:pPr>
    </w:p>
    <w:p w:rsidR="005040B7" w:rsidRPr="00756D04" w:rsidRDefault="005040B7" w:rsidP="005040B7">
      <w:pPr>
        <w:outlineLvl w:val="3"/>
        <w:rPr>
          <w:b/>
          <w:bCs/>
          <w:szCs w:val="26"/>
        </w:rPr>
      </w:pPr>
      <w:r w:rsidRPr="00756D04">
        <w:rPr>
          <w:b/>
          <w:bCs/>
          <w:i/>
          <w:szCs w:val="26"/>
        </w:rPr>
        <w:t>State v. Irby</w:t>
      </w:r>
      <w:r w:rsidRPr="00756D04">
        <w:rPr>
          <w:b/>
          <w:bCs/>
          <w:szCs w:val="26"/>
        </w:rPr>
        <w:t xml:space="preserve">, 820 N.W.2d 30 (Minn. App. Sept. 4, 2012), </w:t>
      </w:r>
      <w:r w:rsidRPr="00756D04">
        <w:rPr>
          <w:b/>
          <w:bCs/>
          <w:i/>
          <w:szCs w:val="26"/>
        </w:rPr>
        <w:t>review granted</w:t>
      </w:r>
      <w:r w:rsidRPr="00756D04">
        <w:rPr>
          <w:b/>
          <w:bCs/>
          <w:szCs w:val="26"/>
        </w:rPr>
        <w:t xml:space="preserve"> </w:t>
      </w:r>
      <w:r w:rsidRPr="00756D04">
        <w:rPr>
          <w:b/>
          <w:bCs/>
          <w:i/>
          <w:szCs w:val="26"/>
        </w:rPr>
        <w:t>in part, denied in part</w:t>
      </w:r>
      <w:r w:rsidRPr="00756D04">
        <w:rPr>
          <w:b/>
          <w:bCs/>
          <w:szCs w:val="26"/>
        </w:rPr>
        <w:t xml:space="preserve"> (Minn. Nov. 20, 2012) (A11-1852).</w:t>
      </w:r>
    </w:p>
    <w:p w:rsidR="005040B7" w:rsidRPr="005040B7" w:rsidRDefault="005040B7" w:rsidP="005040B7">
      <w:pPr>
        <w:outlineLvl w:val="3"/>
        <w:rPr>
          <w:b/>
          <w:bCs/>
          <w:szCs w:val="26"/>
        </w:rPr>
      </w:pPr>
      <w:r w:rsidRPr="00756D04">
        <w:rPr>
          <w:b/>
          <w:bCs/>
          <w:szCs w:val="26"/>
        </w:rPr>
        <w:tab/>
      </w:r>
      <w:r w:rsidRPr="00756D04">
        <w:rPr>
          <w:szCs w:val="26"/>
        </w:rPr>
        <w:t xml:space="preserve">A district court judge does not automatically forfeit her judicial office under Minn. Stat. § 351.02(4) (2010) by residing outside of her district in violation of Minn. Const. art. VI, § 4. </w:t>
      </w:r>
    </w:p>
    <w:p w:rsidR="003856A1" w:rsidRDefault="003856A1" w:rsidP="003856A1">
      <w:pPr>
        <w:outlineLvl w:val="3"/>
        <w:rPr>
          <w:b/>
          <w:bCs/>
          <w:i/>
          <w:szCs w:val="26"/>
        </w:rPr>
      </w:pPr>
    </w:p>
    <w:p w:rsidR="003856A1" w:rsidRPr="00D80C18" w:rsidRDefault="003856A1" w:rsidP="003856A1">
      <w:pPr>
        <w:outlineLvl w:val="3"/>
        <w:rPr>
          <w:b/>
          <w:bCs/>
          <w:szCs w:val="26"/>
        </w:rPr>
      </w:pPr>
      <w:r w:rsidRPr="00D80C18">
        <w:rPr>
          <w:b/>
          <w:bCs/>
          <w:i/>
          <w:szCs w:val="26"/>
        </w:rPr>
        <w:t>Weir v. ACCRA Care, Inc.</w:t>
      </w:r>
      <w:r>
        <w:rPr>
          <w:b/>
          <w:bCs/>
          <w:szCs w:val="26"/>
        </w:rPr>
        <w:t>, 828</w:t>
      </w:r>
      <w:r w:rsidRPr="00D80C18">
        <w:rPr>
          <w:b/>
          <w:bCs/>
          <w:szCs w:val="26"/>
        </w:rPr>
        <w:t xml:space="preserve"> N.W.2d </w:t>
      </w:r>
      <w:r>
        <w:rPr>
          <w:b/>
          <w:bCs/>
          <w:szCs w:val="26"/>
        </w:rPr>
        <w:t>470</w:t>
      </w:r>
      <w:r w:rsidRPr="00D80C18">
        <w:rPr>
          <w:b/>
          <w:bCs/>
          <w:szCs w:val="26"/>
        </w:rPr>
        <w:t xml:space="preserve"> (Minn. A</w:t>
      </w:r>
      <w:r>
        <w:rPr>
          <w:b/>
          <w:bCs/>
          <w:szCs w:val="26"/>
        </w:rPr>
        <w:t>pp. Feb. 25, 2013) (A12-0764).</w:t>
      </w:r>
    </w:p>
    <w:p w:rsidR="003856A1" w:rsidRPr="00D80C18" w:rsidRDefault="003856A1" w:rsidP="003856A1">
      <w:pPr>
        <w:outlineLvl w:val="3"/>
        <w:rPr>
          <w:b/>
          <w:bCs/>
          <w:szCs w:val="26"/>
        </w:rPr>
      </w:pPr>
      <w:r w:rsidRPr="00D80C18">
        <w:rPr>
          <w:b/>
          <w:bCs/>
          <w:szCs w:val="26"/>
        </w:rPr>
        <w:tab/>
      </w:r>
      <w:r w:rsidRPr="00D80C18">
        <w:rPr>
          <w:szCs w:val="26"/>
        </w:rPr>
        <w:t>Minn. Stat. § 268.035, subd. 20(20) (2012), which makes personal-care assistants who provide direct care to an immediate family member ineligible for unemployment benefits, is unconstitutional because it arbitrarily distinguishes between similarly situated individuals in violation of the Equal Protection Clause of the Minnesota Constitution.</w:t>
      </w:r>
    </w:p>
    <w:p w:rsidR="003856A1" w:rsidRDefault="003856A1" w:rsidP="003856A1">
      <w:pPr>
        <w:rPr>
          <w:b/>
        </w:rPr>
      </w:pPr>
    </w:p>
    <w:p w:rsidR="001167BE" w:rsidRPr="007A6666" w:rsidRDefault="001167BE" w:rsidP="003856A1">
      <w:pPr>
        <w:rPr>
          <w:b/>
        </w:rPr>
      </w:pPr>
    </w:p>
    <w:p w:rsidR="003856A1" w:rsidRDefault="003856A1" w:rsidP="003856A1">
      <w:pPr>
        <w:tabs>
          <w:tab w:val="left" w:pos="720"/>
          <w:tab w:val="left" w:pos="1440"/>
          <w:tab w:val="left" w:pos="2160"/>
        </w:tabs>
        <w:rPr>
          <w:b/>
          <w:u w:val="single"/>
        </w:rPr>
      </w:pPr>
      <w:r>
        <w:rPr>
          <w:b/>
          <w:u w:val="single"/>
        </w:rPr>
        <w:t>Contracts</w:t>
      </w:r>
    </w:p>
    <w:p w:rsidR="007B36E1" w:rsidRDefault="007B36E1" w:rsidP="003856A1">
      <w:pPr>
        <w:tabs>
          <w:tab w:val="left" w:pos="720"/>
          <w:tab w:val="left" w:pos="1440"/>
          <w:tab w:val="left" w:pos="2160"/>
        </w:tabs>
        <w:rPr>
          <w:b/>
          <w:u w:val="single"/>
        </w:rPr>
      </w:pPr>
    </w:p>
    <w:p w:rsidR="007B36E1" w:rsidRPr="00756D04" w:rsidRDefault="007B36E1" w:rsidP="007B36E1">
      <w:pPr>
        <w:outlineLvl w:val="3"/>
        <w:rPr>
          <w:b/>
          <w:bCs/>
          <w:szCs w:val="26"/>
        </w:rPr>
      </w:pPr>
      <w:r w:rsidRPr="00756D04">
        <w:rPr>
          <w:b/>
          <w:bCs/>
          <w:i/>
          <w:szCs w:val="26"/>
        </w:rPr>
        <w:t>Helmberger v. Johnson Controls, Inc</w:t>
      </w:r>
      <w:r>
        <w:rPr>
          <w:b/>
          <w:bCs/>
          <w:i/>
          <w:szCs w:val="26"/>
        </w:rPr>
        <w:t>.</w:t>
      </w:r>
      <w:r w:rsidRPr="00756D04">
        <w:rPr>
          <w:b/>
          <w:bCs/>
          <w:i/>
          <w:szCs w:val="26"/>
        </w:rPr>
        <w:t xml:space="preserve">, </w:t>
      </w:r>
      <w:r w:rsidRPr="00756D04">
        <w:rPr>
          <w:b/>
          <w:bCs/>
          <w:szCs w:val="26"/>
        </w:rPr>
        <w:t xml:space="preserve">821 N.W.2d 831 (Minn. App. Oct. 9, 2012), </w:t>
      </w:r>
      <w:r>
        <w:rPr>
          <w:b/>
          <w:bCs/>
          <w:i/>
          <w:szCs w:val="26"/>
        </w:rPr>
        <w:t>rev’d</w:t>
      </w:r>
      <w:r>
        <w:rPr>
          <w:b/>
          <w:bCs/>
          <w:szCs w:val="26"/>
        </w:rPr>
        <w:t>, __ N.W.2d __, 2013 WL 6087416 (Minn. Nov. 20, 2013)</w:t>
      </w:r>
      <w:r w:rsidRPr="00756D04">
        <w:rPr>
          <w:b/>
          <w:bCs/>
          <w:szCs w:val="26"/>
        </w:rPr>
        <w:t xml:space="preserve"> (A12-0327)</w:t>
      </w:r>
      <w:r>
        <w:rPr>
          <w:b/>
          <w:bCs/>
          <w:szCs w:val="26"/>
        </w:rPr>
        <w:t>.</w:t>
      </w:r>
      <w:r w:rsidRPr="00756D04">
        <w:rPr>
          <w:b/>
          <w:bCs/>
          <w:szCs w:val="26"/>
        </w:rPr>
        <w:t xml:space="preserve">  </w:t>
      </w:r>
    </w:p>
    <w:p w:rsidR="007B36E1" w:rsidRPr="007B36E1" w:rsidRDefault="007B36E1" w:rsidP="007B36E1">
      <w:pPr>
        <w:outlineLvl w:val="3"/>
        <w:rPr>
          <w:b/>
          <w:bCs/>
          <w:szCs w:val="26"/>
        </w:rPr>
      </w:pPr>
      <w:r w:rsidRPr="00756D04">
        <w:rPr>
          <w:b/>
          <w:bCs/>
          <w:szCs w:val="26"/>
        </w:rPr>
        <w:tab/>
      </w:r>
      <w:r w:rsidRPr="00756D04">
        <w:rPr>
          <w:szCs w:val="26"/>
        </w:rPr>
        <w:t xml:space="preserve">A contractor who contracts with a school district to perform project management, construction, and architectural services for the school district is performing a governmental function within the meaning of the Minnesota Government Data Practices Act and, therefore, contracts relating to those services are public data under that act.  </w:t>
      </w:r>
    </w:p>
    <w:p w:rsidR="003856A1" w:rsidRDefault="003856A1" w:rsidP="003856A1">
      <w:pPr>
        <w:suppressAutoHyphens w:val="0"/>
        <w:jc w:val="left"/>
      </w:pPr>
    </w:p>
    <w:p w:rsidR="007E6091" w:rsidRPr="007B36E1" w:rsidRDefault="007E6091" w:rsidP="006F3688">
      <w:pPr>
        <w:suppressAutoHyphens w:val="0"/>
        <w:rPr>
          <w:b/>
          <w:i/>
          <w:szCs w:val="26"/>
        </w:rPr>
      </w:pPr>
      <w:r w:rsidRPr="00756D04">
        <w:rPr>
          <w:b/>
          <w:i/>
          <w:szCs w:val="26"/>
        </w:rPr>
        <w:t>Med</w:t>
      </w:r>
      <w:r>
        <w:rPr>
          <w:b/>
          <w:i/>
          <w:szCs w:val="26"/>
        </w:rPr>
        <w:t>.</w:t>
      </w:r>
      <w:r w:rsidRPr="00756D04">
        <w:rPr>
          <w:b/>
          <w:i/>
          <w:szCs w:val="26"/>
        </w:rPr>
        <w:t xml:space="preserve"> Staff of Avera Marshall Reg</w:t>
      </w:r>
      <w:r>
        <w:rPr>
          <w:b/>
          <w:i/>
          <w:szCs w:val="26"/>
        </w:rPr>
        <w:t>’l</w:t>
      </w:r>
      <w:r w:rsidRPr="00756D04">
        <w:rPr>
          <w:b/>
          <w:i/>
          <w:szCs w:val="26"/>
        </w:rPr>
        <w:t xml:space="preserve"> Med</w:t>
      </w:r>
      <w:r>
        <w:rPr>
          <w:b/>
          <w:i/>
          <w:szCs w:val="26"/>
        </w:rPr>
        <w:t>.</w:t>
      </w:r>
      <w:r w:rsidRPr="00756D04">
        <w:rPr>
          <w:b/>
          <w:i/>
          <w:szCs w:val="26"/>
        </w:rPr>
        <w:t xml:space="preserve"> C</w:t>
      </w:r>
      <w:r>
        <w:rPr>
          <w:b/>
          <w:i/>
          <w:szCs w:val="26"/>
        </w:rPr>
        <w:t>tr.</w:t>
      </w:r>
      <w:r w:rsidRPr="00756D04">
        <w:rPr>
          <w:b/>
          <w:i/>
          <w:szCs w:val="26"/>
        </w:rPr>
        <w:t xml:space="preserve"> v. </w:t>
      </w:r>
      <w:r>
        <w:rPr>
          <w:b/>
          <w:i/>
          <w:szCs w:val="26"/>
        </w:rPr>
        <w:t xml:space="preserve">Avera </w:t>
      </w:r>
      <w:r w:rsidRPr="00756D04">
        <w:rPr>
          <w:b/>
          <w:i/>
          <w:szCs w:val="26"/>
        </w:rPr>
        <w:t>Marshall</w:t>
      </w:r>
      <w:r w:rsidRPr="00756D04">
        <w:rPr>
          <w:b/>
          <w:szCs w:val="26"/>
        </w:rPr>
        <w:t xml:space="preserve">, </w:t>
      </w:r>
      <w:r>
        <w:rPr>
          <w:b/>
          <w:szCs w:val="26"/>
        </w:rPr>
        <w:t>836</w:t>
      </w:r>
      <w:r w:rsidRPr="00756D04">
        <w:rPr>
          <w:b/>
          <w:szCs w:val="26"/>
        </w:rPr>
        <w:t xml:space="preserve"> N.W.2d </w:t>
      </w:r>
      <w:r>
        <w:rPr>
          <w:b/>
          <w:szCs w:val="26"/>
        </w:rPr>
        <w:t>549</w:t>
      </w:r>
      <w:r w:rsidRPr="00756D04">
        <w:rPr>
          <w:b/>
          <w:szCs w:val="26"/>
        </w:rPr>
        <w:t xml:space="preserve"> (Minn. App. July 22, 2013)</w:t>
      </w:r>
      <w:r>
        <w:rPr>
          <w:b/>
          <w:szCs w:val="26"/>
        </w:rPr>
        <w:t xml:space="preserve">, </w:t>
      </w:r>
      <w:r>
        <w:rPr>
          <w:b/>
          <w:i/>
          <w:szCs w:val="26"/>
        </w:rPr>
        <w:t xml:space="preserve"> review granted </w:t>
      </w:r>
      <w:r>
        <w:rPr>
          <w:b/>
          <w:szCs w:val="26"/>
        </w:rPr>
        <w:t>(Minn. Oct. 15, 2013)</w:t>
      </w:r>
      <w:r w:rsidRPr="00756D04">
        <w:rPr>
          <w:b/>
          <w:szCs w:val="26"/>
        </w:rPr>
        <w:t xml:space="preserve"> (A12-2117).</w:t>
      </w:r>
    </w:p>
    <w:p w:rsidR="007E6091" w:rsidRPr="00756D04" w:rsidRDefault="007E6091" w:rsidP="007E6091">
      <w:pPr>
        <w:outlineLvl w:val="0"/>
        <w:rPr>
          <w:szCs w:val="26"/>
        </w:rPr>
      </w:pPr>
      <w:r w:rsidRPr="00756D04">
        <w:rPr>
          <w:szCs w:val="26"/>
        </w:rPr>
        <w:tab/>
        <w:t>1.</w:t>
      </w:r>
      <w:r w:rsidRPr="00756D04">
        <w:rPr>
          <w:szCs w:val="26"/>
        </w:rPr>
        <w:tab/>
        <w:t>A hospital medical staff is not a separate legal entity with capacity to sue or be sued.</w:t>
      </w:r>
    </w:p>
    <w:p w:rsidR="007E6091" w:rsidRPr="007E6091" w:rsidRDefault="007E6091" w:rsidP="007E6091">
      <w:pPr>
        <w:ind w:firstLine="720"/>
        <w:outlineLvl w:val="0"/>
        <w:rPr>
          <w:szCs w:val="26"/>
        </w:rPr>
      </w:pPr>
      <w:r w:rsidRPr="00756D04">
        <w:rPr>
          <w:szCs w:val="26"/>
        </w:rPr>
        <w:t>2.</w:t>
      </w:r>
      <w:r w:rsidRPr="00756D04">
        <w:rPr>
          <w:szCs w:val="26"/>
        </w:rPr>
        <w:tab/>
        <w:t>The bylaws governing a hospital’s medical staff do not create a contractual relationship between a medical staff and a hospital.</w:t>
      </w:r>
    </w:p>
    <w:p w:rsidR="003856A1" w:rsidRDefault="003856A1" w:rsidP="003856A1">
      <w:pPr>
        <w:autoSpaceDE w:val="0"/>
        <w:autoSpaceDN w:val="0"/>
        <w:adjustRightInd w:val="0"/>
        <w:rPr>
          <w:i/>
          <w:szCs w:val="26"/>
        </w:rPr>
      </w:pPr>
    </w:p>
    <w:p w:rsidR="007B36E1" w:rsidRPr="00756D04" w:rsidRDefault="007B36E1" w:rsidP="007B36E1">
      <w:pPr>
        <w:rPr>
          <w:b/>
          <w:szCs w:val="26"/>
        </w:rPr>
      </w:pPr>
      <w:r w:rsidRPr="00756D04">
        <w:rPr>
          <w:b/>
          <w:i/>
          <w:szCs w:val="26"/>
        </w:rPr>
        <w:t>Rochon Corp. v. City of St. Paul</w:t>
      </w:r>
      <w:r w:rsidRPr="00756D04">
        <w:rPr>
          <w:b/>
          <w:szCs w:val="26"/>
        </w:rPr>
        <w:t xml:space="preserve">, </w:t>
      </w:r>
      <w:r>
        <w:rPr>
          <w:b/>
          <w:szCs w:val="26"/>
        </w:rPr>
        <w:t>831</w:t>
      </w:r>
      <w:r w:rsidRPr="00756D04">
        <w:rPr>
          <w:b/>
          <w:szCs w:val="26"/>
        </w:rPr>
        <w:t xml:space="preserve"> N.W.2d </w:t>
      </w:r>
      <w:r>
        <w:rPr>
          <w:b/>
          <w:szCs w:val="26"/>
        </w:rPr>
        <w:t>651</w:t>
      </w:r>
      <w:r w:rsidRPr="00756D04">
        <w:rPr>
          <w:b/>
          <w:szCs w:val="26"/>
        </w:rPr>
        <w:t xml:space="preserve"> (Minn. App. Apr. 8, 2013)</w:t>
      </w:r>
      <w:r>
        <w:rPr>
          <w:b/>
          <w:szCs w:val="26"/>
        </w:rPr>
        <w:t xml:space="preserve">, </w:t>
      </w:r>
      <w:r>
        <w:rPr>
          <w:b/>
          <w:i/>
          <w:szCs w:val="26"/>
        </w:rPr>
        <w:t>review denied</w:t>
      </w:r>
      <w:r>
        <w:rPr>
          <w:b/>
          <w:szCs w:val="26"/>
        </w:rPr>
        <w:t xml:space="preserve"> (Minn. June 18, 2013)</w:t>
      </w:r>
      <w:r w:rsidRPr="00756D04">
        <w:rPr>
          <w:b/>
          <w:szCs w:val="26"/>
        </w:rPr>
        <w:t xml:space="preserve"> (A12-1491).</w:t>
      </w:r>
    </w:p>
    <w:p w:rsidR="007B36E1" w:rsidRPr="00756D04" w:rsidRDefault="007B36E1" w:rsidP="007B36E1">
      <w:pPr>
        <w:rPr>
          <w:szCs w:val="26"/>
        </w:rPr>
      </w:pPr>
      <w:r w:rsidRPr="00756D04">
        <w:rPr>
          <w:szCs w:val="26"/>
        </w:rPr>
        <w:tab/>
        <w:t xml:space="preserve">A prospective contractor for a municipal project that successfully challenges a bid-submission process and recovers under the Minnesota Uniform Municipal Contract Law cannot circumvent the prohibition of attorney fee awards by claiming that the contract violation entitles it to attorney fees under Minnesota’s private attorney general statute. </w:t>
      </w:r>
    </w:p>
    <w:p w:rsidR="007B36E1" w:rsidRDefault="007B36E1" w:rsidP="003856A1">
      <w:pPr>
        <w:autoSpaceDE w:val="0"/>
        <w:autoSpaceDN w:val="0"/>
        <w:adjustRightInd w:val="0"/>
        <w:rPr>
          <w:i/>
          <w:szCs w:val="26"/>
        </w:rPr>
      </w:pPr>
    </w:p>
    <w:p w:rsidR="00625402" w:rsidRDefault="00625402" w:rsidP="003856A1">
      <w:pPr>
        <w:autoSpaceDE w:val="0"/>
        <w:autoSpaceDN w:val="0"/>
        <w:adjustRightInd w:val="0"/>
        <w:rPr>
          <w:i/>
          <w:szCs w:val="26"/>
        </w:rPr>
      </w:pPr>
    </w:p>
    <w:p w:rsidR="003856A1" w:rsidRDefault="003856A1" w:rsidP="003856A1">
      <w:pPr>
        <w:tabs>
          <w:tab w:val="left" w:pos="720"/>
          <w:tab w:val="left" w:pos="1440"/>
          <w:tab w:val="left" w:pos="2160"/>
        </w:tabs>
        <w:rPr>
          <w:bCs/>
        </w:rPr>
      </w:pPr>
      <w:r>
        <w:rPr>
          <w:b/>
          <w:bCs/>
          <w:u w:val="single"/>
        </w:rPr>
        <w:t>Family Law</w:t>
      </w:r>
    </w:p>
    <w:p w:rsidR="003856A1" w:rsidRDefault="003856A1" w:rsidP="003856A1">
      <w:pPr>
        <w:tabs>
          <w:tab w:val="left" w:pos="720"/>
          <w:tab w:val="left" w:pos="1440"/>
          <w:tab w:val="left" w:pos="2160"/>
        </w:tabs>
        <w:rPr>
          <w:bCs/>
        </w:rPr>
      </w:pPr>
    </w:p>
    <w:p w:rsidR="00756ABC" w:rsidRPr="00E04204" w:rsidRDefault="00756ABC" w:rsidP="00756ABC">
      <w:pPr>
        <w:rPr>
          <w:b/>
          <w:szCs w:val="26"/>
        </w:rPr>
      </w:pPr>
      <w:r w:rsidRPr="00E04204">
        <w:rPr>
          <w:b/>
          <w:i/>
          <w:szCs w:val="26"/>
        </w:rPr>
        <w:t>In re Custody of A.L.R.</w:t>
      </w:r>
      <w:r w:rsidRPr="00E04204">
        <w:rPr>
          <w:b/>
          <w:szCs w:val="26"/>
        </w:rPr>
        <w:t xml:space="preserve">, </w:t>
      </w:r>
      <w:r>
        <w:rPr>
          <w:b/>
          <w:szCs w:val="26"/>
        </w:rPr>
        <w:t>830 N.W.2d 163</w:t>
      </w:r>
      <w:r w:rsidRPr="00E04204">
        <w:rPr>
          <w:b/>
          <w:szCs w:val="26"/>
        </w:rPr>
        <w:t xml:space="preserve"> (Minn. App. Apr. 8, 2013) (A12-1602).</w:t>
      </w:r>
    </w:p>
    <w:p w:rsidR="00756ABC" w:rsidRPr="00E04204" w:rsidRDefault="00756ABC" w:rsidP="00756ABC">
      <w:pPr>
        <w:pStyle w:val="Heading1"/>
        <w:keepNext w:val="0"/>
        <w:numPr>
          <w:ilvl w:val="0"/>
          <w:numId w:val="29"/>
        </w:numPr>
        <w:ind w:left="0" w:firstLine="720"/>
        <w:rPr>
          <w:b w:val="0"/>
          <w:szCs w:val="26"/>
        </w:rPr>
      </w:pPr>
      <w:r w:rsidRPr="00E04204">
        <w:rPr>
          <w:b w:val="0"/>
          <w:szCs w:val="26"/>
        </w:rPr>
        <w:t xml:space="preserve">Because the common law presumption in favor of parental custody is codified in the third-party custody statute, Minn. Stat. </w:t>
      </w:r>
      <w:r>
        <w:rPr>
          <w:b w:val="0"/>
          <w:szCs w:val="26"/>
        </w:rPr>
        <w:t>§</w:t>
      </w:r>
      <w:r w:rsidRPr="00E04204">
        <w:rPr>
          <w:b w:val="0"/>
          <w:szCs w:val="26"/>
        </w:rPr>
        <w:t>§ 257C.01</w:t>
      </w:r>
      <w:r>
        <w:rPr>
          <w:b w:val="0"/>
          <w:szCs w:val="26"/>
        </w:rPr>
        <w:t>–</w:t>
      </w:r>
      <w:r w:rsidRPr="00E04204">
        <w:rPr>
          <w:b w:val="0"/>
          <w:szCs w:val="26"/>
        </w:rPr>
        <w:t>.08 (2012), a district court in third-party custody proceedings is not required to separately address that common law parental presumption.</w:t>
      </w:r>
    </w:p>
    <w:p w:rsidR="00756ABC" w:rsidRPr="00E04204" w:rsidRDefault="00756ABC" w:rsidP="00756ABC">
      <w:pPr>
        <w:pStyle w:val="Heading1"/>
        <w:keepNext w:val="0"/>
        <w:numPr>
          <w:ilvl w:val="0"/>
          <w:numId w:val="29"/>
        </w:numPr>
        <w:ind w:left="0" w:firstLine="720"/>
        <w:rPr>
          <w:b w:val="0"/>
          <w:szCs w:val="26"/>
        </w:rPr>
      </w:pPr>
      <w:r w:rsidRPr="00E04204">
        <w:rPr>
          <w:b w:val="0"/>
          <w:szCs w:val="26"/>
        </w:rPr>
        <w:t>A parent’s undocumented-immigrant status is not an extraordinary circumstance under Minn. Stat. § 257C.03, subd. 7(a)(1)(iii).</w:t>
      </w:r>
    </w:p>
    <w:p w:rsidR="00756ABC" w:rsidRDefault="00756ABC" w:rsidP="00756ABC">
      <w:pPr>
        <w:outlineLvl w:val="3"/>
        <w:rPr>
          <w:b/>
          <w:bCs/>
          <w:i/>
          <w:szCs w:val="26"/>
        </w:rPr>
      </w:pPr>
    </w:p>
    <w:p w:rsidR="005E7D92" w:rsidRDefault="005E7D92" w:rsidP="00756ABC">
      <w:pPr>
        <w:outlineLvl w:val="3"/>
        <w:rPr>
          <w:b/>
          <w:bCs/>
          <w:i/>
          <w:szCs w:val="26"/>
        </w:rPr>
      </w:pPr>
    </w:p>
    <w:p w:rsidR="005E7D92" w:rsidRDefault="005E7D92" w:rsidP="00756ABC">
      <w:pPr>
        <w:outlineLvl w:val="3"/>
        <w:rPr>
          <w:b/>
          <w:bCs/>
          <w:i/>
          <w:szCs w:val="26"/>
        </w:rPr>
      </w:pPr>
    </w:p>
    <w:p w:rsidR="005E7D92" w:rsidRDefault="005E7D92" w:rsidP="00756ABC">
      <w:pPr>
        <w:outlineLvl w:val="3"/>
        <w:rPr>
          <w:b/>
          <w:bCs/>
          <w:i/>
          <w:szCs w:val="26"/>
        </w:rPr>
      </w:pPr>
    </w:p>
    <w:p w:rsidR="00756ABC" w:rsidRPr="00A93731" w:rsidRDefault="00756ABC" w:rsidP="00756ABC">
      <w:pPr>
        <w:outlineLvl w:val="3"/>
        <w:rPr>
          <w:b/>
          <w:bCs/>
          <w:szCs w:val="26"/>
        </w:rPr>
      </w:pPr>
      <w:r w:rsidRPr="00A93731">
        <w:rPr>
          <w:b/>
          <w:bCs/>
          <w:i/>
          <w:szCs w:val="26"/>
        </w:rPr>
        <w:t>In re D.F.</w:t>
      </w:r>
      <w:r>
        <w:rPr>
          <w:b/>
          <w:bCs/>
          <w:szCs w:val="26"/>
        </w:rPr>
        <w:t>, 828</w:t>
      </w:r>
      <w:r w:rsidRPr="00A93731">
        <w:rPr>
          <w:b/>
          <w:bCs/>
          <w:szCs w:val="26"/>
        </w:rPr>
        <w:t xml:space="preserve"> N.W.2d </w:t>
      </w:r>
      <w:r>
        <w:rPr>
          <w:b/>
          <w:bCs/>
          <w:szCs w:val="26"/>
        </w:rPr>
        <w:t>138</w:t>
      </w:r>
      <w:r w:rsidRPr="00A93731">
        <w:rPr>
          <w:b/>
          <w:bCs/>
          <w:szCs w:val="26"/>
        </w:rPr>
        <w:t xml:space="preserve"> (Minn. App. Feb. 25, 2013) (A12-2018).</w:t>
      </w:r>
    </w:p>
    <w:p w:rsidR="00756ABC" w:rsidRDefault="00756ABC" w:rsidP="00756ABC">
      <w:pPr>
        <w:rPr>
          <w:color w:val="000000" w:themeColor="text1"/>
          <w:szCs w:val="26"/>
          <w:lang w:val="en"/>
        </w:rPr>
      </w:pPr>
      <w:r w:rsidRPr="00A93731">
        <w:rPr>
          <w:szCs w:val="26"/>
        </w:rPr>
        <w:tab/>
        <w:t>I</w:t>
      </w:r>
      <w:r w:rsidRPr="00A93731">
        <w:rPr>
          <w:color w:val="000000" w:themeColor="text1"/>
          <w:szCs w:val="26"/>
          <w:lang w:val="en"/>
        </w:rPr>
        <w:t xml:space="preserve">n a parentage proceeding, a court-appointed attorney’s representation of a putative father is limited in scope to the issue of the establishment of parentage, as provided by </w:t>
      </w:r>
      <w:r w:rsidRPr="00A93731">
        <w:rPr>
          <w:szCs w:val="26"/>
        </w:rPr>
        <w:t>Minnesota Statutes section 257.69, subdivision 1 (2012)</w:t>
      </w:r>
      <w:r w:rsidRPr="00A93731">
        <w:rPr>
          <w:color w:val="000000" w:themeColor="text1"/>
          <w:szCs w:val="26"/>
          <w:lang w:val="en"/>
        </w:rPr>
        <w:t>.</w:t>
      </w:r>
    </w:p>
    <w:p w:rsidR="00322313" w:rsidRDefault="00322313" w:rsidP="00756ABC">
      <w:pPr>
        <w:rPr>
          <w:color w:val="000000" w:themeColor="text1"/>
          <w:szCs w:val="26"/>
          <w:lang w:val="en"/>
        </w:rPr>
      </w:pPr>
    </w:p>
    <w:p w:rsidR="00322313" w:rsidRPr="005E7D92" w:rsidRDefault="00322313" w:rsidP="0058233D">
      <w:pPr>
        <w:suppressAutoHyphens w:val="0"/>
        <w:rPr>
          <w:b/>
          <w:i/>
          <w:szCs w:val="26"/>
        </w:rPr>
      </w:pPr>
      <w:r w:rsidRPr="00756D04">
        <w:rPr>
          <w:b/>
          <w:i/>
          <w:szCs w:val="26"/>
        </w:rPr>
        <w:t>In re M.O.</w:t>
      </w:r>
      <w:r w:rsidRPr="00756D04">
        <w:rPr>
          <w:b/>
          <w:szCs w:val="26"/>
        </w:rPr>
        <w:t xml:space="preserve">, </w:t>
      </w:r>
      <w:r>
        <w:rPr>
          <w:b/>
          <w:szCs w:val="26"/>
        </w:rPr>
        <w:t>838 N.W.2d 577</w:t>
      </w:r>
      <w:r w:rsidRPr="00756D04">
        <w:rPr>
          <w:b/>
          <w:szCs w:val="26"/>
        </w:rPr>
        <w:t xml:space="preserve"> (Minn. App. Aug. 26, 2013)</w:t>
      </w:r>
      <w:r>
        <w:rPr>
          <w:b/>
          <w:szCs w:val="26"/>
        </w:rPr>
        <w:t xml:space="preserve">, </w:t>
      </w:r>
      <w:r>
        <w:rPr>
          <w:b/>
          <w:i/>
          <w:szCs w:val="26"/>
        </w:rPr>
        <w:t xml:space="preserve">review denied </w:t>
      </w:r>
      <w:r>
        <w:rPr>
          <w:b/>
          <w:szCs w:val="26"/>
        </w:rPr>
        <w:t>(Minn. Oct. 23, 2013)</w:t>
      </w:r>
      <w:r w:rsidRPr="00756D04">
        <w:rPr>
          <w:b/>
          <w:szCs w:val="26"/>
        </w:rPr>
        <w:t xml:space="preserve"> (A13-0774).</w:t>
      </w:r>
    </w:p>
    <w:p w:rsidR="00322313" w:rsidRPr="00756D04" w:rsidRDefault="00322313" w:rsidP="00322313">
      <w:pPr>
        <w:outlineLvl w:val="0"/>
        <w:rPr>
          <w:szCs w:val="26"/>
        </w:rPr>
      </w:pPr>
      <w:r w:rsidRPr="00756D04">
        <w:rPr>
          <w:szCs w:val="26"/>
        </w:rPr>
        <w:tab/>
        <w:t>1.</w:t>
      </w:r>
      <w:r w:rsidRPr="00756D04">
        <w:rPr>
          <w:szCs w:val="26"/>
        </w:rPr>
        <w:tab/>
        <w:t>In an adoption proceeding, any appeal must be taken within 30 days, as provided by rule 48.02, subdivision 2, of the Minnesota Rules of Adoption Procedure.  The 60-day period in rule 104.01 of the Minnesota Rules of Civil Appellate Procedure and section 259.63 of the Minnesota Statutes does not apply.</w:t>
      </w:r>
    </w:p>
    <w:p w:rsidR="00322313" w:rsidRDefault="00322313" w:rsidP="00756ABC">
      <w:pPr>
        <w:rPr>
          <w:szCs w:val="26"/>
        </w:rPr>
      </w:pPr>
      <w:r w:rsidRPr="00756D04">
        <w:rPr>
          <w:szCs w:val="26"/>
        </w:rPr>
        <w:tab/>
        <w:t>2.</w:t>
      </w:r>
      <w:r w:rsidRPr="00756D04">
        <w:rPr>
          <w:szCs w:val="26"/>
        </w:rPr>
        <w:tab/>
        <w:t>The requirement in rule 10.04 of the Minnesota Rules of Adoption Procedure that the district court administrator “shall” use a notice-of-filing form developed by the state court administrator is directory rather than mandatory.  If a district court administrator uses a form other than the form developed by the state court administrator pursuant to rule 10.04, the district court administrator’s notice of filing nonetheless may be effective to limit the time in which a party may appeal.</w:t>
      </w:r>
    </w:p>
    <w:p w:rsidR="00322313" w:rsidRDefault="00322313" w:rsidP="00756ABC">
      <w:pPr>
        <w:rPr>
          <w:szCs w:val="26"/>
        </w:rPr>
      </w:pPr>
    </w:p>
    <w:p w:rsidR="00322313" w:rsidRPr="00756D04" w:rsidRDefault="00322313" w:rsidP="00322313">
      <w:pPr>
        <w:rPr>
          <w:b/>
          <w:szCs w:val="26"/>
        </w:rPr>
      </w:pPr>
      <w:r w:rsidRPr="00756D04">
        <w:rPr>
          <w:b/>
          <w:i/>
          <w:szCs w:val="26"/>
        </w:rPr>
        <w:t>In re Welfare of Children of</w:t>
      </w:r>
      <w:r>
        <w:rPr>
          <w:b/>
          <w:i/>
          <w:szCs w:val="26"/>
        </w:rPr>
        <w:t xml:space="preserve"> L.L.P.</w:t>
      </w:r>
      <w:r w:rsidRPr="00756D04">
        <w:rPr>
          <w:b/>
          <w:szCs w:val="26"/>
        </w:rPr>
        <w:t xml:space="preserve">, </w:t>
      </w:r>
      <w:r>
        <w:rPr>
          <w:b/>
          <w:szCs w:val="26"/>
        </w:rPr>
        <w:t>836</w:t>
      </w:r>
      <w:r w:rsidRPr="00756D04">
        <w:rPr>
          <w:b/>
          <w:szCs w:val="26"/>
        </w:rPr>
        <w:t xml:space="preserve"> N.W.2d </w:t>
      </w:r>
      <w:r>
        <w:rPr>
          <w:b/>
          <w:szCs w:val="26"/>
        </w:rPr>
        <w:t>563</w:t>
      </w:r>
      <w:r w:rsidRPr="00756D04">
        <w:rPr>
          <w:b/>
          <w:szCs w:val="26"/>
        </w:rPr>
        <w:t xml:space="preserve"> (Minn. App. Aug. 19, 2013)</w:t>
      </w:r>
      <w:r>
        <w:rPr>
          <w:b/>
          <w:szCs w:val="26"/>
        </w:rPr>
        <w:t xml:space="preserve">, </w:t>
      </w:r>
      <w:r>
        <w:rPr>
          <w:b/>
          <w:i/>
          <w:szCs w:val="26"/>
        </w:rPr>
        <w:t xml:space="preserve">review denied </w:t>
      </w:r>
      <w:r>
        <w:rPr>
          <w:b/>
          <w:szCs w:val="26"/>
        </w:rPr>
        <w:t>(Minn. Oct. 15, 2013)</w:t>
      </w:r>
      <w:r w:rsidRPr="00756D04">
        <w:rPr>
          <w:b/>
          <w:szCs w:val="26"/>
        </w:rPr>
        <w:t xml:space="preserve"> (A13-0545).</w:t>
      </w:r>
    </w:p>
    <w:p w:rsidR="00322313" w:rsidRPr="00756D04" w:rsidRDefault="00322313" w:rsidP="00322313">
      <w:pPr>
        <w:ind w:firstLine="720"/>
        <w:outlineLvl w:val="0"/>
        <w:rPr>
          <w:szCs w:val="26"/>
        </w:rPr>
      </w:pPr>
      <w:r w:rsidRPr="00756D04">
        <w:rPr>
          <w:szCs w:val="26"/>
        </w:rPr>
        <w:t>1.</w:t>
      </w:r>
      <w:r w:rsidRPr="00756D04">
        <w:rPr>
          <w:szCs w:val="26"/>
        </w:rPr>
        <w:tab/>
        <w:t>An order denying a motion for adoptive placement for failure to make a prima facie case of unreasonableness on the part of the county’s social services agency is appealable under Minn. Stat. § 260C.607, subd. 6(g) (2012), and Minn. R. Juv. Prot. P. 47.02, subd. 1.</w:t>
      </w:r>
    </w:p>
    <w:p w:rsidR="00322313" w:rsidRPr="00756D04" w:rsidRDefault="00322313" w:rsidP="00322313">
      <w:pPr>
        <w:ind w:firstLine="720"/>
        <w:rPr>
          <w:szCs w:val="26"/>
        </w:rPr>
      </w:pPr>
      <w:r w:rsidRPr="00756D04">
        <w:rPr>
          <w:szCs w:val="26"/>
        </w:rPr>
        <w:t>2.</w:t>
      </w:r>
      <w:r w:rsidRPr="00756D04">
        <w:rPr>
          <w:szCs w:val="26"/>
        </w:rPr>
        <w:tab/>
        <w:t>A relative or foster parent requesting an order for an adoptive placement pursuant to Minn. Stat. § 260C.607, subd. 6 (2012), must submit a motion and supporting documents establishing a prima facie showing that the county’s social services agency has been unreasonable in failing to make the requested adoptive placement.  In considering whether the motion for adoptive placement makes a prima facie showing and the movant is entitled to an evidentiary hearing, the district court must accept the facts as true as set forth in the movant’s supporting documents, disregard contrary allegations by the agency, and consider the agency’s allegations only to the extent that they explain or provide context to the movant’s allegations.</w:t>
      </w:r>
    </w:p>
    <w:p w:rsidR="00322313" w:rsidRPr="00756D04" w:rsidRDefault="00322313" w:rsidP="00322313">
      <w:pPr>
        <w:ind w:firstLine="720"/>
        <w:rPr>
          <w:szCs w:val="26"/>
        </w:rPr>
      </w:pPr>
      <w:r w:rsidRPr="00756D04">
        <w:rPr>
          <w:szCs w:val="26"/>
        </w:rPr>
        <w:t>3.</w:t>
      </w:r>
      <w:r w:rsidRPr="00756D04">
        <w:rPr>
          <w:szCs w:val="26"/>
        </w:rPr>
        <w:tab/>
        <w:t>Whether the district court properly considered a moving party’s supporting documents in a motion for adoptive placement is reviewed de novo.  Whether the district court erred in finding that a moving party failed to establish a prima facie case that the agency acted unreasonably in failing to make the requested adoptive placement is reviewed for an abuse of discretion.  Whether the district court properly denied a moving party’s request for an evidentiary hearing is reviewed de novo.</w:t>
      </w:r>
    </w:p>
    <w:p w:rsidR="00322313" w:rsidRPr="00322313" w:rsidRDefault="00322313" w:rsidP="00322313">
      <w:pPr>
        <w:rPr>
          <w:szCs w:val="26"/>
        </w:rPr>
      </w:pPr>
      <w:r w:rsidRPr="00756D04">
        <w:rPr>
          <w:szCs w:val="26"/>
        </w:rPr>
        <w:t>4.</w:t>
      </w:r>
      <w:r w:rsidRPr="00756D04">
        <w:rPr>
          <w:szCs w:val="26"/>
        </w:rPr>
        <w:tab/>
        <w:t>Under Minn. Stat. § 260C.619(b) (2012), a contact or communication agreement between adoptive parents and a relative or foster parent with a child is enforceable by the district court when the agreement’s terms are contained in a written court order.</w:t>
      </w:r>
    </w:p>
    <w:p w:rsidR="00756ABC" w:rsidRDefault="00756ABC" w:rsidP="00756ABC">
      <w:pPr>
        <w:outlineLvl w:val="3"/>
        <w:rPr>
          <w:b/>
          <w:bCs/>
          <w:i/>
          <w:szCs w:val="26"/>
        </w:rPr>
      </w:pPr>
    </w:p>
    <w:p w:rsidR="00756ABC" w:rsidRPr="005E7D92" w:rsidRDefault="00756ABC" w:rsidP="005E7D92">
      <w:pPr>
        <w:suppressAutoHyphens w:val="0"/>
        <w:jc w:val="left"/>
        <w:rPr>
          <w:b/>
          <w:bCs/>
          <w:i/>
          <w:szCs w:val="26"/>
        </w:rPr>
      </w:pPr>
      <w:r w:rsidRPr="00EF527C">
        <w:rPr>
          <w:b/>
          <w:bCs/>
          <w:i/>
          <w:szCs w:val="26"/>
        </w:rPr>
        <w:t>Kremer v. Kremer</w:t>
      </w:r>
      <w:r w:rsidRPr="00EF527C">
        <w:rPr>
          <w:b/>
          <w:bCs/>
          <w:szCs w:val="26"/>
        </w:rPr>
        <w:t xml:space="preserve">, 827 N.W.2d 454 (Minn. App. Feb. 19, 2013), </w:t>
      </w:r>
      <w:r w:rsidRPr="00EF527C">
        <w:rPr>
          <w:b/>
          <w:bCs/>
          <w:i/>
          <w:szCs w:val="26"/>
        </w:rPr>
        <w:t xml:space="preserve">review denied </w:t>
      </w:r>
      <w:r w:rsidRPr="00EF527C">
        <w:rPr>
          <w:b/>
          <w:bCs/>
          <w:szCs w:val="26"/>
        </w:rPr>
        <w:t xml:space="preserve">(Minn. Apr. 16, 2013) (A12-0699).  </w:t>
      </w:r>
    </w:p>
    <w:p w:rsidR="00756ABC" w:rsidRPr="00E21296" w:rsidRDefault="00756ABC" w:rsidP="00756ABC">
      <w:pPr>
        <w:outlineLvl w:val="3"/>
        <w:rPr>
          <w:b/>
          <w:bCs/>
          <w:szCs w:val="26"/>
        </w:rPr>
      </w:pPr>
      <w:r w:rsidRPr="00EF527C">
        <w:rPr>
          <w:b/>
          <w:bCs/>
          <w:szCs w:val="26"/>
        </w:rPr>
        <w:tab/>
      </w:r>
      <w:r w:rsidRPr="00EF527C">
        <w:rPr>
          <w:szCs w:val="26"/>
        </w:rPr>
        <w:t>When one parent relocates to another state before the district court has made a final custody determination, and where that relocation was necessarily addressed in the district court’s custody decree, the district court is not required to determine whether the parent’s relocation is in the child’s best interests under Minn. Stat. § 518.175, subd. 3 (2012), because (1) that statute only applies when a parent decides to relocate after the final decree has been filed, and (2) the impact of the parent’s relocation on the child is implicit in the best-interests factors that the district court is required to apply in making a custody determination under Minn. Stat. § 518.17, subd. 1(a) (2012).</w:t>
      </w:r>
    </w:p>
    <w:p w:rsidR="00756ABC" w:rsidRDefault="00756ABC" w:rsidP="003856A1">
      <w:pPr>
        <w:outlineLvl w:val="3"/>
        <w:rPr>
          <w:b/>
          <w:bCs/>
          <w:i/>
          <w:szCs w:val="26"/>
        </w:rPr>
      </w:pPr>
    </w:p>
    <w:p w:rsidR="003856A1" w:rsidRPr="006400C5" w:rsidRDefault="003856A1" w:rsidP="003856A1">
      <w:pPr>
        <w:outlineLvl w:val="3"/>
        <w:rPr>
          <w:b/>
          <w:bCs/>
          <w:szCs w:val="26"/>
        </w:rPr>
      </w:pPr>
      <w:r w:rsidRPr="006400C5">
        <w:rPr>
          <w:b/>
          <w:bCs/>
          <w:i/>
          <w:szCs w:val="26"/>
        </w:rPr>
        <w:t>Leifur v. Leifur</w:t>
      </w:r>
      <w:r w:rsidRPr="006400C5">
        <w:rPr>
          <w:b/>
          <w:bCs/>
          <w:szCs w:val="26"/>
        </w:rPr>
        <w:t xml:space="preserve">, </w:t>
      </w:r>
      <w:r>
        <w:rPr>
          <w:b/>
          <w:bCs/>
          <w:szCs w:val="26"/>
        </w:rPr>
        <w:t>820</w:t>
      </w:r>
      <w:r w:rsidRPr="006400C5">
        <w:rPr>
          <w:b/>
          <w:bCs/>
          <w:szCs w:val="26"/>
        </w:rPr>
        <w:t xml:space="preserve"> N.W.2d </w:t>
      </w:r>
      <w:r>
        <w:rPr>
          <w:b/>
          <w:bCs/>
          <w:szCs w:val="26"/>
        </w:rPr>
        <w:t>40</w:t>
      </w:r>
      <w:r w:rsidRPr="006400C5">
        <w:rPr>
          <w:b/>
          <w:bCs/>
          <w:szCs w:val="26"/>
        </w:rPr>
        <w:t xml:space="preserve"> (Minn. App. Sept. 4, 2012)</w:t>
      </w:r>
      <w:r>
        <w:rPr>
          <w:b/>
          <w:bCs/>
          <w:szCs w:val="26"/>
        </w:rPr>
        <w:t>,</w:t>
      </w:r>
      <w:r w:rsidRPr="006400C5">
        <w:rPr>
          <w:b/>
          <w:bCs/>
          <w:szCs w:val="26"/>
        </w:rPr>
        <w:t xml:space="preserve"> </w:t>
      </w:r>
      <w:r>
        <w:rPr>
          <w:b/>
          <w:bCs/>
          <w:i/>
          <w:szCs w:val="26"/>
        </w:rPr>
        <w:t>review dismissed</w:t>
      </w:r>
      <w:r>
        <w:rPr>
          <w:b/>
          <w:bCs/>
          <w:szCs w:val="26"/>
        </w:rPr>
        <w:t xml:space="preserve"> (Minn. Nov. 1, 2012) (</w:t>
      </w:r>
      <w:r w:rsidRPr="006400C5">
        <w:rPr>
          <w:b/>
          <w:bCs/>
          <w:szCs w:val="26"/>
        </w:rPr>
        <w:t>A11-1475).</w:t>
      </w:r>
    </w:p>
    <w:p w:rsidR="003856A1" w:rsidRDefault="003856A1" w:rsidP="003856A1">
      <w:pPr>
        <w:rPr>
          <w:szCs w:val="26"/>
        </w:rPr>
      </w:pPr>
      <w:r w:rsidRPr="006400C5">
        <w:rPr>
          <w:szCs w:val="26"/>
        </w:rPr>
        <w:tab/>
        <w:t xml:space="preserve">Under Minn. Stat. § 518A.39, subd. 2(e) (2010), the district court may not make a maintenance modification retroactive to a time before the moving party served notice of the modification motion even though the parties agreed to an earlier retroactive date in a mediated agreement.  </w:t>
      </w:r>
    </w:p>
    <w:p w:rsidR="00037F2A" w:rsidRDefault="00037F2A" w:rsidP="003856A1">
      <w:pPr>
        <w:rPr>
          <w:szCs w:val="26"/>
        </w:rPr>
      </w:pPr>
    </w:p>
    <w:p w:rsidR="00037F2A" w:rsidRPr="00756D04" w:rsidRDefault="00037F2A" w:rsidP="00037F2A">
      <w:pPr>
        <w:rPr>
          <w:b/>
          <w:szCs w:val="26"/>
        </w:rPr>
      </w:pPr>
      <w:r w:rsidRPr="00756D04">
        <w:rPr>
          <w:b/>
          <w:i/>
          <w:szCs w:val="26"/>
        </w:rPr>
        <w:t>Limberg v. Mitchell</w:t>
      </w:r>
      <w:r w:rsidRPr="00756D04">
        <w:rPr>
          <w:b/>
          <w:szCs w:val="26"/>
        </w:rPr>
        <w:t xml:space="preserve">, </w:t>
      </w:r>
      <w:r>
        <w:rPr>
          <w:b/>
          <w:szCs w:val="26"/>
        </w:rPr>
        <w:t>834</w:t>
      </w:r>
      <w:r w:rsidRPr="00756D04">
        <w:rPr>
          <w:b/>
          <w:szCs w:val="26"/>
        </w:rPr>
        <w:t xml:space="preserve"> N.W.2d </w:t>
      </w:r>
      <w:r>
        <w:rPr>
          <w:b/>
          <w:szCs w:val="26"/>
        </w:rPr>
        <w:t>211</w:t>
      </w:r>
      <w:r w:rsidRPr="00756D04">
        <w:rPr>
          <w:b/>
          <w:szCs w:val="26"/>
        </w:rPr>
        <w:t xml:space="preserve"> (Minn. App. July 15, 2013) (A12-2315).</w:t>
      </w:r>
    </w:p>
    <w:p w:rsidR="00037F2A" w:rsidRPr="006400C5" w:rsidRDefault="00037F2A" w:rsidP="00037F2A">
      <w:pPr>
        <w:ind w:firstLine="720"/>
        <w:outlineLvl w:val="0"/>
        <w:rPr>
          <w:szCs w:val="26"/>
        </w:rPr>
      </w:pPr>
      <w:r w:rsidRPr="00756D04">
        <w:rPr>
          <w:szCs w:val="26"/>
        </w:rPr>
        <w:t>In determining whether a presumed father’s evidence is sufficient to withstand a summary judgment motion in a paternity action, the court shall consider such evidence in light of the clear and convincing evidentiary burden of proof set forth in Minn. Stat. § 257.62, subd. 5(b) (2012).</w:t>
      </w:r>
    </w:p>
    <w:p w:rsidR="003856A1" w:rsidRPr="006400C5" w:rsidRDefault="003856A1" w:rsidP="003856A1">
      <w:pPr>
        <w:outlineLvl w:val="3"/>
        <w:rPr>
          <w:b/>
          <w:bCs/>
          <w:szCs w:val="26"/>
        </w:rPr>
      </w:pPr>
    </w:p>
    <w:p w:rsidR="003856A1" w:rsidRPr="006400C5" w:rsidRDefault="003856A1" w:rsidP="003856A1">
      <w:pPr>
        <w:outlineLvl w:val="3"/>
        <w:rPr>
          <w:b/>
          <w:bCs/>
          <w:szCs w:val="26"/>
        </w:rPr>
      </w:pPr>
      <w:r w:rsidRPr="006400C5">
        <w:rPr>
          <w:b/>
          <w:bCs/>
          <w:i/>
          <w:szCs w:val="26"/>
        </w:rPr>
        <w:t>VanGelder v. Johnson</w:t>
      </w:r>
      <w:r w:rsidRPr="006400C5">
        <w:rPr>
          <w:b/>
          <w:bCs/>
          <w:szCs w:val="26"/>
        </w:rPr>
        <w:t xml:space="preserve">, </w:t>
      </w:r>
      <w:r>
        <w:rPr>
          <w:b/>
          <w:bCs/>
          <w:szCs w:val="26"/>
        </w:rPr>
        <w:t>827</w:t>
      </w:r>
      <w:r w:rsidRPr="006400C5">
        <w:rPr>
          <w:b/>
          <w:bCs/>
          <w:szCs w:val="26"/>
        </w:rPr>
        <w:t xml:space="preserve"> N.W.2d </w:t>
      </w:r>
      <w:r>
        <w:rPr>
          <w:b/>
          <w:bCs/>
          <w:szCs w:val="26"/>
        </w:rPr>
        <w:t xml:space="preserve">430 </w:t>
      </w:r>
      <w:r w:rsidRPr="006400C5">
        <w:rPr>
          <w:b/>
          <w:bCs/>
          <w:szCs w:val="26"/>
        </w:rPr>
        <w:t>(Minn. App. Oct. 22, 2012)</w:t>
      </w:r>
      <w:r>
        <w:rPr>
          <w:b/>
          <w:bCs/>
          <w:szCs w:val="26"/>
        </w:rPr>
        <w:t xml:space="preserve">, </w:t>
      </w:r>
      <w:r>
        <w:rPr>
          <w:b/>
          <w:bCs/>
          <w:i/>
          <w:szCs w:val="26"/>
        </w:rPr>
        <w:t xml:space="preserve">review denied </w:t>
      </w:r>
      <w:r>
        <w:rPr>
          <w:b/>
          <w:bCs/>
          <w:szCs w:val="26"/>
        </w:rPr>
        <w:t xml:space="preserve">(Minn. Jan. 15, 2013) </w:t>
      </w:r>
      <w:r w:rsidRPr="006400C5">
        <w:rPr>
          <w:b/>
          <w:bCs/>
          <w:szCs w:val="26"/>
        </w:rPr>
        <w:t xml:space="preserve">(A12-0216).  </w:t>
      </w:r>
    </w:p>
    <w:p w:rsidR="005E7D92" w:rsidRPr="00B00726" w:rsidRDefault="003856A1" w:rsidP="00B00726">
      <w:pPr>
        <w:outlineLvl w:val="3"/>
        <w:rPr>
          <w:b/>
          <w:bCs/>
          <w:szCs w:val="26"/>
        </w:rPr>
      </w:pPr>
      <w:r w:rsidRPr="006400C5">
        <w:rPr>
          <w:szCs w:val="26"/>
        </w:rPr>
        <w:tab/>
        <w:t>When a marriage dissolution decree requires divorcing parents to engage a parenting consultant to resolve parenting disputes, the parenting consultant is entitled to quasi-judicial immunity against either parent’s claim for civil damages arising from the parenting consultant’s decisions resolving those disputes.</w:t>
      </w:r>
    </w:p>
    <w:p w:rsidR="005E7D92" w:rsidRDefault="005E7D92" w:rsidP="003856A1">
      <w:pPr>
        <w:tabs>
          <w:tab w:val="left" w:pos="720"/>
          <w:tab w:val="left" w:pos="1440"/>
          <w:tab w:val="left" w:pos="2160"/>
        </w:tabs>
        <w:rPr>
          <w:b/>
          <w:u w:val="single"/>
        </w:rPr>
      </w:pPr>
    </w:p>
    <w:p w:rsidR="005E7D92" w:rsidRDefault="005E7D92" w:rsidP="003856A1">
      <w:pPr>
        <w:tabs>
          <w:tab w:val="left" w:pos="720"/>
          <w:tab w:val="left" w:pos="1440"/>
          <w:tab w:val="left" w:pos="2160"/>
        </w:tabs>
        <w:rPr>
          <w:b/>
          <w:u w:val="single"/>
        </w:rPr>
      </w:pPr>
    </w:p>
    <w:p w:rsidR="00B00726" w:rsidRDefault="00B00726" w:rsidP="003856A1">
      <w:pPr>
        <w:tabs>
          <w:tab w:val="left" w:pos="720"/>
          <w:tab w:val="left" w:pos="1440"/>
          <w:tab w:val="left" w:pos="2160"/>
        </w:tabs>
        <w:rPr>
          <w:b/>
          <w:u w:val="single"/>
        </w:rPr>
      </w:pPr>
    </w:p>
    <w:p w:rsidR="00B00726" w:rsidRDefault="00B00726" w:rsidP="003856A1">
      <w:pPr>
        <w:tabs>
          <w:tab w:val="left" w:pos="720"/>
          <w:tab w:val="left" w:pos="1440"/>
          <w:tab w:val="left" w:pos="2160"/>
        </w:tabs>
        <w:rPr>
          <w:b/>
          <w:u w:val="single"/>
        </w:rPr>
      </w:pPr>
    </w:p>
    <w:p w:rsidR="00B00726" w:rsidRDefault="00B00726" w:rsidP="003856A1">
      <w:pPr>
        <w:tabs>
          <w:tab w:val="left" w:pos="720"/>
          <w:tab w:val="left" w:pos="1440"/>
          <w:tab w:val="left" w:pos="2160"/>
        </w:tabs>
        <w:rPr>
          <w:b/>
          <w:u w:val="single"/>
        </w:rPr>
      </w:pPr>
    </w:p>
    <w:p w:rsidR="00B00726" w:rsidRDefault="00B00726" w:rsidP="003856A1">
      <w:pPr>
        <w:tabs>
          <w:tab w:val="left" w:pos="720"/>
          <w:tab w:val="left" w:pos="1440"/>
          <w:tab w:val="left" w:pos="2160"/>
        </w:tabs>
        <w:rPr>
          <w:b/>
          <w:u w:val="single"/>
        </w:rPr>
      </w:pPr>
    </w:p>
    <w:p w:rsidR="00B00726" w:rsidRDefault="00B00726" w:rsidP="003856A1">
      <w:pPr>
        <w:tabs>
          <w:tab w:val="left" w:pos="720"/>
          <w:tab w:val="left" w:pos="1440"/>
          <w:tab w:val="left" w:pos="2160"/>
        </w:tabs>
        <w:rPr>
          <w:b/>
          <w:u w:val="single"/>
        </w:rPr>
      </w:pPr>
    </w:p>
    <w:p w:rsidR="003856A1" w:rsidRPr="005B0FE5" w:rsidRDefault="003856A1" w:rsidP="003856A1">
      <w:pPr>
        <w:tabs>
          <w:tab w:val="left" w:pos="720"/>
          <w:tab w:val="left" w:pos="1440"/>
          <w:tab w:val="left" w:pos="2160"/>
        </w:tabs>
        <w:rPr>
          <w:b/>
          <w:u w:val="single"/>
        </w:rPr>
      </w:pPr>
      <w:r>
        <w:rPr>
          <w:b/>
          <w:u w:val="single"/>
        </w:rPr>
        <w:t>Harassment Restraining Orders and Orders for Protection</w:t>
      </w:r>
    </w:p>
    <w:p w:rsidR="007474E6" w:rsidRDefault="007474E6" w:rsidP="003856A1">
      <w:pPr>
        <w:rPr>
          <w:b/>
          <w:u w:val="single"/>
        </w:rPr>
      </w:pPr>
    </w:p>
    <w:p w:rsidR="00037F2A" w:rsidRPr="00756D04" w:rsidRDefault="00037F2A" w:rsidP="00037F2A">
      <w:pPr>
        <w:rPr>
          <w:b/>
          <w:szCs w:val="26"/>
        </w:rPr>
      </w:pPr>
      <w:r w:rsidRPr="00756D04">
        <w:rPr>
          <w:b/>
          <w:i/>
          <w:szCs w:val="26"/>
        </w:rPr>
        <w:t>Fiduciary Found</w:t>
      </w:r>
      <w:r>
        <w:rPr>
          <w:b/>
          <w:i/>
          <w:szCs w:val="26"/>
        </w:rPr>
        <w:t>.</w:t>
      </w:r>
      <w:r w:rsidRPr="00756D04">
        <w:rPr>
          <w:b/>
          <w:i/>
          <w:szCs w:val="26"/>
        </w:rPr>
        <w:t>, LLC v. Brown</w:t>
      </w:r>
      <w:r w:rsidRPr="00756D04">
        <w:rPr>
          <w:b/>
          <w:szCs w:val="26"/>
        </w:rPr>
        <w:t xml:space="preserve">, </w:t>
      </w:r>
      <w:r>
        <w:rPr>
          <w:b/>
          <w:szCs w:val="26"/>
        </w:rPr>
        <w:t>834</w:t>
      </w:r>
      <w:r w:rsidRPr="00756D04">
        <w:rPr>
          <w:b/>
          <w:szCs w:val="26"/>
        </w:rPr>
        <w:t xml:space="preserve"> N.W.2d </w:t>
      </w:r>
      <w:r>
        <w:rPr>
          <w:b/>
          <w:szCs w:val="26"/>
        </w:rPr>
        <w:t>756</w:t>
      </w:r>
      <w:r w:rsidRPr="00756D04">
        <w:rPr>
          <w:b/>
          <w:szCs w:val="26"/>
        </w:rPr>
        <w:t xml:space="preserve"> (Minn. App. July 1, 2013)</w:t>
      </w:r>
      <w:r>
        <w:rPr>
          <w:b/>
          <w:szCs w:val="26"/>
        </w:rPr>
        <w:t xml:space="preserve">, </w:t>
      </w:r>
      <w:r>
        <w:rPr>
          <w:b/>
          <w:i/>
          <w:szCs w:val="26"/>
        </w:rPr>
        <w:t>review denied</w:t>
      </w:r>
      <w:r>
        <w:rPr>
          <w:b/>
          <w:szCs w:val="26"/>
        </w:rPr>
        <w:t xml:space="preserve"> (Minn. Sept. 17, 2013)</w:t>
      </w:r>
      <w:r w:rsidRPr="00756D04">
        <w:rPr>
          <w:b/>
          <w:szCs w:val="26"/>
        </w:rPr>
        <w:t xml:space="preserve"> (A12-1911).</w:t>
      </w:r>
    </w:p>
    <w:p w:rsidR="007474E6" w:rsidRDefault="00037F2A" w:rsidP="003856A1">
      <w:pPr>
        <w:rPr>
          <w:szCs w:val="26"/>
        </w:rPr>
      </w:pPr>
      <w:r w:rsidRPr="00756D04">
        <w:rPr>
          <w:szCs w:val="26"/>
        </w:rPr>
        <w:tab/>
        <w:t>When a respondent does not request a hearing after issuance of an ex parte temporary harassment restraining order under Minn. Stat. § 609.748, subd. 4 (2012), the temporary harassment restraining order becomes an ex parte harassment restraining order under Minn. Stat. § 609.748, subd. 5 (2012), effective for the period set forth in the ex parte temporary harassment restraining order.</w:t>
      </w:r>
    </w:p>
    <w:p w:rsidR="00B00726" w:rsidRDefault="00B00726" w:rsidP="003856A1">
      <w:pPr>
        <w:rPr>
          <w:szCs w:val="26"/>
        </w:rPr>
      </w:pPr>
    </w:p>
    <w:p w:rsidR="00B00726" w:rsidRPr="007B36E1" w:rsidRDefault="00B00726" w:rsidP="003856A1">
      <w:pPr>
        <w:rPr>
          <w:b/>
          <w:szCs w:val="26"/>
        </w:rPr>
      </w:pPr>
    </w:p>
    <w:p w:rsidR="003856A1" w:rsidRPr="00EF617E" w:rsidRDefault="003856A1" w:rsidP="003856A1">
      <w:pPr>
        <w:rPr>
          <w:b/>
          <w:u w:val="single"/>
        </w:rPr>
      </w:pPr>
      <w:r>
        <w:rPr>
          <w:b/>
          <w:u w:val="single"/>
        </w:rPr>
        <w:t>Insurance Coverage</w:t>
      </w:r>
    </w:p>
    <w:p w:rsidR="003856A1" w:rsidRDefault="003856A1" w:rsidP="003856A1">
      <w:pPr>
        <w:tabs>
          <w:tab w:val="left" w:pos="720"/>
        </w:tabs>
      </w:pPr>
    </w:p>
    <w:p w:rsidR="003856A1" w:rsidRPr="006400C5" w:rsidRDefault="003856A1" w:rsidP="003856A1">
      <w:pPr>
        <w:outlineLvl w:val="3"/>
        <w:rPr>
          <w:b/>
          <w:bCs/>
          <w:szCs w:val="26"/>
        </w:rPr>
      </w:pPr>
      <w:r w:rsidRPr="006400C5">
        <w:rPr>
          <w:b/>
          <w:bCs/>
          <w:i/>
          <w:szCs w:val="26"/>
        </w:rPr>
        <w:t>Farmers Ins</w:t>
      </w:r>
      <w:r>
        <w:rPr>
          <w:b/>
          <w:bCs/>
          <w:i/>
          <w:szCs w:val="26"/>
        </w:rPr>
        <w:t>.</w:t>
      </w:r>
      <w:r w:rsidRPr="006400C5">
        <w:rPr>
          <w:b/>
          <w:bCs/>
          <w:i/>
          <w:szCs w:val="26"/>
        </w:rPr>
        <w:t xml:space="preserve"> Exch</w:t>
      </w:r>
      <w:r>
        <w:rPr>
          <w:b/>
          <w:bCs/>
          <w:i/>
          <w:szCs w:val="26"/>
        </w:rPr>
        <w:t>.</w:t>
      </w:r>
      <w:r w:rsidRPr="006400C5">
        <w:rPr>
          <w:b/>
          <w:bCs/>
          <w:i/>
          <w:szCs w:val="26"/>
        </w:rPr>
        <w:t xml:space="preserve"> v. Letellier</w:t>
      </w:r>
      <w:r>
        <w:rPr>
          <w:b/>
          <w:bCs/>
          <w:szCs w:val="26"/>
        </w:rPr>
        <w:t>, 820</w:t>
      </w:r>
      <w:r w:rsidRPr="006400C5">
        <w:rPr>
          <w:b/>
          <w:bCs/>
          <w:szCs w:val="26"/>
        </w:rPr>
        <w:t xml:space="preserve"> N.W.2d </w:t>
      </w:r>
      <w:r>
        <w:rPr>
          <w:b/>
          <w:bCs/>
          <w:szCs w:val="26"/>
        </w:rPr>
        <w:t>597</w:t>
      </w:r>
      <w:r w:rsidRPr="006400C5">
        <w:rPr>
          <w:b/>
          <w:bCs/>
          <w:szCs w:val="26"/>
        </w:rPr>
        <w:t xml:space="preserve"> (Minn. App. Sept. 4, 2012) (A12-0155).</w:t>
      </w:r>
    </w:p>
    <w:p w:rsidR="003856A1" w:rsidRPr="006400C5" w:rsidRDefault="003856A1" w:rsidP="003856A1">
      <w:pPr>
        <w:rPr>
          <w:szCs w:val="26"/>
        </w:rPr>
      </w:pPr>
      <w:r w:rsidRPr="006400C5">
        <w:rPr>
          <w:szCs w:val="26"/>
        </w:rPr>
        <w:tab/>
        <w:t xml:space="preserve">A provision in an automobile-insurance policy that provides coverage for damages that an insured person is legally liable to pay because of bodily injury arising out of the ownership, maintenance, or use of a vehicle, does not provide coverage for damages that an insured person is legally liable to pay under the social-host-liability statute because of bodily injury caused by an intoxicated driver under 21 years of age who was not insured under the policy and who was driving a vehicle that was not insured under the policy. </w:t>
      </w:r>
    </w:p>
    <w:p w:rsidR="003856A1" w:rsidRPr="006400C5" w:rsidRDefault="003856A1" w:rsidP="003856A1">
      <w:pPr>
        <w:outlineLvl w:val="3"/>
        <w:rPr>
          <w:b/>
          <w:bCs/>
          <w:szCs w:val="26"/>
        </w:rPr>
      </w:pPr>
    </w:p>
    <w:p w:rsidR="003856A1" w:rsidRPr="006400C5" w:rsidRDefault="003856A1" w:rsidP="003856A1">
      <w:pPr>
        <w:outlineLvl w:val="3"/>
        <w:rPr>
          <w:b/>
          <w:bCs/>
          <w:szCs w:val="26"/>
        </w:rPr>
      </w:pPr>
      <w:r w:rsidRPr="006400C5">
        <w:rPr>
          <w:b/>
          <w:bCs/>
          <w:i/>
          <w:szCs w:val="26"/>
        </w:rPr>
        <w:t>Kastning v. State Farm Ins. Co</w:t>
      </w:r>
      <w:r w:rsidR="001F6E16">
        <w:rPr>
          <w:b/>
          <w:bCs/>
          <w:i/>
          <w:szCs w:val="26"/>
        </w:rPr>
        <w:t>s</w:t>
      </w:r>
      <w:r w:rsidRPr="006400C5">
        <w:rPr>
          <w:b/>
          <w:bCs/>
          <w:i/>
          <w:szCs w:val="26"/>
        </w:rPr>
        <w:t>.</w:t>
      </w:r>
      <w:r>
        <w:rPr>
          <w:b/>
          <w:bCs/>
          <w:szCs w:val="26"/>
        </w:rPr>
        <w:t>, 821 N.W.2d 621</w:t>
      </w:r>
      <w:r w:rsidRPr="006400C5">
        <w:rPr>
          <w:b/>
          <w:bCs/>
          <w:szCs w:val="26"/>
        </w:rPr>
        <w:t xml:space="preserve"> (Minn. App. Sept. 2</w:t>
      </w:r>
      <w:r>
        <w:rPr>
          <w:b/>
          <w:bCs/>
          <w:szCs w:val="26"/>
        </w:rPr>
        <w:t xml:space="preserve">4, 2012), </w:t>
      </w:r>
      <w:r>
        <w:rPr>
          <w:b/>
          <w:bCs/>
          <w:i/>
          <w:szCs w:val="26"/>
        </w:rPr>
        <w:t>review denied</w:t>
      </w:r>
      <w:r>
        <w:rPr>
          <w:b/>
          <w:bCs/>
          <w:szCs w:val="26"/>
        </w:rPr>
        <w:t xml:space="preserve"> (Minn. Nov. 20, 2012) (A12-0584).</w:t>
      </w:r>
    </w:p>
    <w:p w:rsidR="003856A1" w:rsidRPr="006400C5" w:rsidRDefault="003856A1" w:rsidP="003856A1">
      <w:pPr>
        <w:outlineLvl w:val="3"/>
        <w:rPr>
          <w:b/>
          <w:bCs/>
          <w:szCs w:val="26"/>
        </w:rPr>
      </w:pPr>
      <w:r w:rsidRPr="006400C5">
        <w:rPr>
          <w:b/>
          <w:bCs/>
          <w:szCs w:val="26"/>
        </w:rPr>
        <w:tab/>
      </w:r>
      <w:r w:rsidRPr="006400C5">
        <w:rPr>
          <w:szCs w:val="26"/>
        </w:rPr>
        <w:t xml:space="preserve">An uninsured farm tractor is not a “motor vehicle” for purposes of the Minnesota No-Fault Automobile Insurance Act, </w:t>
      </w:r>
      <w:r w:rsidRPr="006400C5">
        <w:rPr>
          <w:bCs/>
          <w:szCs w:val="26"/>
        </w:rPr>
        <w:t>Minn. Stat. §§ 65B.41</w:t>
      </w:r>
      <w:r w:rsidR="001F6E16">
        <w:rPr>
          <w:bCs/>
          <w:szCs w:val="26"/>
        </w:rPr>
        <w:t>–</w:t>
      </w:r>
      <w:r w:rsidRPr="006400C5">
        <w:rPr>
          <w:bCs/>
          <w:szCs w:val="26"/>
        </w:rPr>
        <w:t xml:space="preserve">.71 (2010), because a farm tractor is neither subject to registration under chapter 168 of the Minnesota Statutes nor designed “for use primarily upon public roads, highways or streets.”  </w:t>
      </w:r>
      <w:r w:rsidRPr="006400C5">
        <w:rPr>
          <w:szCs w:val="26"/>
        </w:rPr>
        <w:t xml:space="preserve">Neither is an uninsured farm tractor a “motor vehicle” under the uninsured motorist coverage of an insurance policy that defines “motor vehicle,” in part, as subject to registration under chapter 168 of the Minnesota Statutes and “designed for use on public highways.”  </w:t>
      </w:r>
    </w:p>
    <w:p w:rsidR="003856A1" w:rsidRPr="006400C5" w:rsidRDefault="003856A1" w:rsidP="003856A1">
      <w:pPr>
        <w:outlineLvl w:val="3"/>
        <w:rPr>
          <w:b/>
          <w:bCs/>
          <w:i/>
          <w:szCs w:val="26"/>
        </w:rPr>
      </w:pPr>
    </w:p>
    <w:p w:rsidR="00756ABC" w:rsidRPr="00EC20FD" w:rsidRDefault="00756ABC" w:rsidP="00756ABC">
      <w:pPr>
        <w:outlineLvl w:val="3"/>
        <w:rPr>
          <w:b/>
          <w:bCs/>
          <w:szCs w:val="26"/>
        </w:rPr>
      </w:pPr>
      <w:r w:rsidRPr="00EC20FD">
        <w:rPr>
          <w:b/>
          <w:bCs/>
          <w:i/>
          <w:szCs w:val="26"/>
        </w:rPr>
        <w:t>Russell v. Haji-Ali</w:t>
      </w:r>
      <w:r w:rsidRPr="00EC20FD">
        <w:rPr>
          <w:b/>
          <w:bCs/>
          <w:szCs w:val="26"/>
        </w:rPr>
        <w:t xml:space="preserve">, </w:t>
      </w:r>
      <w:r>
        <w:rPr>
          <w:b/>
          <w:bCs/>
          <w:szCs w:val="26"/>
        </w:rPr>
        <w:t>826</w:t>
      </w:r>
      <w:r w:rsidRPr="00EC20FD">
        <w:rPr>
          <w:b/>
          <w:bCs/>
          <w:szCs w:val="26"/>
        </w:rPr>
        <w:t xml:space="preserve"> N.W.2d </w:t>
      </w:r>
      <w:r>
        <w:rPr>
          <w:b/>
          <w:bCs/>
          <w:szCs w:val="26"/>
        </w:rPr>
        <w:t xml:space="preserve">216 </w:t>
      </w:r>
      <w:r w:rsidRPr="00EC20FD">
        <w:rPr>
          <w:b/>
          <w:bCs/>
          <w:szCs w:val="26"/>
        </w:rPr>
        <w:t>(Minn. App. Jan. 14, 2013)</w:t>
      </w:r>
      <w:r>
        <w:rPr>
          <w:b/>
          <w:bCs/>
          <w:szCs w:val="26"/>
        </w:rPr>
        <w:t xml:space="preserve">, </w:t>
      </w:r>
      <w:r>
        <w:rPr>
          <w:b/>
          <w:bCs/>
          <w:i/>
          <w:szCs w:val="26"/>
        </w:rPr>
        <w:t xml:space="preserve">review denied </w:t>
      </w:r>
      <w:r>
        <w:rPr>
          <w:b/>
          <w:bCs/>
          <w:szCs w:val="26"/>
        </w:rPr>
        <w:t>(Minn. Mar. 27, 2013)</w:t>
      </w:r>
      <w:r w:rsidRPr="00EC20FD">
        <w:rPr>
          <w:b/>
          <w:bCs/>
          <w:szCs w:val="26"/>
        </w:rPr>
        <w:t xml:space="preserve"> (A12-1213).  </w:t>
      </w:r>
    </w:p>
    <w:p w:rsidR="00756ABC" w:rsidRPr="00EC20FD" w:rsidRDefault="00756ABC" w:rsidP="00756ABC">
      <w:pPr>
        <w:outlineLvl w:val="3"/>
        <w:rPr>
          <w:b/>
          <w:bCs/>
          <w:szCs w:val="26"/>
        </w:rPr>
      </w:pPr>
      <w:r w:rsidRPr="00EC20FD">
        <w:rPr>
          <w:b/>
          <w:bCs/>
          <w:szCs w:val="26"/>
        </w:rPr>
        <w:tab/>
      </w:r>
      <w:r w:rsidRPr="00EC20FD">
        <w:rPr>
          <w:szCs w:val="26"/>
        </w:rPr>
        <w:t>An injured claimant’s receipt of underinsured-motorist benefits prior to trial of the claimant’s direct tort action constitutes a collateral source for purposes of a motion to reduce damages pursuant to Minn. Stat. § 548.251 (2012).</w:t>
      </w:r>
    </w:p>
    <w:p w:rsidR="00756ABC" w:rsidRDefault="00756ABC" w:rsidP="003856A1">
      <w:pPr>
        <w:outlineLvl w:val="3"/>
        <w:rPr>
          <w:b/>
          <w:bCs/>
          <w:i/>
          <w:szCs w:val="26"/>
        </w:rPr>
      </w:pPr>
    </w:p>
    <w:p w:rsidR="00B00726" w:rsidRDefault="00B00726" w:rsidP="003856A1">
      <w:pPr>
        <w:outlineLvl w:val="3"/>
        <w:rPr>
          <w:b/>
          <w:bCs/>
          <w:i/>
          <w:szCs w:val="26"/>
        </w:rPr>
      </w:pPr>
    </w:p>
    <w:p w:rsidR="00B00726" w:rsidRDefault="00B00726" w:rsidP="003856A1">
      <w:pPr>
        <w:outlineLvl w:val="3"/>
        <w:rPr>
          <w:b/>
          <w:bCs/>
          <w:i/>
          <w:szCs w:val="26"/>
        </w:rPr>
      </w:pPr>
    </w:p>
    <w:p w:rsidR="003856A1" w:rsidRPr="006400C5" w:rsidRDefault="003856A1" w:rsidP="003856A1">
      <w:pPr>
        <w:outlineLvl w:val="3"/>
        <w:rPr>
          <w:b/>
          <w:bCs/>
          <w:szCs w:val="26"/>
        </w:rPr>
      </w:pPr>
      <w:r w:rsidRPr="006400C5">
        <w:rPr>
          <w:b/>
          <w:bCs/>
          <w:i/>
          <w:szCs w:val="26"/>
        </w:rPr>
        <w:t>Schupp v. United Fire &amp; Cas</w:t>
      </w:r>
      <w:r>
        <w:rPr>
          <w:b/>
          <w:bCs/>
          <w:i/>
          <w:szCs w:val="26"/>
        </w:rPr>
        <w:t>.</w:t>
      </w:r>
      <w:r w:rsidRPr="006400C5">
        <w:rPr>
          <w:b/>
          <w:bCs/>
          <w:i/>
          <w:szCs w:val="26"/>
        </w:rPr>
        <w:t xml:space="preserve"> Co.</w:t>
      </w:r>
      <w:r>
        <w:rPr>
          <w:b/>
          <w:bCs/>
          <w:szCs w:val="26"/>
        </w:rPr>
        <w:t>, 821 N.W.2d 824</w:t>
      </w:r>
      <w:r w:rsidRPr="006400C5">
        <w:rPr>
          <w:b/>
          <w:bCs/>
          <w:szCs w:val="26"/>
        </w:rPr>
        <w:t xml:space="preserve"> (Minn. App. Oct. 1, 2012)</w:t>
      </w:r>
      <w:r>
        <w:rPr>
          <w:b/>
          <w:bCs/>
          <w:szCs w:val="26"/>
        </w:rPr>
        <w:t xml:space="preserve">, </w:t>
      </w:r>
      <w:r>
        <w:rPr>
          <w:b/>
          <w:bCs/>
          <w:i/>
          <w:szCs w:val="26"/>
        </w:rPr>
        <w:t xml:space="preserve">review denied </w:t>
      </w:r>
      <w:r>
        <w:rPr>
          <w:b/>
          <w:bCs/>
          <w:szCs w:val="26"/>
        </w:rPr>
        <w:t>(Minn. Dec. 18, 2012) (A12-0453).</w:t>
      </w:r>
    </w:p>
    <w:p w:rsidR="007474E6" w:rsidRDefault="003856A1" w:rsidP="005E7D92">
      <w:pPr>
        <w:outlineLvl w:val="3"/>
        <w:rPr>
          <w:szCs w:val="26"/>
        </w:rPr>
      </w:pPr>
      <w:r w:rsidRPr="006400C5">
        <w:rPr>
          <w:b/>
          <w:bCs/>
          <w:szCs w:val="26"/>
        </w:rPr>
        <w:tab/>
      </w:r>
      <w:r w:rsidRPr="006400C5">
        <w:rPr>
          <w:szCs w:val="26"/>
        </w:rPr>
        <w:t xml:space="preserve">Minn. Stat. § 60A.08, subd. 1 (2008), does not require an insurer to provide an insured with a paper copy of every term and condition of an insured’s commercial general liability policy each year upon renewal. </w:t>
      </w:r>
    </w:p>
    <w:p w:rsidR="007C46E9" w:rsidRDefault="007C46E9" w:rsidP="005E7D92">
      <w:pPr>
        <w:outlineLvl w:val="3"/>
        <w:rPr>
          <w:szCs w:val="26"/>
        </w:rPr>
      </w:pPr>
    </w:p>
    <w:p w:rsidR="007C46E9" w:rsidRPr="005E7D92" w:rsidRDefault="007C46E9" w:rsidP="005E7D92">
      <w:pPr>
        <w:outlineLvl w:val="3"/>
        <w:rPr>
          <w:b/>
          <w:bCs/>
          <w:szCs w:val="26"/>
        </w:rPr>
      </w:pPr>
    </w:p>
    <w:p w:rsidR="003856A1" w:rsidRPr="00213267" w:rsidRDefault="003856A1" w:rsidP="003856A1">
      <w:pPr>
        <w:tabs>
          <w:tab w:val="left" w:pos="720"/>
          <w:tab w:val="left" w:pos="1440"/>
        </w:tabs>
        <w:rPr>
          <w:b/>
          <w:u w:val="single"/>
        </w:rPr>
      </w:pPr>
      <w:r>
        <w:rPr>
          <w:b/>
          <w:u w:val="single"/>
        </w:rPr>
        <w:t>Jurisdiction and Procedure</w:t>
      </w:r>
    </w:p>
    <w:p w:rsidR="007474E6" w:rsidRDefault="007474E6" w:rsidP="003856A1"/>
    <w:p w:rsidR="007B36E1" w:rsidRPr="00756D04" w:rsidRDefault="007B36E1" w:rsidP="007B36E1">
      <w:pPr>
        <w:rPr>
          <w:b/>
          <w:szCs w:val="26"/>
        </w:rPr>
      </w:pPr>
      <w:r>
        <w:rPr>
          <w:b/>
          <w:i/>
          <w:szCs w:val="26"/>
        </w:rPr>
        <w:t xml:space="preserve">Leiendecker </w:t>
      </w:r>
      <w:r w:rsidRPr="00756D04">
        <w:rPr>
          <w:b/>
          <w:i/>
          <w:szCs w:val="26"/>
        </w:rPr>
        <w:t xml:space="preserve">v. Asian Women United of </w:t>
      </w:r>
      <w:r>
        <w:rPr>
          <w:b/>
          <w:i/>
          <w:szCs w:val="26"/>
        </w:rPr>
        <w:t>Minn.</w:t>
      </w:r>
      <w:r w:rsidRPr="00756D04">
        <w:rPr>
          <w:b/>
          <w:szCs w:val="26"/>
        </w:rPr>
        <w:t xml:space="preserve">, </w:t>
      </w:r>
      <w:r>
        <w:rPr>
          <w:b/>
          <w:szCs w:val="26"/>
        </w:rPr>
        <w:t>834</w:t>
      </w:r>
      <w:r w:rsidRPr="00756D04">
        <w:rPr>
          <w:b/>
          <w:szCs w:val="26"/>
        </w:rPr>
        <w:t xml:space="preserve"> N.W.2d </w:t>
      </w:r>
      <w:r>
        <w:rPr>
          <w:b/>
          <w:szCs w:val="26"/>
        </w:rPr>
        <w:t>741</w:t>
      </w:r>
      <w:r w:rsidRPr="00756D04">
        <w:rPr>
          <w:b/>
          <w:szCs w:val="26"/>
        </w:rPr>
        <w:t xml:space="preserve"> (Minn. App. June 3, 2013)</w:t>
      </w:r>
      <w:r>
        <w:rPr>
          <w:b/>
          <w:szCs w:val="26"/>
        </w:rPr>
        <w:t xml:space="preserve">, </w:t>
      </w:r>
      <w:r>
        <w:rPr>
          <w:b/>
          <w:i/>
          <w:szCs w:val="26"/>
        </w:rPr>
        <w:t>review granted</w:t>
      </w:r>
      <w:r>
        <w:rPr>
          <w:b/>
          <w:szCs w:val="26"/>
        </w:rPr>
        <w:t xml:space="preserve"> (Minn. Aug. 20, 2013)</w:t>
      </w:r>
      <w:r w:rsidRPr="00756D04">
        <w:rPr>
          <w:b/>
          <w:szCs w:val="26"/>
        </w:rPr>
        <w:t xml:space="preserve"> (A12-1978, A12-2015).</w:t>
      </w:r>
    </w:p>
    <w:p w:rsidR="007474E6" w:rsidRDefault="007B36E1" w:rsidP="005E7D92">
      <w:pPr>
        <w:ind w:firstLine="720"/>
        <w:outlineLvl w:val="0"/>
        <w:rPr>
          <w:szCs w:val="26"/>
        </w:rPr>
      </w:pPr>
      <w:r w:rsidRPr="00756D04">
        <w:rPr>
          <w:szCs w:val="26"/>
        </w:rPr>
        <w:t>An expert witness who submits an affidavit in the course of a legal proceeding is absolutely immune from liability under the absolute-privilege doctrine.</w:t>
      </w:r>
    </w:p>
    <w:p w:rsidR="005E7D92" w:rsidRDefault="005E7D92" w:rsidP="005E7D92">
      <w:pPr>
        <w:ind w:firstLine="720"/>
        <w:outlineLvl w:val="0"/>
        <w:rPr>
          <w:szCs w:val="26"/>
        </w:rPr>
      </w:pPr>
    </w:p>
    <w:p w:rsidR="005E7D92" w:rsidRPr="005E7D92" w:rsidRDefault="005E7D92" w:rsidP="005E7D92">
      <w:pPr>
        <w:ind w:firstLine="720"/>
        <w:outlineLvl w:val="0"/>
        <w:rPr>
          <w:szCs w:val="26"/>
        </w:rPr>
      </w:pPr>
    </w:p>
    <w:p w:rsidR="003856A1" w:rsidRPr="00BD6A67" w:rsidRDefault="003856A1" w:rsidP="003856A1">
      <w:pPr>
        <w:pStyle w:val="BodyText"/>
        <w:spacing w:line="240" w:lineRule="auto"/>
        <w:rPr>
          <w:b/>
          <w:u w:val="single"/>
        </w:rPr>
      </w:pPr>
      <w:r>
        <w:rPr>
          <w:b/>
          <w:u w:val="single"/>
        </w:rPr>
        <w:t>Labor and Employment</w:t>
      </w:r>
    </w:p>
    <w:p w:rsidR="003856A1" w:rsidRDefault="003856A1" w:rsidP="003856A1">
      <w:pPr>
        <w:pStyle w:val="BodyText"/>
        <w:spacing w:line="240" w:lineRule="auto"/>
      </w:pPr>
    </w:p>
    <w:p w:rsidR="005040B7" w:rsidRPr="00756D04" w:rsidRDefault="005040B7" w:rsidP="005040B7">
      <w:pPr>
        <w:rPr>
          <w:b/>
          <w:szCs w:val="26"/>
        </w:rPr>
      </w:pPr>
      <w:r w:rsidRPr="00756D04">
        <w:rPr>
          <w:b/>
          <w:i/>
          <w:szCs w:val="26"/>
        </w:rPr>
        <w:t xml:space="preserve">Aase v. Wapiti Meadows </w:t>
      </w:r>
      <w:r>
        <w:rPr>
          <w:b/>
          <w:i/>
          <w:szCs w:val="26"/>
        </w:rPr>
        <w:t>Cmty. Tech. &amp; Servs., Inc.</w:t>
      </w:r>
      <w:r w:rsidRPr="00756D04">
        <w:rPr>
          <w:b/>
          <w:szCs w:val="26"/>
        </w:rPr>
        <w:t xml:space="preserve">, </w:t>
      </w:r>
      <w:r>
        <w:rPr>
          <w:b/>
          <w:szCs w:val="26"/>
        </w:rPr>
        <w:t>832</w:t>
      </w:r>
      <w:r w:rsidRPr="00756D04">
        <w:rPr>
          <w:b/>
          <w:szCs w:val="26"/>
        </w:rPr>
        <w:t xml:space="preserve"> N.W.2d </w:t>
      </w:r>
      <w:r>
        <w:rPr>
          <w:b/>
          <w:szCs w:val="26"/>
        </w:rPr>
        <w:t>852</w:t>
      </w:r>
      <w:r w:rsidRPr="00756D04">
        <w:rPr>
          <w:b/>
          <w:szCs w:val="26"/>
        </w:rPr>
        <w:t xml:space="preserve"> (Minn. App. May 20, 2013)</w:t>
      </w:r>
      <w:r>
        <w:rPr>
          <w:b/>
          <w:szCs w:val="26"/>
        </w:rPr>
        <w:t xml:space="preserve">, </w:t>
      </w:r>
      <w:r>
        <w:rPr>
          <w:b/>
          <w:i/>
          <w:szCs w:val="26"/>
        </w:rPr>
        <w:t>review denied</w:t>
      </w:r>
      <w:r>
        <w:rPr>
          <w:b/>
          <w:szCs w:val="26"/>
        </w:rPr>
        <w:t xml:space="preserve"> (Minn. Aug. 6, 2013)</w:t>
      </w:r>
      <w:r w:rsidRPr="00756D04">
        <w:rPr>
          <w:b/>
          <w:szCs w:val="26"/>
        </w:rPr>
        <w:t xml:space="preserve"> (A12-1671).</w:t>
      </w:r>
    </w:p>
    <w:p w:rsidR="005040B7" w:rsidRPr="005040B7" w:rsidRDefault="005040B7" w:rsidP="005040B7">
      <w:pPr>
        <w:ind w:firstLine="720"/>
        <w:rPr>
          <w:i/>
          <w:szCs w:val="26"/>
        </w:rPr>
      </w:pPr>
      <w:r w:rsidRPr="00756D04">
        <w:rPr>
          <w:szCs w:val="26"/>
        </w:rPr>
        <w:t xml:space="preserve">Discharging an employee because her spouse accepted a position with a competitor is a violation of the Minnesota Human Rights Act’s (MHRA) ban on discrimination based on the identity, situation, actions, or beliefs of a spouse, as defined in Minn. Stat. §§ 363A.02, subd. 1(1), .03, subd. 24 (2012), and is therefore not a legitimate, nondiscriminatory reason for an adverse employment decision for purposes of the second step of </w:t>
      </w:r>
      <w:r w:rsidRPr="00756D04">
        <w:rPr>
          <w:i/>
          <w:szCs w:val="26"/>
        </w:rPr>
        <w:t>McDonnell Douglas.</w:t>
      </w:r>
    </w:p>
    <w:p w:rsidR="005040B7" w:rsidRDefault="005040B7" w:rsidP="003856A1">
      <w:pPr>
        <w:pStyle w:val="BodyText"/>
        <w:spacing w:line="240" w:lineRule="auto"/>
      </w:pPr>
    </w:p>
    <w:p w:rsidR="003856A1" w:rsidRPr="00E04204" w:rsidRDefault="00A91C71" w:rsidP="003856A1">
      <w:pPr>
        <w:rPr>
          <w:b/>
          <w:bCs/>
          <w:iCs/>
          <w:color w:val="000000"/>
          <w:szCs w:val="26"/>
        </w:rPr>
      </w:pPr>
      <w:r>
        <w:rPr>
          <w:b/>
          <w:bCs/>
          <w:i/>
          <w:iCs/>
          <w:color w:val="000000"/>
          <w:szCs w:val="26"/>
        </w:rPr>
        <w:t>Doran v. Indep.</w:t>
      </w:r>
      <w:r w:rsidR="003856A1" w:rsidRPr="00E04204">
        <w:rPr>
          <w:b/>
          <w:bCs/>
          <w:i/>
          <w:iCs/>
          <w:color w:val="000000"/>
          <w:szCs w:val="26"/>
        </w:rPr>
        <w:t xml:space="preserve"> Sch. Dist. No. 720</w:t>
      </w:r>
      <w:r w:rsidR="003856A1" w:rsidRPr="00E04204">
        <w:rPr>
          <w:b/>
          <w:bCs/>
          <w:iCs/>
          <w:color w:val="000000"/>
          <w:szCs w:val="26"/>
        </w:rPr>
        <w:t xml:space="preserve">, </w:t>
      </w:r>
      <w:r>
        <w:rPr>
          <w:b/>
          <w:bCs/>
          <w:iCs/>
          <w:color w:val="000000"/>
          <w:szCs w:val="26"/>
        </w:rPr>
        <w:t>831 N.W.2d 1</w:t>
      </w:r>
      <w:r w:rsidR="003856A1" w:rsidRPr="00E04204">
        <w:rPr>
          <w:b/>
          <w:bCs/>
          <w:iCs/>
          <w:color w:val="000000"/>
          <w:szCs w:val="26"/>
        </w:rPr>
        <w:t xml:space="preserve"> (Minn. App. Apr. 22, 2013) (A12-1289).</w:t>
      </w:r>
    </w:p>
    <w:p w:rsidR="003856A1" w:rsidRPr="00E04204" w:rsidRDefault="003856A1" w:rsidP="003856A1">
      <w:pPr>
        <w:ind w:firstLine="720"/>
        <w:rPr>
          <w:color w:val="000000"/>
          <w:szCs w:val="26"/>
        </w:rPr>
      </w:pPr>
      <w:r w:rsidRPr="00E04204">
        <w:rPr>
          <w:color w:val="000000"/>
          <w:szCs w:val="26"/>
        </w:rPr>
        <w:t xml:space="preserve">1. </w:t>
      </w:r>
      <w:r w:rsidRPr="00E04204">
        <w:rPr>
          <w:color w:val="000000"/>
          <w:szCs w:val="26"/>
        </w:rPr>
        <w:tab/>
        <w:t>When a school district withdraws from its membership in an educational cooperative that has placed a teacher on an unrequested leave of absence, the teacher’s statutory right to claim an open teaching position in the school district depends on a temporal relationship, not on a causal relationship, between the withdrawal and the leave. Minn. Stat. § 123A.33, subd. 8 (2012).</w:t>
      </w:r>
    </w:p>
    <w:p w:rsidR="003856A1" w:rsidRDefault="003856A1" w:rsidP="003856A1">
      <w:pPr>
        <w:ind w:firstLine="720"/>
        <w:rPr>
          <w:color w:val="000000"/>
          <w:szCs w:val="26"/>
        </w:rPr>
      </w:pPr>
      <w:r w:rsidRPr="00E04204">
        <w:rPr>
          <w:color w:val="000000"/>
          <w:szCs w:val="26"/>
        </w:rPr>
        <w:t xml:space="preserve">2. </w:t>
      </w:r>
      <w:r w:rsidRPr="00E04204">
        <w:rPr>
          <w:color w:val="000000"/>
          <w:szCs w:val="26"/>
        </w:rPr>
        <w:tab/>
        <w:t>A school district “withdraws” from an educational cooperative and triggers the teacher’s statutory right to claim a job in the district when the district removes its students from even one of several learning programs provided by the cooperative so that the district can provide the service by some other means. Minn. Stat. § 123A.33, subd. 1(c) (2012).</w:t>
      </w:r>
    </w:p>
    <w:p w:rsidR="00D15D04" w:rsidRDefault="00D15D04" w:rsidP="003856A1">
      <w:pPr>
        <w:ind w:firstLine="720"/>
        <w:rPr>
          <w:color w:val="000000"/>
          <w:szCs w:val="26"/>
        </w:rPr>
      </w:pPr>
    </w:p>
    <w:p w:rsidR="007C46E9" w:rsidRDefault="007C46E9" w:rsidP="00D15D04">
      <w:pPr>
        <w:rPr>
          <w:b/>
          <w:i/>
          <w:szCs w:val="26"/>
        </w:rPr>
      </w:pPr>
    </w:p>
    <w:p w:rsidR="00D15D04" w:rsidRPr="00756D04" w:rsidRDefault="00D15D04" w:rsidP="00D15D04">
      <w:pPr>
        <w:rPr>
          <w:b/>
          <w:szCs w:val="26"/>
        </w:rPr>
      </w:pPr>
      <w:r>
        <w:rPr>
          <w:b/>
          <w:i/>
          <w:szCs w:val="26"/>
        </w:rPr>
        <w:t xml:space="preserve">LeDoux </w:t>
      </w:r>
      <w:r w:rsidRPr="00756D04">
        <w:rPr>
          <w:b/>
          <w:i/>
          <w:szCs w:val="26"/>
        </w:rPr>
        <w:t>v. M.A. Mortenson Co</w:t>
      </w:r>
      <w:r>
        <w:rPr>
          <w:b/>
          <w:i/>
          <w:szCs w:val="26"/>
        </w:rPr>
        <w:t>.</w:t>
      </w:r>
      <w:r w:rsidRPr="00756D04">
        <w:rPr>
          <w:b/>
          <w:szCs w:val="26"/>
        </w:rPr>
        <w:t xml:space="preserve">, </w:t>
      </w:r>
      <w:r>
        <w:rPr>
          <w:b/>
          <w:szCs w:val="26"/>
        </w:rPr>
        <w:t>835</w:t>
      </w:r>
      <w:r w:rsidRPr="00756D04">
        <w:rPr>
          <w:b/>
          <w:szCs w:val="26"/>
        </w:rPr>
        <w:t xml:space="preserve"> N.W.2d </w:t>
      </w:r>
      <w:r>
        <w:rPr>
          <w:b/>
          <w:szCs w:val="26"/>
        </w:rPr>
        <w:t>20</w:t>
      </w:r>
      <w:r w:rsidRPr="00756D04">
        <w:rPr>
          <w:b/>
          <w:szCs w:val="26"/>
        </w:rPr>
        <w:t xml:space="preserve"> (Minn. App. July 22, 2013) (A12-2308).</w:t>
      </w:r>
    </w:p>
    <w:p w:rsidR="003856A1" w:rsidRDefault="00D15D04" w:rsidP="00D15D04">
      <w:pPr>
        <w:ind w:firstLine="720"/>
        <w:outlineLvl w:val="0"/>
        <w:rPr>
          <w:szCs w:val="26"/>
        </w:rPr>
      </w:pPr>
      <w:r w:rsidRPr="00756D04">
        <w:rPr>
          <w:szCs w:val="26"/>
        </w:rPr>
        <w:t>The features of a basic-oversight relationship between a general construction contractor and one of its subcontractors does not create the kind of “common enterprise” under Minnesota Statutes section 176.061, subdivisions 1–4, that bars a negligence action against the general contractor by a subcontractor’s employee who received workers’ compensation benefits for injuries sustained on the construction site.</w:t>
      </w:r>
    </w:p>
    <w:p w:rsidR="00625402" w:rsidRDefault="00625402" w:rsidP="00D15D04">
      <w:pPr>
        <w:ind w:firstLine="720"/>
        <w:outlineLvl w:val="0"/>
        <w:rPr>
          <w:szCs w:val="26"/>
        </w:rPr>
      </w:pPr>
    </w:p>
    <w:p w:rsidR="00625402" w:rsidRPr="00756D04" w:rsidRDefault="00625402" w:rsidP="00625402">
      <w:pPr>
        <w:outlineLvl w:val="3"/>
        <w:rPr>
          <w:b/>
          <w:bCs/>
          <w:szCs w:val="26"/>
        </w:rPr>
      </w:pPr>
      <w:r w:rsidRPr="00756D04">
        <w:rPr>
          <w:b/>
          <w:bCs/>
          <w:i/>
          <w:szCs w:val="26"/>
        </w:rPr>
        <w:t>Minn</w:t>
      </w:r>
      <w:r>
        <w:rPr>
          <w:b/>
          <w:bCs/>
          <w:i/>
          <w:szCs w:val="26"/>
        </w:rPr>
        <w:t>.</w:t>
      </w:r>
      <w:r w:rsidRPr="00756D04">
        <w:rPr>
          <w:b/>
          <w:bCs/>
          <w:i/>
          <w:szCs w:val="26"/>
        </w:rPr>
        <w:t xml:space="preserve"> Laborers Health </w:t>
      </w:r>
      <w:r>
        <w:rPr>
          <w:b/>
          <w:bCs/>
          <w:i/>
          <w:szCs w:val="26"/>
        </w:rPr>
        <w:t>&amp;</w:t>
      </w:r>
      <w:r w:rsidRPr="00756D04">
        <w:rPr>
          <w:b/>
          <w:bCs/>
          <w:i/>
          <w:szCs w:val="26"/>
        </w:rPr>
        <w:t xml:space="preserve"> Welfare Fund</w:t>
      </w:r>
      <w:r>
        <w:rPr>
          <w:b/>
          <w:bCs/>
          <w:i/>
          <w:szCs w:val="26"/>
        </w:rPr>
        <w:t xml:space="preserve"> </w:t>
      </w:r>
      <w:r w:rsidRPr="00756D04">
        <w:rPr>
          <w:b/>
          <w:bCs/>
          <w:i/>
          <w:szCs w:val="26"/>
        </w:rPr>
        <w:t>v. Granite RE, Inc.</w:t>
      </w:r>
      <w:r w:rsidRPr="00756D04">
        <w:rPr>
          <w:b/>
          <w:bCs/>
          <w:szCs w:val="26"/>
        </w:rPr>
        <w:t xml:space="preserve">, 826 N.W.2d 210 (Minn. App. Dec. 24, 2012), </w:t>
      </w:r>
      <w:r w:rsidRPr="00756D04">
        <w:rPr>
          <w:b/>
          <w:bCs/>
          <w:i/>
          <w:szCs w:val="26"/>
        </w:rPr>
        <w:t xml:space="preserve">review granted </w:t>
      </w:r>
      <w:r w:rsidRPr="00756D04">
        <w:rPr>
          <w:b/>
          <w:bCs/>
          <w:szCs w:val="26"/>
        </w:rPr>
        <w:t xml:space="preserve">(Minn. Mar. 19, 2013) (A12-1017).  </w:t>
      </w:r>
    </w:p>
    <w:p w:rsidR="00625402" w:rsidRPr="00756D04" w:rsidRDefault="00625402" w:rsidP="00625402">
      <w:pPr>
        <w:outlineLvl w:val="3"/>
        <w:rPr>
          <w:b/>
          <w:bCs/>
          <w:szCs w:val="26"/>
        </w:rPr>
      </w:pPr>
      <w:r w:rsidRPr="00756D04">
        <w:rPr>
          <w:bCs/>
          <w:szCs w:val="26"/>
        </w:rPr>
        <w:tab/>
        <w:t>1.</w:t>
      </w:r>
      <w:r w:rsidRPr="00756D04">
        <w:rPr>
          <w:bCs/>
          <w:szCs w:val="26"/>
        </w:rPr>
        <w:tab/>
      </w:r>
      <w:r w:rsidRPr="00756D04">
        <w:rPr>
          <w:szCs w:val="26"/>
        </w:rPr>
        <w:t>A union benefit fund is an intended third-party beneficiary of a payment surety bond issued on behalf of an employer that is required to pay the cost of employee fringe benefits to the fund under the terms of a collective bargaining agreement.</w:t>
      </w:r>
      <w:r w:rsidRPr="00756D04">
        <w:rPr>
          <w:b/>
          <w:bCs/>
          <w:szCs w:val="26"/>
        </w:rPr>
        <w:t xml:space="preserve">  </w:t>
      </w:r>
    </w:p>
    <w:p w:rsidR="00625402" w:rsidRDefault="00625402" w:rsidP="00625402">
      <w:pPr>
        <w:outlineLvl w:val="3"/>
        <w:rPr>
          <w:szCs w:val="26"/>
        </w:rPr>
      </w:pPr>
      <w:r w:rsidRPr="00756D04">
        <w:rPr>
          <w:bCs/>
          <w:szCs w:val="26"/>
        </w:rPr>
        <w:tab/>
        <w:t>2.</w:t>
      </w:r>
      <w:r w:rsidRPr="00756D04">
        <w:rPr>
          <w:bCs/>
          <w:szCs w:val="26"/>
        </w:rPr>
        <w:tab/>
      </w:r>
      <w:r w:rsidRPr="00756D04">
        <w:rPr>
          <w:szCs w:val="26"/>
        </w:rPr>
        <w:t>The one-year contractual limitations period set forth in a surety bond is tolled as to both the principal and the surety by the principal’s fraudulent concealment of a cause of action.</w:t>
      </w:r>
    </w:p>
    <w:p w:rsidR="005040B7" w:rsidRDefault="005040B7" w:rsidP="005040B7">
      <w:pPr>
        <w:outlineLvl w:val="0"/>
        <w:rPr>
          <w:szCs w:val="26"/>
        </w:rPr>
      </w:pPr>
    </w:p>
    <w:p w:rsidR="005040B7" w:rsidRPr="00756D04" w:rsidRDefault="005040B7" w:rsidP="005040B7">
      <w:pPr>
        <w:rPr>
          <w:b/>
          <w:szCs w:val="26"/>
        </w:rPr>
      </w:pPr>
      <w:r w:rsidRPr="00756D04">
        <w:rPr>
          <w:b/>
          <w:i/>
          <w:szCs w:val="26"/>
        </w:rPr>
        <w:t xml:space="preserve">Schmitz v. </w:t>
      </w:r>
      <w:r>
        <w:rPr>
          <w:b/>
          <w:i/>
          <w:szCs w:val="26"/>
        </w:rPr>
        <w:t>U.S.</w:t>
      </w:r>
      <w:r w:rsidRPr="00756D04">
        <w:rPr>
          <w:b/>
          <w:i/>
          <w:szCs w:val="26"/>
        </w:rPr>
        <w:t xml:space="preserve"> Steel </w:t>
      </w:r>
      <w:r>
        <w:rPr>
          <w:b/>
          <w:i/>
          <w:szCs w:val="26"/>
        </w:rPr>
        <w:t>Corp.</w:t>
      </w:r>
      <w:r w:rsidRPr="00756D04">
        <w:rPr>
          <w:b/>
          <w:szCs w:val="26"/>
        </w:rPr>
        <w:t xml:space="preserve">, </w:t>
      </w:r>
      <w:r>
        <w:rPr>
          <w:b/>
          <w:szCs w:val="26"/>
        </w:rPr>
        <w:t>831</w:t>
      </w:r>
      <w:r w:rsidRPr="00756D04">
        <w:rPr>
          <w:b/>
          <w:szCs w:val="26"/>
        </w:rPr>
        <w:t xml:space="preserve"> N.W.2d </w:t>
      </w:r>
      <w:r>
        <w:rPr>
          <w:b/>
          <w:szCs w:val="26"/>
        </w:rPr>
        <w:t>656</w:t>
      </w:r>
      <w:r w:rsidRPr="00756D04">
        <w:rPr>
          <w:b/>
          <w:szCs w:val="26"/>
        </w:rPr>
        <w:t xml:space="preserve"> (Minn. App. May 13, 2013)</w:t>
      </w:r>
      <w:r>
        <w:rPr>
          <w:b/>
          <w:szCs w:val="26"/>
        </w:rPr>
        <w:t xml:space="preserve">, </w:t>
      </w:r>
      <w:r>
        <w:rPr>
          <w:b/>
          <w:i/>
          <w:szCs w:val="26"/>
        </w:rPr>
        <w:t>review granted</w:t>
      </w:r>
      <w:r>
        <w:rPr>
          <w:b/>
          <w:szCs w:val="26"/>
        </w:rPr>
        <w:t xml:space="preserve"> (Minn. Aug. 6, 2013)</w:t>
      </w:r>
      <w:r w:rsidRPr="00756D04">
        <w:rPr>
          <w:b/>
          <w:szCs w:val="26"/>
        </w:rPr>
        <w:t xml:space="preserve"> (A12-0709).</w:t>
      </w:r>
    </w:p>
    <w:p w:rsidR="005040B7" w:rsidRPr="00756D04" w:rsidRDefault="005040B7" w:rsidP="005040B7">
      <w:pPr>
        <w:ind w:firstLine="720"/>
        <w:rPr>
          <w:szCs w:val="26"/>
        </w:rPr>
      </w:pPr>
      <w:r w:rsidRPr="00756D04">
        <w:rPr>
          <w:szCs w:val="26"/>
        </w:rPr>
        <w:t>1.</w:t>
      </w:r>
      <w:r w:rsidRPr="00756D04">
        <w:rPr>
          <w:szCs w:val="26"/>
        </w:rPr>
        <w:tab/>
        <w:t>Minn. Stat. § 176.82, subd. 1 (2012), of the Minnesota Workers’ Compensation Act provides a cause of action for threatening to discharge an employee for seeking workers’ compensation benefits that is independent of claims for retaliatory discharge and intentional obstruction of benefits.</w:t>
      </w:r>
    </w:p>
    <w:p w:rsidR="005040B7" w:rsidRPr="00756D04" w:rsidRDefault="005040B7" w:rsidP="005040B7">
      <w:pPr>
        <w:ind w:firstLine="720"/>
        <w:rPr>
          <w:szCs w:val="26"/>
        </w:rPr>
      </w:pPr>
      <w:r w:rsidRPr="00756D04">
        <w:rPr>
          <w:szCs w:val="26"/>
        </w:rPr>
        <w:t>2.</w:t>
      </w:r>
      <w:r w:rsidRPr="00756D04">
        <w:rPr>
          <w:szCs w:val="26"/>
        </w:rPr>
        <w:tab/>
        <w:t>A claim for threatening to discharge an employee for seeking workers’ compensation benefits in violation of Minn. Stat. § 176.82, subd. 1, requires the plaintiff to show that a person, with knowledge that the plaintiff may have suffered a workplace injury, attempted to dissuade the plaintiff from seeking workers’ compensation benefits through one or more communications that created a reasonable apprehension of discharge and caused the plaintiff to delay or cease seeking benefits.</w:t>
      </w:r>
    </w:p>
    <w:p w:rsidR="005040B7" w:rsidRPr="00756D04" w:rsidRDefault="005040B7" w:rsidP="005040B7">
      <w:pPr>
        <w:ind w:firstLine="720"/>
        <w:rPr>
          <w:szCs w:val="26"/>
        </w:rPr>
      </w:pPr>
      <w:r w:rsidRPr="00756D04">
        <w:rPr>
          <w:szCs w:val="26"/>
        </w:rPr>
        <w:t>3.</w:t>
      </w:r>
      <w:r w:rsidRPr="00756D04">
        <w:rPr>
          <w:szCs w:val="26"/>
        </w:rPr>
        <w:tab/>
        <w:t>Under basic agency principles, an employer is vicariously liable for the actions of a supervisor who threatens to discharge an employee for seeking workers’ compensation benefits in violation of Minn. Stat. § 176.82, subd. 1.</w:t>
      </w:r>
    </w:p>
    <w:p w:rsidR="005040B7" w:rsidRPr="00756D04" w:rsidRDefault="005040B7" w:rsidP="005040B7">
      <w:pPr>
        <w:ind w:firstLine="720"/>
        <w:outlineLvl w:val="0"/>
        <w:rPr>
          <w:szCs w:val="26"/>
        </w:rPr>
      </w:pPr>
      <w:r w:rsidRPr="00756D04">
        <w:rPr>
          <w:szCs w:val="26"/>
        </w:rPr>
        <w:t>4.</w:t>
      </w:r>
      <w:r w:rsidRPr="00756D04">
        <w:rPr>
          <w:szCs w:val="26"/>
        </w:rPr>
        <w:tab/>
        <w:t>A claim alleging retaliatory discharge in violation of Minn. Stat. § 176.82, subd. 1, seeking only money damages, sounds in tort and is therefore an action at law with an attendant right to a jury trial under the Minnesota Constitution.</w:t>
      </w:r>
    </w:p>
    <w:p w:rsidR="005040B7" w:rsidRDefault="005040B7" w:rsidP="005040B7">
      <w:pPr>
        <w:ind w:firstLine="720"/>
        <w:rPr>
          <w:szCs w:val="26"/>
        </w:rPr>
      </w:pPr>
      <w:r w:rsidRPr="00756D04">
        <w:rPr>
          <w:szCs w:val="26"/>
        </w:rPr>
        <w:t>5.</w:t>
      </w:r>
      <w:r w:rsidRPr="00756D04">
        <w:rPr>
          <w:szCs w:val="26"/>
        </w:rPr>
        <w:tab/>
        <w:t>A party is not entitled to a jury trial on a refusal-to-offer-continued-employment claim under Minn. Stat. § 176.82, subd. 2 (2012).</w:t>
      </w:r>
    </w:p>
    <w:p w:rsidR="005040B7" w:rsidRDefault="005040B7" w:rsidP="005040B7">
      <w:pPr>
        <w:ind w:firstLine="720"/>
        <w:rPr>
          <w:szCs w:val="26"/>
        </w:rPr>
      </w:pPr>
    </w:p>
    <w:p w:rsidR="007C46E9" w:rsidRDefault="007C46E9" w:rsidP="005040B7">
      <w:pPr>
        <w:outlineLvl w:val="3"/>
        <w:rPr>
          <w:b/>
          <w:bCs/>
          <w:i/>
          <w:szCs w:val="26"/>
        </w:rPr>
      </w:pPr>
    </w:p>
    <w:p w:rsidR="007C46E9" w:rsidRDefault="007C46E9" w:rsidP="005040B7">
      <w:pPr>
        <w:outlineLvl w:val="3"/>
        <w:rPr>
          <w:b/>
          <w:bCs/>
          <w:i/>
          <w:szCs w:val="26"/>
        </w:rPr>
      </w:pPr>
    </w:p>
    <w:p w:rsidR="005040B7" w:rsidRPr="00756D04" w:rsidRDefault="005040B7" w:rsidP="005040B7">
      <w:pPr>
        <w:outlineLvl w:val="3"/>
        <w:rPr>
          <w:b/>
          <w:bCs/>
          <w:szCs w:val="26"/>
        </w:rPr>
      </w:pPr>
      <w:r w:rsidRPr="00756D04">
        <w:rPr>
          <w:b/>
          <w:bCs/>
          <w:i/>
          <w:szCs w:val="26"/>
        </w:rPr>
        <w:t xml:space="preserve">Sipe v. STS </w:t>
      </w:r>
      <w:r>
        <w:rPr>
          <w:b/>
          <w:bCs/>
          <w:i/>
          <w:szCs w:val="26"/>
        </w:rPr>
        <w:t>Mfg., Inc.</w:t>
      </w:r>
      <w:r w:rsidRPr="00756D04">
        <w:rPr>
          <w:b/>
          <w:bCs/>
          <w:szCs w:val="26"/>
        </w:rPr>
        <w:t xml:space="preserve">, 822 N.W.2d 2 (Minn. App. Sept. 25, 2012), </w:t>
      </w:r>
      <w:r>
        <w:rPr>
          <w:b/>
          <w:bCs/>
          <w:i/>
          <w:szCs w:val="26"/>
        </w:rPr>
        <w:t>rev’d</w:t>
      </w:r>
      <w:r>
        <w:rPr>
          <w:b/>
          <w:bCs/>
          <w:szCs w:val="26"/>
        </w:rPr>
        <w:t xml:space="preserve">, 834 </w:t>
      </w:r>
      <w:r w:rsidR="00C63478">
        <w:rPr>
          <w:b/>
          <w:bCs/>
          <w:szCs w:val="26"/>
        </w:rPr>
        <w:t>N.W.2d</w:t>
      </w:r>
      <w:r>
        <w:rPr>
          <w:b/>
          <w:bCs/>
          <w:szCs w:val="26"/>
        </w:rPr>
        <w:t xml:space="preserve"> 683 (Minn. July 13, 2013)</w:t>
      </w:r>
      <w:r w:rsidRPr="00756D04">
        <w:rPr>
          <w:b/>
          <w:bCs/>
          <w:szCs w:val="26"/>
        </w:rPr>
        <w:t xml:space="preserve"> (A11-2082).</w:t>
      </w:r>
    </w:p>
    <w:p w:rsidR="005040B7" w:rsidRPr="005040B7" w:rsidRDefault="005040B7" w:rsidP="005040B7">
      <w:pPr>
        <w:outlineLvl w:val="3"/>
        <w:rPr>
          <w:b/>
          <w:bCs/>
          <w:szCs w:val="26"/>
        </w:rPr>
      </w:pPr>
      <w:r w:rsidRPr="00756D04">
        <w:rPr>
          <w:szCs w:val="26"/>
        </w:rPr>
        <w:tab/>
        <w:t>The two-year statute of limitations under Minn. Stat. § 541.07(1) (2010) applies to wrongful-termination actions brought under the Minnesota Drug and Alcohol Testing in the Workplace Act, Minn. Stat. § 181.953, subd. 10 (2010).</w:t>
      </w:r>
    </w:p>
    <w:p w:rsidR="003856A1" w:rsidRDefault="003856A1" w:rsidP="003856A1">
      <w:pPr>
        <w:ind w:firstLine="720"/>
        <w:rPr>
          <w:color w:val="000000"/>
          <w:szCs w:val="26"/>
          <w:highlight w:val="yellow"/>
        </w:rPr>
      </w:pPr>
    </w:p>
    <w:p w:rsidR="005E7D92" w:rsidRDefault="005E7D92" w:rsidP="003856A1">
      <w:pPr>
        <w:pStyle w:val="FootnoteText"/>
        <w:tabs>
          <w:tab w:val="left" w:pos="720"/>
          <w:tab w:val="left" w:pos="1440"/>
          <w:tab w:val="left" w:pos="2160"/>
        </w:tabs>
        <w:rPr>
          <w:b/>
          <w:u w:val="single"/>
        </w:rPr>
      </w:pPr>
    </w:p>
    <w:p w:rsidR="003856A1" w:rsidRDefault="003856A1" w:rsidP="003856A1">
      <w:pPr>
        <w:pStyle w:val="FootnoteText"/>
        <w:tabs>
          <w:tab w:val="left" w:pos="720"/>
          <w:tab w:val="left" w:pos="1440"/>
          <w:tab w:val="left" w:pos="2160"/>
        </w:tabs>
      </w:pPr>
      <w:r>
        <w:rPr>
          <w:b/>
          <w:u w:val="single"/>
        </w:rPr>
        <w:t>Liens</w:t>
      </w:r>
      <w:r w:rsidR="00A91C71">
        <w:rPr>
          <w:b/>
          <w:u w:val="single"/>
        </w:rPr>
        <w:t xml:space="preserve"> and Foreclosures</w:t>
      </w:r>
    </w:p>
    <w:p w:rsidR="003856A1" w:rsidRDefault="003856A1" w:rsidP="003856A1">
      <w:pPr>
        <w:pStyle w:val="FootnoteText"/>
        <w:tabs>
          <w:tab w:val="left" w:pos="720"/>
          <w:tab w:val="left" w:pos="1440"/>
          <w:tab w:val="left" w:pos="2160"/>
        </w:tabs>
      </w:pPr>
    </w:p>
    <w:p w:rsidR="00756ABC" w:rsidRPr="009D29B2" w:rsidRDefault="00756ABC" w:rsidP="00756ABC">
      <w:pPr>
        <w:rPr>
          <w:b/>
          <w:bCs/>
          <w:szCs w:val="26"/>
        </w:rPr>
      </w:pPr>
      <w:r w:rsidRPr="009D29B2">
        <w:rPr>
          <w:b/>
          <w:i/>
          <w:szCs w:val="26"/>
        </w:rPr>
        <w:t>Embree v. U.S. Bank N.A.</w:t>
      </w:r>
      <w:r w:rsidRPr="009D29B2">
        <w:rPr>
          <w:b/>
          <w:szCs w:val="26"/>
        </w:rPr>
        <w:t xml:space="preserve">, </w:t>
      </w:r>
      <w:r w:rsidRPr="009D29B2">
        <w:rPr>
          <w:b/>
          <w:bCs/>
          <w:szCs w:val="26"/>
        </w:rPr>
        <w:t>828 N.W.2d 141 (Minn. App. Mar. 18, 2013) (A12-1618).</w:t>
      </w:r>
    </w:p>
    <w:p w:rsidR="00756ABC" w:rsidRDefault="00756ABC" w:rsidP="00756ABC">
      <w:pPr>
        <w:ind w:firstLine="720"/>
        <w:rPr>
          <w:szCs w:val="26"/>
        </w:rPr>
      </w:pPr>
      <w:r w:rsidRPr="009D29B2">
        <w:rPr>
          <w:szCs w:val="26"/>
        </w:rPr>
        <w:t xml:space="preserve">Recording a limited power of attorney granting limited authority to an attorney-in-fact to act on behalf of a mortgagee satisfies the requirement of Minn. Stat. § 580.05 (2012) that the authority of an attorney-in-fact shall “be evidenced by recorded power.”  </w:t>
      </w:r>
    </w:p>
    <w:p w:rsidR="00756ABC" w:rsidRDefault="00756ABC" w:rsidP="003856A1">
      <w:pPr>
        <w:outlineLvl w:val="3"/>
        <w:rPr>
          <w:b/>
          <w:bCs/>
          <w:i/>
          <w:szCs w:val="26"/>
        </w:rPr>
      </w:pPr>
    </w:p>
    <w:p w:rsidR="003856A1" w:rsidRPr="006400C5" w:rsidRDefault="003856A1" w:rsidP="003856A1">
      <w:pPr>
        <w:outlineLvl w:val="3"/>
        <w:rPr>
          <w:b/>
          <w:bCs/>
          <w:szCs w:val="26"/>
        </w:rPr>
      </w:pPr>
      <w:r w:rsidRPr="006400C5">
        <w:rPr>
          <w:b/>
          <w:bCs/>
          <w:i/>
          <w:szCs w:val="26"/>
        </w:rPr>
        <w:t>First Nat</w:t>
      </w:r>
      <w:r>
        <w:rPr>
          <w:b/>
          <w:bCs/>
          <w:i/>
          <w:szCs w:val="26"/>
        </w:rPr>
        <w:t>’</w:t>
      </w:r>
      <w:r w:rsidRPr="006400C5">
        <w:rPr>
          <w:b/>
          <w:bCs/>
          <w:i/>
          <w:szCs w:val="26"/>
        </w:rPr>
        <w:t>l Bank v. Profit Pork, LLC</w:t>
      </w:r>
      <w:r w:rsidRPr="006400C5">
        <w:rPr>
          <w:b/>
          <w:bCs/>
          <w:szCs w:val="26"/>
        </w:rPr>
        <w:t xml:space="preserve">, </w:t>
      </w:r>
      <w:r>
        <w:rPr>
          <w:b/>
          <w:bCs/>
          <w:szCs w:val="26"/>
        </w:rPr>
        <w:t>820</w:t>
      </w:r>
      <w:r w:rsidRPr="006400C5">
        <w:rPr>
          <w:b/>
          <w:bCs/>
          <w:szCs w:val="26"/>
        </w:rPr>
        <w:t xml:space="preserve"> N.W.2d </w:t>
      </w:r>
      <w:r>
        <w:rPr>
          <w:b/>
          <w:bCs/>
          <w:szCs w:val="26"/>
        </w:rPr>
        <w:t>592</w:t>
      </w:r>
      <w:r w:rsidRPr="006400C5">
        <w:rPr>
          <w:b/>
          <w:bCs/>
          <w:szCs w:val="26"/>
        </w:rPr>
        <w:t xml:space="preserve"> (Minn. App. Sept. 4, 2012) (A11-1732).</w:t>
      </w:r>
    </w:p>
    <w:p w:rsidR="003856A1" w:rsidRPr="006400C5" w:rsidRDefault="003856A1" w:rsidP="003856A1">
      <w:pPr>
        <w:ind w:firstLine="720"/>
        <w:rPr>
          <w:szCs w:val="26"/>
        </w:rPr>
      </w:pPr>
      <w:r w:rsidRPr="006400C5">
        <w:rPr>
          <w:szCs w:val="26"/>
        </w:rPr>
        <w:t>One who does not directly feed livestock but merely provides another with feed and information related to providing the feed to livestock is entitled to a production-inputs lien under Minn. Stat. § 514.966, subd. 3 (2010), rather than a feeder’s lien under Minn. Stat. § 514.966, subd. 4 (2010).</w:t>
      </w:r>
    </w:p>
    <w:p w:rsidR="003856A1" w:rsidRDefault="003856A1" w:rsidP="003856A1">
      <w:pPr>
        <w:pStyle w:val="FootnoteText"/>
        <w:tabs>
          <w:tab w:val="left" w:pos="720"/>
          <w:tab w:val="left" w:pos="1440"/>
          <w:tab w:val="left" w:pos="2160"/>
        </w:tabs>
      </w:pPr>
    </w:p>
    <w:p w:rsidR="003856A1" w:rsidRPr="006400C5" w:rsidRDefault="00A91C71" w:rsidP="003856A1">
      <w:pPr>
        <w:outlineLvl w:val="3"/>
        <w:rPr>
          <w:b/>
          <w:bCs/>
          <w:szCs w:val="26"/>
        </w:rPr>
      </w:pPr>
      <w:r>
        <w:rPr>
          <w:b/>
          <w:bCs/>
          <w:i/>
          <w:szCs w:val="26"/>
        </w:rPr>
        <w:t>JP</w:t>
      </w:r>
      <w:r w:rsidR="003856A1" w:rsidRPr="006400C5">
        <w:rPr>
          <w:b/>
          <w:bCs/>
          <w:i/>
          <w:szCs w:val="26"/>
        </w:rPr>
        <w:t>Morgan Chase Bank, N.A. v. Erlandson</w:t>
      </w:r>
      <w:r w:rsidR="003856A1">
        <w:rPr>
          <w:b/>
          <w:bCs/>
          <w:szCs w:val="26"/>
        </w:rPr>
        <w:t>, 821</w:t>
      </w:r>
      <w:r w:rsidR="003856A1" w:rsidRPr="006400C5">
        <w:rPr>
          <w:b/>
          <w:bCs/>
          <w:szCs w:val="26"/>
        </w:rPr>
        <w:t xml:space="preserve"> N.W.2d </w:t>
      </w:r>
      <w:r w:rsidR="003856A1">
        <w:rPr>
          <w:b/>
          <w:bCs/>
          <w:szCs w:val="26"/>
        </w:rPr>
        <w:t>600</w:t>
      </w:r>
      <w:r w:rsidR="003856A1" w:rsidRPr="006400C5">
        <w:rPr>
          <w:b/>
          <w:bCs/>
          <w:szCs w:val="26"/>
        </w:rPr>
        <w:t xml:space="preserve"> (Minn. App. Sept. 4, 2012) (A12-0045).</w:t>
      </w:r>
    </w:p>
    <w:p w:rsidR="003856A1" w:rsidRPr="006400C5" w:rsidRDefault="003856A1" w:rsidP="003856A1">
      <w:pPr>
        <w:pStyle w:val="ListBullet"/>
        <w:rPr>
          <w:szCs w:val="26"/>
        </w:rPr>
      </w:pPr>
      <w:r w:rsidRPr="006400C5">
        <w:rPr>
          <w:szCs w:val="26"/>
        </w:rPr>
        <w:tab/>
        <w:t>1.</w:t>
      </w:r>
      <w:r w:rsidRPr="006400C5">
        <w:rPr>
          <w:szCs w:val="26"/>
        </w:rPr>
        <w:tab/>
        <w:t>The holder of legal title to a mortgage can foreclose that mortgage by action without showing that it also holds the promissory note associated with the mortgage.</w:t>
      </w:r>
    </w:p>
    <w:p w:rsidR="003856A1" w:rsidRDefault="003856A1" w:rsidP="00235E48">
      <w:pPr>
        <w:pStyle w:val="ListBullet"/>
        <w:rPr>
          <w:szCs w:val="26"/>
        </w:rPr>
      </w:pPr>
      <w:r w:rsidRPr="006400C5">
        <w:rPr>
          <w:szCs w:val="26"/>
        </w:rPr>
        <w:tab/>
        <w:t>2.</w:t>
      </w:r>
      <w:r w:rsidRPr="006400C5">
        <w:rPr>
          <w:szCs w:val="26"/>
        </w:rPr>
        <w:tab/>
        <w:t>The mortgagee or the mortgagee’s successor in interest who is foreclosing a mortgage can, at the foreclosure sale, make a credit bid for the premises in the amount of the debt secured by the premises without showing that it possesses the note associated with the mortgage that was foreclosed.</w:t>
      </w:r>
    </w:p>
    <w:p w:rsidR="007474E6" w:rsidRDefault="007474E6" w:rsidP="003856A1">
      <w:pPr>
        <w:pStyle w:val="FootnoteText"/>
        <w:tabs>
          <w:tab w:val="left" w:pos="720"/>
          <w:tab w:val="left" w:pos="1440"/>
          <w:tab w:val="left" w:pos="2160"/>
        </w:tabs>
        <w:rPr>
          <w:b/>
          <w:u w:val="single"/>
        </w:rPr>
      </w:pPr>
    </w:p>
    <w:p w:rsidR="00625402" w:rsidRDefault="00625402" w:rsidP="003856A1">
      <w:pPr>
        <w:pStyle w:val="FootnoteText"/>
        <w:tabs>
          <w:tab w:val="left" w:pos="720"/>
          <w:tab w:val="left" w:pos="1440"/>
          <w:tab w:val="left" w:pos="2160"/>
        </w:tabs>
        <w:rPr>
          <w:b/>
          <w:u w:val="single"/>
        </w:rPr>
      </w:pPr>
    </w:p>
    <w:p w:rsidR="003856A1" w:rsidRDefault="003856A1" w:rsidP="003856A1">
      <w:pPr>
        <w:pStyle w:val="FootnoteText"/>
        <w:tabs>
          <w:tab w:val="left" w:pos="720"/>
          <w:tab w:val="left" w:pos="1440"/>
          <w:tab w:val="left" w:pos="2160"/>
        </w:tabs>
        <w:rPr>
          <w:b/>
          <w:u w:val="single"/>
        </w:rPr>
      </w:pPr>
      <w:r w:rsidRPr="00BA7A00">
        <w:rPr>
          <w:b/>
          <w:u w:val="single"/>
        </w:rPr>
        <w:t>Local Government</w:t>
      </w:r>
    </w:p>
    <w:p w:rsidR="00235E48" w:rsidRDefault="00235E48" w:rsidP="003856A1">
      <w:pPr>
        <w:pStyle w:val="FootnoteText"/>
        <w:tabs>
          <w:tab w:val="left" w:pos="720"/>
          <w:tab w:val="left" w:pos="1440"/>
          <w:tab w:val="left" w:pos="2160"/>
        </w:tabs>
        <w:rPr>
          <w:b/>
          <w:u w:val="single"/>
        </w:rPr>
      </w:pPr>
    </w:p>
    <w:p w:rsidR="003856A1" w:rsidRPr="006400C5" w:rsidRDefault="003856A1" w:rsidP="003856A1">
      <w:pPr>
        <w:outlineLvl w:val="3"/>
        <w:rPr>
          <w:b/>
          <w:bCs/>
          <w:szCs w:val="26"/>
        </w:rPr>
      </w:pPr>
      <w:r w:rsidRPr="006400C5">
        <w:rPr>
          <w:b/>
          <w:bCs/>
          <w:i/>
          <w:szCs w:val="26"/>
        </w:rPr>
        <w:t>Motokazie! Inc. v. Rice C</w:t>
      </w:r>
      <w:r w:rsidR="00A91C71">
        <w:rPr>
          <w:b/>
          <w:bCs/>
          <w:i/>
          <w:szCs w:val="26"/>
        </w:rPr>
        <w:t>nty.</w:t>
      </w:r>
      <w:r w:rsidRPr="006400C5">
        <w:rPr>
          <w:b/>
          <w:bCs/>
          <w:szCs w:val="26"/>
        </w:rPr>
        <w:t xml:space="preserve">, </w:t>
      </w:r>
      <w:r>
        <w:rPr>
          <w:b/>
          <w:bCs/>
          <w:szCs w:val="26"/>
        </w:rPr>
        <w:t>824</w:t>
      </w:r>
      <w:r w:rsidRPr="006400C5">
        <w:rPr>
          <w:b/>
          <w:bCs/>
          <w:szCs w:val="26"/>
        </w:rPr>
        <w:t xml:space="preserve"> N.W.2d </w:t>
      </w:r>
      <w:r>
        <w:rPr>
          <w:b/>
          <w:bCs/>
          <w:szCs w:val="26"/>
        </w:rPr>
        <w:t xml:space="preserve">341 </w:t>
      </w:r>
      <w:r w:rsidRPr="006400C5">
        <w:rPr>
          <w:b/>
          <w:bCs/>
          <w:szCs w:val="26"/>
        </w:rPr>
        <w:t>(Minn. A</w:t>
      </w:r>
      <w:r>
        <w:rPr>
          <w:b/>
          <w:bCs/>
          <w:szCs w:val="26"/>
        </w:rPr>
        <w:t>pp. Dec. 17, 2012) (A12-0735).</w:t>
      </w:r>
    </w:p>
    <w:p w:rsidR="003856A1" w:rsidRPr="006400C5" w:rsidRDefault="003856A1" w:rsidP="003856A1">
      <w:pPr>
        <w:pStyle w:val="ListBullet"/>
        <w:ind w:firstLine="720"/>
        <w:rPr>
          <w:b/>
          <w:bCs/>
          <w:szCs w:val="26"/>
        </w:rPr>
      </w:pPr>
      <w:r w:rsidRPr="006400C5">
        <w:rPr>
          <w:szCs w:val="26"/>
        </w:rPr>
        <w:t>1.</w:t>
      </w:r>
      <w:r w:rsidRPr="006400C5">
        <w:rPr>
          <w:szCs w:val="26"/>
        </w:rPr>
        <w:tab/>
        <w:t>A county ordinance requiring that zoning ordinances be enacted or amended by a supermajority vote does not conflict with Minn. Stat. § 375.51, subd. 1 (2012).</w:t>
      </w:r>
    </w:p>
    <w:p w:rsidR="003856A1" w:rsidRDefault="003856A1" w:rsidP="003856A1">
      <w:pPr>
        <w:ind w:firstLine="720"/>
        <w:rPr>
          <w:szCs w:val="26"/>
        </w:rPr>
      </w:pPr>
      <w:r w:rsidRPr="006400C5">
        <w:rPr>
          <w:szCs w:val="26"/>
        </w:rPr>
        <w:t>2.</w:t>
      </w:r>
      <w:r w:rsidRPr="006400C5">
        <w:rPr>
          <w:szCs w:val="26"/>
        </w:rPr>
        <w:tab/>
        <w:t>Amendments to the text of county zoning ordinances are not subject to the automatic approval penalty of Minn. Stat. § 15.99, subd. 2(a) (2012).</w:t>
      </w:r>
    </w:p>
    <w:p w:rsidR="003856A1" w:rsidRDefault="003856A1" w:rsidP="003856A1">
      <w:pPr>
        <w:ind w:firstLine="720"/>
        <w:rPr>
          <w:szCs w:val="26"/>
        </w:rPr>
      </w:pPr>
    </w:p>
    <w:p w:rsidR="003856A1" w:rsidRDefault="003856A1" w:rsidP="003856A1">
      <w:pPr>
        <w:pStyle w:val="FootnoteText"/>
        <w:tabs>
          <w:tab w:val="left" w:pos="720"/>
          <w:tab w:val="left" w:pos="1440"/>
          <w:tab w:val="left" w:pos="2160"/>
        </w:tabs>
        <w:rPr>
          <w:b/>
          <w:u w:val="single"/>
        </w:rPr>
      </w:pPr>
      <w:r>
        <w:rPr>
          <w:b/>
          <w:u w:val="single"/>
        </w:rPr>
        <w:t>Probate</w:t>
      </w:r>
    </w:p>
    <w:p w:rsidR="003856A1" w:rsidRDefault="003856A1" w:rsidP="003856A1">
      <w:pPr>
        <w:pStyle w:val="FootnoteText"/>
        <w:tabs>
          <w:tab w:val="left" w:pos="720"/>
          <w:tab w:val="left" w:pos="1440"/>
          <w:tab w:val="left" w:pos="2160"/>
        </w:tabs>
        <w:rPr>
          <w:b/>
          <w:u w:val="single"/>
        </w:rPr>
      </w:pPr>
    </w:p>
    <w:p w:rsidR="003856A1" w:rsidRPr="006400C5" w:rsidRDefault="003856A1" w:rsidP="003856A1">
      <w:pPr>
        <w:outlineLvl w:val="3"/>
        <w:rPr>
          <w:b/>
          <w:bCs/>
          <w:szCs w:val="26"/>
        </w:rPr>
      </w:pPr>
      <w:r w:rsidRPr="006400C5">
        <w:rPr>
          <w:b/>
          <w:bCs/>
          <w:i/>
          <w:szCs w:val="26"/>
        </w:rPr>
        <w:t>In re Estate of Holmberg</w:t>
      </w:r>
      <w:r w:rsidRPr="006400C5">
        <w:rPr>
          <w:b/>
          <w:bCs/>
          <w:szCs w:val="26"/>
        </w:rPr>
        <w:t xml:space="preserve">, </w:t>
      </w:r>
      <w:r>
        <w:rPr>
          <w:b/>
          <w:bCs/>
          <w:szCs w:val="26"/>
        </w:rPr>
        <w:t>823</w:t>
      </w:r>
      <w:r w:rsidRPr="006400C5">
        <w:rPr>
          <w:b/>
          <w:bCs/>
          <w:szCs w:val="26"/>
        </w:rPr>
        <w:t xml:space="preserve"> N.W.2d </w:t>
      </w:r>
      <w:r>
        <w:rPr>
          <w:b/>
          <w:bCs/>
          <w:szCs w:val="26"/>
        </w:rPr>
        <w:t xml:space="preserve">875 (Minn. App. Sept. 10, 2012), </w:t>
      </w:r>
      <w:r>
        <w:rPr>
          <w:b/>
          <w:bCs/>
          <w:i/>
          <w:szCs w:val="26"/>
        </w:rPr>
        <w:t xml:space="preserve">review denied </w:t>
      </w:r>
      <w:r>
        <w:rPr>
          <w:b/>
          <w:bCs/>
          <w:szCs w:val="26"/>
        </w:rPr>
        <w:t xml:space="preserve">(Minn. Nov. 27, 2012) </w:t>
      </w:r>
      <w:r w:rsidRPr="006400C5">
        <w:rPr>
          <w:b/>
          <w:bCs/>
          <w:szCs w:val="26"/>
        </w:rPr>
        <w:t xml:space="preserve">(A12-0245).  </w:t>
      </w:r>
    </w:p>
    <w:p w:rsidR="003856A1" w:rsidRDefault="003856A1" w:rsidP="003856A1">
      <w:pPr>
        <w:outlineLvl w:val="3"/>
        <w:rPr>
          <w:szCs w:val="26"/>
        </w:rPr>
      </w:pPr>
      <w:r w:rsidRPr="006400C5">
        <w:rPr>
          <w:b/>
          <w:bCs/>
          <w:szCs w:val="26"/>
        </w:rPr>
        <w:tab/>
      </w:r>
      <w:r w:rsidRPr="006400C5">
        <w:rPr>
          <w:szCs w:val="26"/>
        </w:rPr>
        <w:t xml:space="preserve">A person is not nominated as a personal representative for the purpose of allowing payment for attorney fees and expenses under Minn. Stat. § 524.3-720 (2010) unless such nomination is authorized by either the will of the decedent or in compliance with the priority of appointment statute, Minn. Stat. § 524.3-203 (2010).  </w:t>
      </w:r>
    </w:p>
    <w:p w:rsidR="00756ABC" w:rsidRDefault="00756ABC" w:rsidP="003856A1">
      <w:pPr>
        <w:outlineLvl w:val="3"/>
        <w:rPr>
          <w:szCs w:val="26"/>
        </w:rPr>
      </w:pPr>
    </w:p>
    <w:p w:rsidR="00756ABC" w:rsidRPr="00F5772B" w:rsidRDefault="00756ABC" w:rsidP="00756ABC">
      <w:pPr>
        <w:outlineLvl w:val="3"/>
        <w:rPr>
          <w:b/>
          <w:bCs/>
          <w:szCs w:val="26"/>
        </w:rPr>
      </w:pPr>
      <w:r w:rsidRPr="00F5772B">
        <w:rPr>
          <w:b/>
          <w:bCs/>
          <w:i/>
          <w:szCs w:val="26"/>
        </w:rPr>
        <w:t>In re Estate of Jones</w:t>
      </w:r>
      <w:r w:rsidRPr="00F5772B">
        <w:rPr>
          <w:b/>
          <w:bCs/>
          <w:szCs w:val="26"/>
        </w:rPr>
        <w:t xml:space="preserve">, 826 N.W.2d 540 (Minn. App. Dec. 24, 2012), </w:t>
      </w:r>
      <w:r w:rsidRPr="00F5772B">
        <w:rPr>
          <w:b/>
          <w:bCs/>
          <w:i/>
          <w:szCs w:val="26"/>
        </w:rPr>
        <w:t xml:space="preserve">review denied </w:t>
      </w:r>
      <w:r w:rsidRPr="00F5772B">
        <w:rPr>
          <w:b/>
          <w:bCs/>
          <w:szCs w:val="26"/>
        </w:rPr>
        <w:t xml:space="preserve">(Minn. Mar. 19, 2013) (A12-0828).  </w:t>
      </w:r>
    </w:p>
    <w:p w:rsidR="00756ABC" w:rsidRDefault="00756ABC" w:rsidP="00756ABC">
      <w:pPr>
        <w:outlineLvl w:val="3"/>
        <w:rPr>
          <w:szCs w:val="26"/>
        </w:rPr>
      </w:pPr>
      <w:r w:rsidRPr="00F5772B">
        <w:rPr>
          <w:b/>
          <w:bCs/>
          <w:szCs w:val="26"/>
        </w:rPr>
        <w:tab/>
      </w:r>
      <w:r w:rsidRPr="00F5772B">
        <w:rPr>
          <w:szCs w:val="26"/>
        </w:rPr>
        <w:t>When there is unrebutted evidence that the contributing account holder intended funds from a joint account to be used by the noncontributing account holder, the probate court does not err by excluding from the contributing account holder’s estate funds withdrawn by the noncontributing account holder prior to the contributing account holder’s death.</w:t>
      </w:r>
    </w:p>
    <w:p w:rsidR="003856A1" w:rsidRPr="006400C5" w:rsidRDefault="003856A1" w:rsidP="003856A1">
      <w:pPr>
        <w:outlineLvl w:val="3"/>
        <w:rPr>
          <w:b/>
          <w:bCs/>
          <w:szCs w:val="26"/>
        </w:rPr>
      </w:pPr>
    </w:p>
    <w:p w:rsidR="003856A1" w:rsidRPr="005E7D92" w:rsidRDefault="003856A1" w:rsidP="00E64B75">
      <w:pPr>
        <w:suppressAutoHyphens w:val="0"/>
        <w:rPr>
          <w:b/>
          <w:bCs/>
          <w:i/>
          <w:szCs w:val="26"/>
        </w:rPr>
      </w:pPr>
      <w:r w:rsidRPr="006400C5">
        <w:rPr>
          <w:b/>
          <w:bCs/>
          <w:i/>
          <w:szCs w:val="26"/>
        </w:rPr>
        <w:t>In re Estate of Rutt</w:t>
      </w:r>
      <w:r w:rsidRPr="006400C5">
        <w:rPr>
          <w:b/>
          <w:bCs/>
          <w:szCs w:val="26"/>
        </w:rPr>
        <w:t xml:space="preserve">, </w:t>
      </w:r>
      <w:r>
        <w:rPr>
          <w:b/>
          <w:bCs/>
          <w:szCs w:val="26"/>
        </w:rPr>
        <w:t>824</w:t>
      </w:r>
      <w:r w:rsidRPr="006400C5">
        <w:rPr>
          <w:b/>
          <w:bCs/>
          <w:szCs w:val="26"/>
        </w:rPr>
        <w:t xml:space="preserve"> N.W.2d </w:t>
      </w:r>
      <w:r>
        <w:rPr>
          <w:b/>
          <w:bCs/>
          <w:szCs w:val="26"/>
        </w:rPr>
        <w:t xml:space="preserve">641 </w:t>
      </w:r>
      <w:r w:rsidRPr="006400C5">
        <w:rPr>
          <w:b/>
          <w:bCs/>
          <w:szCs w:val="26"/>
        </w:rPr>
        <w:t>(Minn. App. Oct. 22, 2012)</w:t>
      </w:r>
      <w:r>
        <w:rPr>
          <w:b/>
          <w:bCs/>
          <w:szCs w:val="26"/>
        </w:rPr>
        <w:t xml:space="preserve">, </w:t>
      </w:r>
      <w:r>
        <w:rPr>
          <w:b/>
          <w:bCs/>
          <w:i/>
          <w:szCs w:val="26"/>
        </w:rPr>
        <w:t xml:space="preserve">review denied </w:t>
      </w:r>
      <w:r>
        <w:rPr>
          <w:b/>
          <w:bCs/>
          <w:szCs w:val="26"/>
        </w:rPr>
        <w:t xml:space="preserve">(Minn. Jan. 29, 2013) </w:t>
      </w:r>
      <w:r w:rsidRPr="006400C5">
        <w:rPr>
          <w:b/>
          <w:bCs/>
          <w:szCs w:val="26"/>
        </w:rPr>
        <w:t xml:space="preserve">(A12-0335).  </w:t>
      </w:r>
    </w:p>
    <w:p w:rsidR="003856A1" w:rsidRPr="006400C5" w:rsidRDefault="003856A1" w:rsidP="003856A1">
      <w:pPr>
        <w:outlineLvl w:val="3"/>
        <w:rPr>
          <w:szCs w:val="26"/>
        </w:rPr>
      </w:pPr>
      <w:r w:rsidRPr="006400C5">
        <w:rPr>
          <w:bCs/>
          <w:szCs w:val="26"/>
        </w:rPr>
        <w:tab/>
        <w:t>1.</w:t>
      </w:r>
      <w:r w:rsidRPr="006400C5">
        <w:rPr>
          <w:bCs/>
          <w:szCs w:val="26"/>
        </w:rPr>
        <w:tab/>
      </w:r>
      <w:r w:rsidRPr="006400C5">
        <w:rPr>
          <w:szCs w:val="26"/>
        </w:rPr>
        <w:t xml:space="preserve">A probate petition commences a probate action; when that petition is filed before written notice of a claim or demand for arbitration, prejudgment interest under Minn. Stat. § 549.09 (2010) begins on the date the petition was filed.  </w:t>
      </w:r>
    </w:p>
    <w:p w:rsidR="003856A1" w:rsidRPr="006400C5" w:rsidRDefault="003856A1" w:rsidP="003856A1">
      <w:pPr>
        <w:outlineLvl w:val="3"/>
        <w:rPr>
          <w:b/>
          <w:bCs/>
          <w:szCs w:val="26"/>
        </w:rPr>
      </w:pPr>
      <w:r w:rsidRPr="006400C5">
        <w:rPr>
          <w:szCs w:val="26"/>
        </w:rPr>
        <w:tab/>
        <w:t>2.</w:t>
      </w:r>
      <w:r w:rsidRPr="006400C5">
        <w:rPr>
          <w:szCs w:val="26"/>
        </w:rPr>
        <w:tab/>
        <w:t xml:space="preserve">The monetary thresholds in Minn. Stat. § 549.09 are applied to the judgments as delineated by the district court, even when multiple transactions are included in a single judgment.  </w:t>
      </w:r>
    </w:p>
    <w:p w:rsidR="00625402" w:rsidRDefault="00625402" w:rsidP="003856A1">
      <w:pPr>
        <w:outlineLvl w:val="3"/>
        <w:rPr>
          <w:b/>
          <w:bCs/>
          <w:i/>
          <w:szCs w:val="26"/>
        </w:rPr>
      </w:pPr>
    </w:p>
    <w:p w:rsidR="00625402" w:rsidRPr="00756D04" w:rsidRDefault="00625402" w:rsidP="00625402">
      <w:pPr>
        <w:rPr>
          <w:b/>
          <w:szCs w:val="26"/>
        </w:rPr>
      </w:pPr>
      <w:r>
        <w:rPr>
          <w:b/>
          <w:i/>
          <w:szCs w:val="26"/>
        </w:rPr>
        <w:t>In re</w:t>
      </w:r>
      <w:r w:rsidRPr="00756D04">
        <w:rPr>
          <w:b/>
          <w:i/>
          <w:szCs w:val="26"/>
        </w:rPr>
        <w:t xml:space="preserve"> G. B. Van Dusen Marital Trust</w:t>
      </w:r>
      <w:r w:rsidRPr="00756D04">
        <w:rPr>
          <w:b/>
          <w:szCs w:val="26"/>
        </w:rPr>
        <w:t xml:space="preserve">, </w:t>
      </w:r>
      <w:r>
        <w:rPr>
          <w:b/>
          <w:szCs w:val="26"/>
        </w:rPr>
        <w:t>834</w:t>
      </w:r>
      <w:r w:rsidRPr="00756D04">
        <w:rPr>
          <w:b/>
          <w:szCs w:val="26"/>
        </w:rPr>
        <w:t xml:space="preserve"> N.W.2d </w:t>
      </w:r>
      <w:r>
        <w:rPr>
          <w:b/>
          <w:szCs w:val="26"/>
        </w:rPr>
        <w:t>514</w:t>
      </w:r>
      <w:r w:rsidRPr="00756D04">
        <w:rPr>
          <w:b/>
          <w:szCs w:val="26"/>
        </w:rPr>
        <w:t xml:space="preserve"> (Minn. App. Apr. 8, 2013)</w:t>
      </w:r>
      <w:r>
        <w:rPr>
          <w:b/>
          <w:szCs w:val="26"/>
        </w:rPr>
        <w:t xml:space="preserve">, </w:t>
      </w:r>
      <w:r>
        <w:rPr>
          <w:b/>
          <w:i/>
          <w:szCs w:val="26"/>
        </w:rPr>
        <w:t>review denied</w:t>
      </w:r>
      <w:r>
        <w:rPr>
          <w:b/>
          <w:szCs w:val="26"/>
        </w:rPr>
        <w:t xml:space="preserve"> (Minn. June 26, 2013)</w:t>
      </w:r>
      <w:r w:rsidRPr="00756D04">
        <w:rPr>
          <w:b/>
          <w:szCs w:val="26"/>
        </w:rPr>
        <w:t xml:space="preserve"> (A12-0503, A12-0994, A12-1469).</w:t>
      </w:r>
    </w:p>
    <w:p w:rsidR="00625402" w:rsidRPr="00756D04" w:rsidRDefault="00625402" w:rsidP="00625402">
      <w:pPr>
        <w:ind w:firstLine="720"/>
        <w:rPr>
          <w:szCs w:val="26"/>
        </w:rPr>
      </w:pPr>
      <w:r w:rsidRPr="00756D04">
        <w:rPr>
          <w:szCs w:val="26"/>
        </w:rPr>
        <w:t>1.</w:t>
      </w:r>
      <w:r w:rsidRPr="00756D04">
        <w:rPr>
          <w:szCs w:val="26"/>
        </w:rPr>
        <w:tab/>
        <w:t>The district court erred by granting summary judgment to the trustee on the beneficiary’s claim that she is entitled to additional distributions of principal from the trust.</w:t>
      </w:r>
    </w:p>
    <w:p w:rsidR="00625402" w:rsidRDefault="00625402" w:rsidP="00625402">
      <w:pPr>
        <w:ind w:firstLine="720"/>
        <w:rPr>
          <w:szCs w:val="26"/>
        </w:rPr>
      </w:pPr>
      <w:r w:rsidRPr="00756D04">
        <w:rPr>
          <w:szCs w:val="26"/>
        </w:rPr>
        <w:t>2.</w:t>
      </w:r>
      <w:r w:rsidRPr="00756D04">
        <w:rPr>
          <w:szCs w:val="26"/>
        </w:rPr>
        <w:tab/>
        <w:t>Because the trust agreement allows the beneficiary to convert “unproductive property” to “productive property,” the beneficiary may convert property that does not produce income to property that does produce income, even if property that does not produce income tends to appreciate in value so as to enlarg</w:t>
      </w:r>
      <w:r>
        <w:rPr>
          <w:szCs w:val="26"/>
        </w:rPr>
        <w:t>e the amount of trust principal.</w:t>
      </w:r>
    </w:p>
    <w:p w:rsidR="00625402" w:rsidRDefault="00625402" w:rsidP="003856A1">
      <w:pPr>
        <w:outlineLvl w:val="3"/>
        <w:rPr>
          <w:b/>
          <w:bCs/>
          <w:i/>
          <w:szCs w:val="26"/>
        </w:rPr>
      </w:pPr>
    </w:p>
    <w:p w:rsidR="003856A1" w:rsidRPr="006400C5" w:rsidRDefault="003856A1" w:rsidP="003856A1">
      <w:pPr>
        <w:outlineLvl w:val="3"/>
        <w:rPr>
          <w:b/>
          <w:bCs/>
          <w:szCs w:val="26"/>
        </w:rPr>
      </w:pPr>
      <w:r w:rsidRPr="006400C5">
        <w:rPr>
          <w:b/>
          <w:bCs/>
          <w:i/>
          <w:szCs w:val="26"/>
        </w:rPr>
        <w:t xml:space="preserve">In re Guardianship </w:t>
      </w:r>
      <w:r>
        <w:rPr>
          <w:b/>
          <w:bCs/>
          <w:i/>
          <w:szCs w:val="26"/>
        </w:rPr>
        <w:t xml:space="preserve">&amp; </w:t>
      </w:r>
      <w:r w:rsidRPr="006400C5">
        <w:rPr>
          <w:b/>
          <w:bCs/>
          <w:i/>
          <w:szCs w:val="26"/>
        </w:rPr>
        <w:t>Conservatorship of Pates</w:t>
      </w:r>
      <w:r w:rsidRPr="006400C5">
        <w:rPr>
          <w:b/>
          <w:bCs/>
          <w:szCs w:val="26"/>
        </w:rPr>
        <w:t xml:space="preserve">, </w:t>
      </w:r>
      <w:r>
        <w:rPr>
          <w:b/>
          <w:bCs/>
          <w:szCs w:val="26"/>
        </w:rPr>
        <w:t>823</w:t>
      </w:r>
      <w:r w:rsidRPr="006400C5">
        <w:rPr>
          <w:b/>
          <w:bCs/>
          <w:szCs w:val="26"/>
        </w:rPr>
        <w:t xml:space="preserve"> N.W.2d </w:t>
      </w:r>
      <w:r>
        <w:rPr>
          <w:b/>
          <w:bCs/>
          <w:szCs w:val="26"/>
        </w:rPr>
        <w:t>881</w:t>
      </w:r>
      <w:r w:rsidRPr="006400C5">
        <w:rPr>
          <w:b/>
          <w:bCs/>
          <w:szCs w:val="26"/>
        </w:rPr>
        <w:t xml:space="preserve"> (Minn. App. Nov. 13, 2012</w:t>
      </w:r>
      <w:r>
        <w:rPr>
          <w:b/>
          <w:bCs/>
          <w:szCs w:val="26"/>
        </w:rPr>
        <w:t>) (A12-0660).</w:t>
      </w:r>
    </w:p>
    <w:p w:rsidR="00B00726" w:rsidRPr="007C46E9" w:rsidRDefault="003856A1" w:rsidP="007C46E9">
      <w:pPr>
        <w:outlineLvl w:val="3"/>
        <w:rPr>
          <w:szCs w:val="26"/>
        </w:rPr>
      </w:pPr>
      <w:r w:rsidRPr="006400C5">
        <w:rPr>
          <w:b/>
          <w:bCs/>
          <w:szCs w:val="26"/>
        </w:rPr>
        <w:tab/>
      </w:r>
      <w:r w:rsidRPr="006400C5">
        <w:rPr>
          <w:szCs w:val="26"/>
        </w:rPr>
        <w:t>When a district court treats a guardianship petition as one for a protective order under Minn. Stat. § 524.5-310(b) (2010), the district court may only grant protective powers specifically allowed under the conservatorship statute, Minn. Stat. § 524.5-417 (2010).</w:t>
      </w:r>
    </w:p>
    <w:p w:rsidR="00B00726" w:rsidRDefault="00B00726" w:rsidP="00EE627A">
      <w:pPr>
        <w:rPr>
          <w:b/>
          <w:i/>
          <w:szCs w:val="26"/>
        </w:rPr>
      </w:pPr>
    </w:p>
    <w:p w:rsidR="00EE627A" w:rsidRPr="00756D04" w:rsidRDefault="00EE627A" w:rsidP="00EE627A">
      <w:pPr>
        <w:rPr>
          <w:b/>
          <w:szCs w:val="26"/>
        </w:rPr>
      </w:pPr>
      <w:r w:rsidRPr="00756D04">
        <w:rPr>
          <w:b/>
          <w:i/>
          <w:szCs w:val="26"/>
        </w:rPr>
        <w:t xml:space="preserve">In re Guardianship of </w:t>
      </w:r>
      <w:r>
        <w:rPr>
          <w:b/>
          <w:i/>
          <w:szCs w:val="26"/>
        </w:rPr>
        <w:t>Tschumy</w:t>
      </w:r>
      <w:r w:rsidRPr="00756D04">
        <w:rPr>
          <w:b/>
          <w:szCs w:val="26"/>
        </w:rPr>
        <w:t xml:space="preserve">, </w:t>
      </w:r>
      <w:r>
        <w:rPr>
          <w:b/>
          <w:szCs w:val="26"/>
        </w:rPr>
        <w:t>834</w:t>
      </w:r>
      <w:r w:rsidRPr="00756D04">
        <w:rPr>
          <w:b/>
          <w:szCs w:val="26"/>
        </w:rPr>
        <w:t xml:space="preserve"> N.W.2d </w:t>
      </w:r>
      <w:r>
        <w:rPr>
          <w:b/>
          <w:szCs w:val="26"/>
        </w:rPr>
        <w:t>764</w:t>
      </w:r>
      <w:r w:rsidRPr="00756D04">
        <w:rPr>
          <w:b/>
          <w:szCs w:val="26"/>
        </w:rPr>
        <w:t xml:space="preserve"> (Minn. App. July 29, 2013)</w:t>
      </w:r>
      <w:r>
        <w:rPr>
          <w:b/>
          <w:szCs w:val="26"/>
        </w:rPr>
        <w:t xml:space="preserve">, </w:t>
      </w:r>
      <w:r>
        <w:rPr>
          <w:b/>
          <w:i/>
          <w:szCs w:val="26"/>
        </w:rPr>
        <w:t>review granted</w:t>
      </w:r>
      <w:r>
        <w:rPr>
          <w:b/>
          <w:szCs w:val="26"/>
        </w:rPr>
        <w:t xml:space="preserve"> (Minn. Oct. 15, 2013)</w:t>
      </w:r>
      <w:r w:rsidRPr="00756D04">
        <w:rPr>
          <w:b/>
          <w:szCs w:val="26"/>
        </w:rPr>
        <w:t xml:space="preserve"> (A12-2179).</w:t>
      </w:r>
    </w:p>
    <w:p w:rsidR="00EE627A" w:rsidRDefault="00EE627A" w:rsidP="00EE627A">
      <w:pPr>
        <w:ind w:left="90" w:firstLine="630"/>
        <w:outlineLvl w:val="0"/>
        <w:rPr>
          <w:szCs w:val="26"/>
        </w:rPr>
      </w:pPr>
      <w:r w:rsidRPr="00756D04">
        <w:rPr>
          <w:szCs w:val="26"/>
        </w:rPr>
        <w:t>Unless otherwise limited in the guardianship order, a guardian’s power to consent to necessary medical or other professional care for a ward under Minn. Stat. § 524.5-313(c)(4) (2012) includes the power to authorize disconnection of a permanently unconscious ward’s life-support systems without seeking an order from the district court.</w:t>
      </w:r>
    </w:p>
    <w:p w:rsidR="005040B7" w:rsidRPr="00625402" w:rsidRDefault="003856A1" w:rsidP="003856A1">
      <w:pPr>
        <w:outlineLvl w:val="3"/>
        <w:rPr>
          <w:szCs w:val="26"/>
        </w:rPr>
      </w:pPr>
      <w:r w:rsidRPr="006400C5">
        <w:rPr>
          <w:szCs w:val="26"/>
        </w:rPr>
        <w:t xml:space="preserve"> </w:t>
      </w:r>
    </w:p>
    <w:p w:rsidR="003856A1" w:rsidRPr="005E7D92" w:rsidRDefault="003856A1" w:rsidP="005E7D92">
      <w:pPr>
        <w:suppressAutoHyphens w:val="0"/>
        <w:jc w:val="left"/>
        <w:rPr>
          <w:b/>
          <w:bCs/>
          <w:i/>
          <w:szCs w:val="26"/>
        </w:rPr>
      </w:pPr>
      <w:r w:rsidRPr="006400C5">
        <w:rPr>
          <w:b/>
          <w:bCs/>
          <w:i/>
          <w:szCs w:val="26"/>
        </w:rPr>
        <w:t xml:space="preserve">In re </w:t>
      </w:r>
      <w:r w:rsidR="00A91C71">
        <w:rPr>
          <w:b/>
          <w:bCs/>
          <w:i/>
          <w:szCs w:val="26"/>
        </w:rPr>
        <w:t xml:space="preserve">Trust of </w:t>
      </w:r>
      <w:r>
        <w:rPr>
          <w:b/>
          <w:bCs/>
          <w:i/>
          <w:szCs w:val="26"/>
        </w:rPr>
        <w:t xml:space="preserve">James Bernard </w:t>
      </w:r>
      <w:r w:rsidRPr="006400C5">
        <w:rPr>
          <w:b/>
          <w:bCs/>
          <w:i/>
          <w:szCs w:val="26"/>
        </w:rPr>
        <w:t>Spencer Irrevocable Trust</w:t>
      </w:r>
      <w:r w:rsidRPr="006400C5">
        <w:rPr>
          <w:b/>
          <w:bCs/>
          <w:szCs w:val="26"/>
        </w:rPr>
        <w:t xml:space="preserve">, </w:t>
      </w:r>
      <w:r>
        <w:rPr>
          <w:b/>
          <w:bCs/>
          <w:szCs w:val="26"/>
        </w:rPr>
        <w:t>825</w:t>
      </w:r>
      <w:r w:rsidRPr="006400C5">
        <w:rPr>
          <w:b/>
          <w:bCs/>
          <w:szCs w:val="26"/>
        </w:rPr>
        <w:t xml:space="preserve"> N.W.2d </w:t>
      </w:r>
      <w:r>
        <w:rPr>
          <w:b/>
          <w:bCs/>
          <w:szCs w:val="26"/>
        </w:rPr>
        <w:t>753</w:t>
      </w:r>
      <w:r w:rsidRPr="006400C5">
        <w:rPr>
          <w:b/>
          <w:bCs/>
          <w:szCs w:val="26"/>
        </w:rPr>
        <w:t xml:space="preserve"> (Minn. App. Dec. 24, 2012)</w:t>
      </w:r>
      <w:r>
        <w:rPr>
          <w:b/>
          <w:bCs/>
          <w:szCs w:val="26"/>
        </w:rPr>
        <w:t xml:space="preserve">, </w:t>
      </w:r>
      <w:r>
        <w:rPr>
          <w:b/>
          <w:bCs/>
          <w:i/>
          <w:szCs w:val="26"/>
        </w:rPr>
        <w:t xml:space="preserve">review denied </w:t>
      </w:r>
      <w:r>
        <w:rPr>
          <w:b/>
          <w:bCs/>
          <w:szCs w:val="26"/>
        </w:rPr>
        <w:t>(Minn. Feb. 27, 2013)</w:t>
      </w:r>
      <w:r w:rsidRPr="006400C5">
        <w:rPr>
          <w:b/>
          <w:bCs/>
          <w:szCs w:val="26"/>
        </w:rPr>
        <w:t xml:space="preserve"> (A12-0565).</w:t>
      </w:r>
    </w:p>
    <w:p w:rsidR="003856A1" w:rsidRPr="00604C5F" w:rsidRDefault="003856A1" w:rsidP="003856A1">
      <w:pPr>
        <w:rPr>
          <w:szCs w:val="26"/>
        </w:rPr>
      </w:pPr>
      <w:r w:rsidRPr="00604C5F">
        <w:rPr>
          <w:szCs w:val="26"/>
        </w:rPr>
        <w:tab/>
        <w:t>Because the grantor of a trust reserved to himself a testamentary power of appointment that could be exercised only in his last will and testament, the grantor did not validly exercise the appointment power by executing a document that does not state that it is a will, does not resemble a will, and does not reflect the intent necessary to create a will.</w:t>
      </w:r>
    </w:p>
    <w:p w:rsidR="003856A1" w:rsidRDefault="003856A1" w:rsidP="003856A1">
      <w:pPr>
        <w:pStyle w:val="FootnoteText"/>
        <w:tabs>
          <w:tab w:val="left" w:pos="720"/>
          <w:tab w:val="left" w:pos="1440"/>
          <w:tab w:val="left" w:pos="2160"/>
        </w:tabs>
      </w:pPr>
    </w:p>
    <w:p w:rsidR="003856A1" w:rsidRDefault="003856A1" w:rsidP="003856A1">
      <w:pPr>
        <w:outlineLvl w:val="3"/>
        <w:rPr>
          <w:szCs w:val="26"/>
        </w:rPr>
      </w:pPr>
    </w:p>
    <w:p w:rsidR="003856A1" w:rsidRPr="00EF617E" w:rsidRDefault="00A91C71" w:rsidP="003856A1">
      <w:pPr>
        <w:tabs>
          <w:tab w:val="left" w:pos="720"/>
          <w:tab w:val="left" w:pos="1440"/>
          <w:tab w:val="left" w:pos="2160"/>
        </w:tabs>
        <w:rPr>
          <w:b/>
          <w:u w:val="single"/>
        </w:rPr>
      </w:pPr>
      <w:r>
        <w:rPr>
          <w:b/>
          <w:u w:val="single"/>
        </w:rPr>
        <w:t>Real Estate and Property Rights</w:t>
      </w:r>
    </w:p>
    <w:p w:rsidR="003856A1" w:rsidRDefault="003856A1" w:rsidP="003856A1">
      <w:pPr>
        <w:outlineLvl w:val="3"/>
        <w:rPr>
          <w:szCs w:val="26"/>
        </w:rPr>
      </w:pPr>
    </w:p>
    <w:p w:rsidR="003856A1" w:rsidRPr="00BA196F" w:rsidRDefault="003856A1" w:rsidP="003856A1">
      <w:pPr>
        <w:rPr>
          <w:b/>
          <w:bCs/>
          <w:i/>
          <w:iCs/>
          <w:color w:val="000000"/>
          <w:szCs w:val="26"/>
        </w:rPr>
      </w:pPr>
      <w:r w:rsidRPr="00BA196F">
        <w:rPr>
          <w:b/>
          <w:bCs/>
          <w:i/>
          <w:iCs/>
          <w:color w:val="000000"/>
          <w:szCs w:val="26"/>
        </w:rPr>
        <w:t>Citizens State Bank</w:t>
      </w:r>
      <w:r w:rsidR="00373913">
        <w:rPr>
          <w:b/>
          <w:bCs/>
          <w:i/>
          <w:iCs/>
          <w:color w:val="000000"/>
          <w:szCs w:val="26"/>
        </w:rPr>
        <w:t xml:space="preserve"> Norwood Young Am.</w:t>
      </w:r>
      <w:r w:rsidRPr="00BA196F">
        <w:rPr>
          <w:b/>
          <w:bCs/>
          <w:i/>
          <w:iCs/>
          <w:color w:val="000000"/>
          <w:szCs w:val="26"/>
        </w:rPr>
        <w:t xml:space="preserve"> v. Brown</w:t>
      </w:r>
      <w:r w:rsidRPr="00BA196F">
        <w:rPr>
          <w:b/>
          <w:bCs/>
          <w:iCs/>
          <w:color w:val="000000"/>
          <w:szCs w:val="26"/>
        </w:rPr>
        <w:t>, 829 N.W.2d 634 (Minn. App. Apr. 29, 2013)</w:t>
      </w:r>
      <w:r w:rsidR="00373913">
        <w:rPr>
          <w:b/>
          <w:bCs/>
          <w:iCs/>
          <w:color w:val="000000"/>
          <w:szCs w:val="26"/>
        </w:rPr>
        <w:t xml:space="preserve">, </w:t>
      </w:r>
      <w:r w:rsidR="00373913">
        <w:rPr>
          <w:b/>
          <w:bCs/>
          <w:i/>
          <w:iCs/>
          <w:color w:val="000000"/>
          <w:szCs w:val="26"/>
        </w:rPr>
        <w:t xml:space="preserve">review granted </w:t>
      </w:r>
      <w:r w:rsidR="00373913">
        <w:rPr>
          <w:b/>
          <w:bCs/>
          <w:iCs/>
          <w:color w:val="000000"/>
          <w:szCs w:val="26"/>
        </w:rPr>
        <w:t>(Minn. July 16, 2013)</w:t>
      </w:r>
      <w:r w:rsidRPr="00BA196F">
        <w:rPr>
          <w:b/>
          <w:bCs/>
          <w:iCs/>
          <w:color w:val="000000"/>
          <w:szCs w:val="26"/>
        </w:rPr>
        <w:t xml:space="preserve"> (A12-1257).</w:t>
      </w:r>
    </w:p>
    <w:p w:rsidR="003856A1" w:rsidRDefault="003856A1" w:rsidP="003856A1">
      <w:pPr>
        <w:rPr>
          <w:color w:val="000000"/>
          <w:szCs w:val="26"/>
        </w:rPr>
      </w:pPr>
      <w:r w:rsidRPr="00BA196F">
        <w:rPr>
          <w:rFonts w:ascii="Arial" w:hAnsi="Arial" w:cs="Arial"/>
          <w:szCs w:val="26"/>
        </w:rPr>
        <w:tab/>
      </w:r>
      <w:r w:rsidRPr="00BA196F">
        <w:rPr>
          <w:color w:val="000000"/>
          <w:szCs w:val="26"/>
        </w:rPr>
        <w:t>Under the Uniform Fraudulent Transfer Act (UFTA), Minn. Stat. § 513.44(b) (2012), spouses are insiders, and transfers between spouses are presumptively fraudulent as to existing creditors. This presumption of fraud may be rebutted only by clear and convincing evidence.</w:t>
      </w:r>
    </w:p>
    <w:p w:rsidR="00756ABC" w:rsidRDefault="00756ABC" w:rsidP="003856A1">
      <w:pPr>
        <w:rPr>
          <w:color w:val="000000"/>
          <w:szCs w:val="26"/>
        </w:rPr>
      </w:pPr>
    </w:p>
    <w:p w:rsidR="00756ABC" w:rsidRPr="006400C5" w:rsidRDefault="00756ABC" w:rsidP="00756ABC">
      <w:pPr>
        <w:outlineLvl w:val="3"/>
        <w:rPr>
          <w:b/>
          <w:bCs/>
          <w:szCs w:val="26"/>
        </w:rPr>
      </w:pPr>
      <w:r w:rsidRPr="006400C5">
        <w:rPr>
          <w:b/>
          <w:bCs/>
          <w:i/>
          <w:szCs w:val="26"/>
        </w:rPr>
        <w:t>City of Cloquet v. Crandall</w:t>
      </w:r>
      <w:r w:rsidRPr="006400C5">
        <w:rPr>
          <w:b/>
          <w:bCs/>
          <w:szCs w:val="26"/>
        </w:rPr>
        <w:t xml:space="preserve">, </w:t>
      </w:r>
      <w:r>
        <w:rPr>
          <w:b/>
          <w:bCs/>
          <w:szCs w:val="26"/>
        </w:rPr>
        <w:t xml:space="preserve">824 </w:t>
      </w:r>
      <w:r w:rsidRPr="006400C5">
        <w:rPr>
          <w:b/>
          <w:bCs/>
          <w:szCs w:val="26"/>
        </w:rPr>
        <w:t xml:space="preserve">N.W.2d </w:t>
      </w:r>
      <w:r>
        <w:rPr>
          <w:b/>
          <w:bCs/>
          <w:szCs w:val="26"/>
        </w:rPr>
        <w:t xml:space="preserve">648 </w:t>
      </w:r>
      <w:r w:rsidRPr="006400C5">
        <w:rPr>
          <w:b/>
          <w:bCs/>
          <w:szCs w:val="26"/>
        </w:rPr>
        <w:t xml:space="preserve">(Minn. App. </w:t>
      </w:r>
      <w:r>
        <w:rPr>
          <w:b/>
          <w:bCs/>
          <w:szCs w:val="26"/>
        </w:rPr>
        <w:t>Dec. 10, 2012) (A12-0391).</w:t>
      </w:r>
    </w:p>
    <w:p w:rsidR="00756ABC" w:rsidRPr="00756ABC" w:rsidRDefault="00756ABC" w:rsidP="00756ABC">
      <w:pPr>
        <w:outlineLvl w:val="3"/>
        <w:rPr>
          <w:szCs w:val="26"/>
        </w:rPr>
      </w:pPr>
      <w:r w:rsidRPr="006400C5">
        <w:rPr>
          <w:b/>
          <w:bCs/>
          <w:szCs w:val="26"/>
        </w:rPr>
        <w:tab/>
      </w:r>
      <w:r w:rsidRPr="006400C5">
        <w:rPr>
          <w:szCs w:val="26"/>
        </w:rPr>
        <w:t>A contract for deed purchaser is not a “fee title holder” and therefore not a property “owner” under Minnesota Statutes section 117.187 (2008), which entitles each property “owner” to certain minimum compensation following a governmental taking and which defines “owner” to include fee title holders.</w:t>
      </w:r>
    </w:p>
    <w:p w:rsidR="003856A1" w:rsidRDefault="003856A1" w:rsidP="003856A1">
      <w:pPr>
        <w:outlineLvl w:val="3"/>
        <w:rPr>
          <w:b/>
          <w:bCs/>
          <w:szCs w:val="26"/>
        </w:rPr>
      </w:pPr>
    </w:p>
    <w:p w:rsidR="003856A1" w:rsidRPr="00BA196F" w:rsidRDefault="00373913" w:rsidP="003856A1">
      <w:pPr>
        <w:rPr>
          <w:b/>
          <w:bCs/>
          <w:iCs/>
          <w:color w:val="000000"/>
          <w:szCs w:val="26"/>
        </w:rPr>
      </w:pPr>
      <w:r>
        <w:rPr>
          <w:b/>
          <w:bCs/>
          <w:i/>
          <w:iCs/>
          <w:color w:val="000000"/>
          <w:szCs w:val="26"/>
        </w:rPr>
        <w:t>In re Mortg.</w:t>
      </w:r>
      <w:r w:rsidR="003856A1" w:rsidRPr="00BA196F">
        <w:rPr>
          <w:b/>
          <w:bCs/>
          <w:i/>
          <w:iCs/>
          <w:color w:val="000000"/>
          <w:szCs w:val="26"/>
        </w:rPr>
        <w:t xml:space="preserve"> Elec. Registration Sys.</w:t>
      </w:r>
      <w:r>
        <w:rPr>
          <w:b/>
          <w:bCs/>
          <w:i/>
          <w:iCs/>
          <w:color w:val="000000"/>
          <w:szCs w:val="26"/>
        </w:rPr>
        <w:t>,</w:t>
      </w:r>
      <w:r w:rsidR="003856A1" w:rsidRPr="00BA196F">
        <w:rPr>
          <w:b/>
          <w:bCs/>
          <w:i/>
          <w:iCs/>
          <w:color w:val="000000"/>
          <w:szCs w:val="26"/>
        </w:rPr>
        <w:t xml:space="preserve"> Inc.</w:t>
      </w:r>
      <w:r w:rsidR="003856A1" w:rsidRPr="00BA196F">
        <w:rPr>
          <w:b/>
          <w:bCs/>
          <w:iCs/>
          <w:color w:val="000000"/>
          <w:szCs w:val="26"/>
        </w:rPr>
        <w:t xml:space="preserve">, </w:t>
      </w:r>
      <w:r>
        <w:rPr>
          <w:b/>
          <w:bCs/>
          <w:iCs/>
          <w:color w:val="000000"/>
          <w:szCs w:val="26"/>
        </w:rPr>
        <w:t>835 N.W.2d 487</w:t>
      </w:r>
      <w:r w:rsidR="003856A1" w:rsidRPr="00BA196F">
        <w:rPr>
          <w:b/>
          <w:bCs/>
          <w:iCs/>
          <w:color w:val="000000"/>
          <w:szCs w:val="26"/>
        </w:rPr>
        <w:t xml:space="preserve"> (Minn. App. Apr. 22, 2013) (A12-1050).</w:t>
      </w:r>
    </w:p>
    <w:p w:rsidR="003856A1" w:rsidRDefault="003856A1" w:rsidP="003856A1">
      <w:pPr>
        <w:rPr>
          <w:color w:val="000000"/>
          <w:szCs w:val="26"/>
        </w:rPr>
      </w:pPr>
      <w:r w:rsidRPr="00BA196F">
        <w:rPr>
          <w:color w:val="000000"/>
          <w:szCs w:val="26"/>
        </w:rPr>
        <w:tab/>
        <w:t>In proceedings subsequent to initial registration, (1) preponderance of the evidence is the standard of proof for the amendment of the certificate of title, and (2) district courts may apply the doctrines of contemporaneous transaction and instantaneous seisin so as to accurately depict the real estate transaction and avoid an absurd result.</w:t>
      </w:r>
    </w:p>
    <w:p w:rsidR="00037F2A" w:rsidRPr="00756D04" w:rsidRDefault="00037F2A" w:rsidP="00037F2A">
      <w:pPr>
        <w:rPr>
          <w:b/>
          <w:szCs w:val="26"/>
        </w:rPr>
      </w:pPr>
      <w:r w:rsidRPr="00756D04">
        <w:rPr>
          <w:b/>
          <w:i/>
          <w:szCs w:val="26"/>
        </w:rPr>
        <w:t>Hous</w:t>
      </w:r>
      <w:r>
        <w:rPr>
          <w:b/>
          <w:i/>
          <w:szCs w:val="26"/>
        </w:rPr>
        <w:t>.</w:t>
      </w:r>
      <w:r w:rsidRPr="00756D04">
        <w:rPr>
          <w:b/>
          <w:i/>
          <w:szCs w:val="26"/>
        </w:rPr>
        <w:t xml:space="preserve"> and Redev</w:t>
      </w:r>
      <w:r>
        <w:rPr>
          <w:b/>
          <w:i/>
          <w:szCs w:val="26"/>
        </w:rPr>
        <w:t>.</w:t>
      </w:r>
      <w:r w:rsidRPr="00756D04">
        <w:rPr>
          <w:b/>
          <w:i/>
          <w:szCs w:val="26"/>
        </w:rPr>
        <w:t xml:space="preserve"> Auth</w:t>
      </w:r>
      <w:r>
        <w:rPr>
          <w:b/>
          <w:i/>
          <w:szCs w:val="26"/>
        </w:rPr>
        <w:t>.</w:t>
      </w:r>
      <w:r w:rsidRPr="00756D04">
        <w:rPr>
          <w:b/>
          <w:i/>
          <w:szCs w:val="26"/>
        </w:rPr>
        <w:t xml:space="preserve"> of Duluth v. Lee</w:t>
      </w:r>
      <w:r w:rsidRPr="00756D04">
        <w:rPr>
          <w:b/>
          <w:szCs w:val="26"/>
        </w:rPr>
        <w:t xml:space="preserve">, </w:t>
      </w:r>
      <w:r>
        <w:rPr>
          <w:b/>
          <w:szCs w:val="26"/>
        </w:rPr>
        <w:t>832</w:t>
      </w:r>
      <w:r w:rsidRPr="00756D04">
        <w:rPr>
          <w:b/>
          <w:szCs w:val="26"/>
        </w:rPr>
        <w:t xml:space="preserve"> N.W.2d </w:t>
      </w:r>
      <w:r>
        <w:rPr>
          <w:b/>
          <w:szCs w:val="26"/>
        </w:rPr>
        <w:t>868</w:t>
      </w:r>
      <w:r w:rsidRPr="00756D04">
        <w:rPr>
          <w:b/>
          <w:szCs w:val="26"/>
        </w:rPr>
        <w:t xml:space="preserve"> (Minn. App. July 1, 2013)</w:t>
      </w:r>
      <w:r>
        <w:rPr>
          <w:b/>
          <w:szCs w:val="26"/>
        </w:rPr>
        <w:t xml:space="preserve">, </w:t>
      </w:r>
      <w:r>
        <w:rPr>
          <w:b/>
          <w:i/>
          <w:szCs w:val="26"/>
        </w:rPr>
        <w:t xml:space="preserve"> review granted </w:t>
      </w:r>
      <w:r>
        <w:rPr>
          <w:b/>
          <w:szCs w:val="26"/>
        </w:rPr>
        <w:t>(Minn. Sept. 17, 2013)</w:t>
      </w:r>
      <w:r w:rsidRPr="00756D04">
        <w:rPr>
          <w:b/>
          <w:szCs w:val="26"/>
        </w:rPr>
        <w:t xml:space="preserve"> (A12-2078).</w:t>
      </w:r>
    </w:p>
    <w:p w:rsidR="003856A1" w:rsidRDefault="00037F2A" w:rsidP="00037F2A">
      <w:pPr>
        <w:ind w:firstLine="720"/>
        <w:rPr>
          <w:szCs w:val="26"/>
        </w:rPr>
      </w:pPr>
      <w:r w:rsidRPr="00756D04">
        <w:rPr>
          <w:szCs w:val="26"/>
        </w:rPr>
        <w:t>Because Minn. Stat. § 504B.177(a) (2012) does not conflict with any federal statute, regulation, or guideline, landlords of federally-subsidized housing must comply with its provision prohibiting imposition of late fees exceeding eight percent of the overdue rent payment</w:t>
      </w:r>
      <w:r w:rsidR="00CC261B">
        <w:rPr>
          <w:szCs w:val="26"/>
        </w:rPr>
        <w:t>.</w:t>
      </w:r>
    </w:p>
    <w:p w:rsidR="00CC261B" w:rsidRDefault="00CC261B" w:rsidP="00037F2A">
      <w:pPr>
        <w:ind w:firstLine="720"/>
        <w:rPr>
          <w:szCs w:val="26"/>
        </w:rPr>
      </w:pPr>
    </w:p>
    <w:p w:rsidR="00CC261B" w:rsidRPr="005E7D92" w:rsidRDefault="00CC261B" w:rsidP="00E64B75">
      <w:pPr>
        <w:suppressAutoHyphens w:val="0"/>
        <w:rPr>
          <w:b/>
          <w:i/>
        </w:rPr>
      </w:pPr>
      <w:r>
        <w:rPr>
          <w:b/>
          <w:i/>
        </w:rPr>
        <w:t xml:space="preserve">Lanpher </w:t>
      </w:r>
      <w:r w:rsidRPr="00756D04">
        <w:rPr>
          <w:b/>
          <w:i/>
        </w:rPr>
        <w:t>v. Nygard</w:t>
      </w:r>
      <w:r w:rsidRPr="00756D04">
        <w:rPr>
          <w:b/>
        </w:rPr>
        <w:t xml:space="preserve">, </w:t>
      </w:r>
      <w:r>
        <w:rPr>
          <w:b/>
        </w:rPr>
        <w:t>829</w:t>
      </w:r>
      <w:r w:rsidRPr="00756D04">
        <w:rPr>
          <w:b/>
        </w:rPr>
        <w:t xml:space="preserve"> N.W.2d </w:t>
      </w:r>
      <w:r>
        <w:rPr>
          <w:b/>
        </w:rPr>
        <w:t>438</w:t>
      </w:r>
      <w:r w:rsidRPr="00756D04">
        <w:rPr>
          <w:b/>
        </w:rPr>
        <w:t xml:space="preserve"> (Minn. App. Apr. 22, 2013)</w:t>
      </w:r>
      <w:r>
        <w:rPr>
          <w:b/>
        </w:rPr>
        <w:t xml:space="preserve">, </w:t>
      </w:r>
      <w:r>
        <w:rPr>
          <w:b/>
          <w:i/>
        </w:rPr>
        <w:t>review denied</w:t>
      </w:r>
      <w:r>
        <w:rPr>
          <w:b/>
        </w:rPr>
        <w:t xml:space="preserve"> (Minn. June 26, 2013)</w:t>
      </w:r>
      <w:r w:rsidRPr="00756D04">
        <w:rPr>
          <w:b/>
        </w:rPr>
        <w:t xml:space="preserve"> (A12-1419).</w:t>
      </w:r>
    </w:p>
    <w:p w:rsidR="00CC261B" w:rsidRPr="00756D04" w:rsidRDefault="00CC261B" w:rsidP="00CC261B">
      <w:pPr>
        <w:outlineLvl w:val="0"/>
        <w:rPr>
          <w:snapToGrid w:val="0"/>
          <w:szCs w:val="26"/>
        </w:rPr>
      </w:pPr>
      <w:r w:rsidRPr="00756D04">
        <w:rPr>
          <w:snapToGrid w:val="0"/>
          <w:szCs w:val="26"/>
        </w:rPr>
        <w:tab/>
        <w:t>The partition fence statute, Minn. Stat. §§ 344.01–.20 (2012), does not provide a unilateral right to repair a fence located at or near a property line unless the fence is a “partition fence” as defined under the statute and the procedural requirements of the statute have been satisfied.</w:t>
      </w:r>
    </w:p>
    <w:p w:rsidR="005040B7" w:rsidRDefault="005040B7" w:rsidP="005040B7">
      <w:pPr>
        <w:rPr>
          <w:szCs w:val="26"/>
        </w:rPr>
      </w:pPr>
    </w:p>
    <w:p w:rsidR="005040B7" w:rsidRPr="00756D04" w:rsidRDefault="005040B7" w:rsidP="005040B7">
      <w:pPr>
        <w:outlineLvl w:val="3"/>
        <w:rPr>
          <w:b/>
          <w:bCs/>
          <w:szCs w:val="26"/>
        </w:rPr>
      </w:pPr>
      <w:r w:rsidRPr="00756D04">
        <w:rPr>
          <w:b/>
          <w:bCs/>
          <w:i/>
          <w:szCs w:val="26"/>
        </w:rPr>
        <w:t>White v. City of Elk River</w:t>
      </w:r>
      <w:r w:rsidRPr="00756D04">
        <w:rPr>
          <w:b/>
          <w:bCs/>
          <w:szCs w:val="26"/>
        </w:rPr>
        <w:t xml:space="preserve">, 822 N.W.2d 320 (Minn. App. Oct. 29, 2012), </w:t>
      </w:r>
      <w:r w:rsidRPr="00756D04">
        <w:rPr>
          <w:b/>
          <w:bCs/>
          <w:i/>
          <w:szCs w:val="26"/>
        </w:rPr>
        <w:t xml:space="preserve">review granted in part and denied in part </w:t>
      </w:r>
      <w:r w:rsidRPr="00756D04">
        <w:rPr>
          <w:b/>
          <w:bCs/>
          <w:szCs w:val="26"/>
        </w:rPr>
        <w:t xml:space="preserve">(Minn. Jan. 15, 2013) (A12-0681).  </w:t>
      </w:r>
    </w:p>
    <w:p w:rsidR="005040B7" w:rsidRPr="005040B7" w:rsidRDefault="005040B7" w:rsidP="005040B7">
      <w:pPr>
        <w:outlineLvl w:val="3"/>
        <w:rPr>
          <w:b/>
          <w:bCs/>
          <w:szCs w:val="26"/>
        </w:rPr>
      </w:pPr>
      <w:r w:rsidRPr="00756D04">
        <w:rPr>
          <w:b/>
          <w:bCs/>
          <w:szCs w:val="26"/>
        </w:rPr>
        <w:tab/>
      </w:r>
      <w:r w:rsidRPr="00756D04">
        <w:rPr>
          <w:szCs w:val="26"/>
        </w:rPr>
        <w:t>When the lawful use of property under a conditional-use permit later becomes a nonconforming use, the permit does not expire and the property must remain in compliance with the permit conditions to be a lawful nonconforming use entitled to the protections of Minn. Stat. § 462.357, subd. 1e (2010).</w:t>
      </w:r>
    </w:p>
    <w:p w:rsidR="007474E6" w:rsidRDefault="007474E6" w:rsidP="003856A1">
      <w:pPr>
        <w:rPr>
          <w:szCs w:val="26"/>
        </w:rPr>
      </w:pPr>
    </w:p>
    <w:p w:rsidR="007474E6" w:rsidRPr="00C95551" w:rsidRDefault="007474E6" w:rsidP="003856A1">
      <w:pPr>
        <w:rPr>
          <w:szCs w:val="26"/>
        </w:rPr>
      </w:pPr>
    </w:p>
    <w:p w:rsidR="003856A1" w:rsidRPr="008D3794" w:rsidRDefault="003856A1" w:rsidP="003856A1">
      <w:pPr>
        <w:pStyle w:val="FootnoteText"/>
        <w:tabs>
          <w:tab w:val="left" w:pos="720"/>
          <w:tab w:val="left" w:pos="1440"/>
          <w:tab w:val="left" w:pos="2160"/>
        </w:tabs>
        <w:rPr>
          <w:b/>
          <w:u w:val="single"/>
        </w:rPr>
      </w:pPr>
      <w:r>
        <w:rPr>
          <w:b/>
          <w:u w:val="single"/>
        </w:rPr>
        <w:t>Torts</w:t>
      </w:r>
    </w:p>
    <w:p w:rsidR="003856A1" w:rsidRDefault="003856A1" w:rsidP="003856A1">
      <w:pPr>
        <w:tabs>
          <w:tab w:val="left" w:pos="720"/>
          <w:tab w:val="left" w:pos="1440"/>
        </w:tabs>
      </w:pPr>
    </w:p>
    <w:p w:rsidR="00322313" w:rsidRPr="00756D04" w:rsidRDefault="00322313" w:rsidP="00322313">
      <w:pPr>
        <w:rPr>
          <w:b/>
          <w:szCs w:val="26"/>
        </w:rPr>
      </w:pPr>
      <w:r w:rsidRPr="00756D04">
        <w:rPr>
          <w:b/>
          <w:i/>
          <w:szCs w:val="26"/>
        </w:rPr>
        <w:t>Eischen</w:t>
      </w:r>
      <w:r>
        <w:rPr>
          <w:b/>
          <w:i/>
          <w:szCs w:val="26"/>
        </w:rPr>
        <w:t xml:space="preserve"> </w:t>
      </w:r>
      <w:r w:rsidRPr="00756D04">
        <w:rPr>
          <w:b/>
          <w:i/>
          <w:szCs w:val="26"/>
        </w:rPr>
        <w:t>v. Crystal Valley Coop</w:t>
      </w:r>
      <w:r>
        <w:rPr>
          <w:b/>
          <w:i/>
          <w:szCs w:val="26"/>
        </w:rPr>
        <w:t>.</w:t>
      </w:r>
      <w:r>
        <w:rPr>
          <w:b/>
          <w:szCs w:val="26"/>
        </w:rPr>
        <w:t>, 835</w:t>
      </w:r>
      <w:r w:rsidRPr="00756D04">
        <w:rPr>
          <w:b/>
          <w:szCs w:val="26"/>
        </w:rPr>
        <w:t xml:space="preserve"> N.W.2d </w:t>
      </w:r>
      <w:r>
        <w:rPr>
          <w:b/>
          <w:szCs w:val="26"/>
        </w:rPr>
        <w:t>629</w:t>
      </w:r>
      <w:r w:rsidRPr="00756D04">
        <w:rPr>
          <w:b/>
          <w:szCs w:val="26"/>
        </w:rPr>
        <w:t xml:space="preserve"> (Minn. App. Aug. 5, 2013)</w:t>
      </w:r>
      <w:r>
        <w:rPr>
          <w:b/>
          <w:szCs w:val="26"/>
        </w:rPr>
        <w:t xml:space="preserve">, </w:t>
      </w:r>
      <w:r>
        <w:rPr>
          <w:b/>
          <w:i/>
          <w:szCs w:val="26"/>
        </w:rPr>
        <w:t>review denied</w:t>
      </w:r>
      <w:r>
        <w:rPr>
          <w:b/>
          <w:szCs w:val="26"/>
        </w:rPr>
        <w:t xml:space="preserve"> (Minn. Oct. 15, 2013)</w:t>
      </w:r>
      <w:r w:rsidRPr="00756D04">
        <w:rPr>
          <w:b/>
          <w:szCs w:val="26"/>
        </w:rPr>
        <w:t xml:space="preserve"> (A13-0104).</w:t>
      </w:r>
    </w:p>
    <w:p w:rsidR="00322313" w:rsidRPr="00322313" w:rsidRDefault="00322313" w:rsidP="00322313">
      <w:pPr>
        <w:ind w:firstLine="720"/>
        <w:outlineLvl w:val="0"/>
        <w:rPr>
          <w:szCs w:val="26"/>
        </w:rPr>
      </w:pPr>
      <w:r w:rsidRPr="00756D04">
        <w:rPr>
          <w:szCs w:val="26"/>
        </w:rPr>
        <w:t>The doctrine of primary assumption of risk does not apply to bar claims for injuries arising out of towing of farm equipment.</w:t>
      </w:r>
    </w:p>
    <w:p w:rsidR="00322313" w:rsidRDefault="00322313" w:rsidP="00756ABC">
      <w:pPr>
        <w:rPr>
          <w:b/>
          <w:i/>
          <w:szCs w:val="26"/>
        </w:rPr>
      </w:pPr>
    </w:p>
    <w:p w:rsidR="00756ABC" w:rsidRPr="00EC2080" w:rsidRDefault="00756ABC" w:rsidP="00756ABC">
      <w:pPr>
        <w:rPr>
          <w:b/>
          <w:szCs w:val="26"/>
        </w:rPr>
      </w:pPr>
      <w:r w:rsidRPr="00EC2080">
        <w:rPr>
          <w:b/>
          <w:i/>
          <w:szCs w:val="26"/>
        </w:rPr>
        <w:t>Gallagher v. BNSF Ry. Co.</w:t>
      </w:r>
      <w:r w:rsidRPr="00EC2080">
        <w:rPr>
          <w:b/>
          <w:szCs w:val="26"/>
        </w:rPr>
        <w:t>, 829 N.W.2d 85 (Minn. App. Apr. 8, 2013) (A12-1327).</w:t>
      </w:r>
    </w:p>
    <w:p w:rsidR="00756ABC" w:rsidRPr="00EC2080" w:rsidRDefault="00756ABC" w:rsidP="00756ABC">
      <w:pPr>
        <w:rPr>
          <w:szCs w:val="26"/>
        </w:rPr>
      </w:pPr>
      <w:r w:rsidRPr="00EC2080">
        <w:rPr>
          <w:b/>
          <w:szCs w:val="26"/>
        </w:rPr>
        <w:tab/>
      </w:r>
      <w:r w:rsidRPr="00EC2080">
        <w:rPr>
          <w:szCs w:val="26"/>
        </w:rPr>
        <w:t>1.</w:t>
      </w:r>
      <w:r w:rsidRPr="00EC2080">
        <w:rPr>
          <w:szCs w:val="26"/>
        </w:rPr>
        <w:tab/>
        <w:t>Summary judgment dismissing a claim of violation of the Safety Appliance Act is inappropriate if there is any evidence from which a jury could reasonably conclude that the act was violated and that such violation caused a railroad employee’s injury.</w:t>
      </w:r>
    </w:p>
    <w:p w:rsidR="00756ABC" w:rsidRDefault="00756ABC" w:rsidP="00756ABC">
      <w:pPr>
        <w:rPr>
          <w:szCs w:val="26"/>
        </w:rPr>
      </w:pPr>
      <w:r w:rsidRPr="00EC2080">
        <w:rPr>
          <w:szCs w:val="26"/>
        </w:rPr>
        <w:tab/>
        <w:t>2.</w:t>
      </w:r>
      <w:r w:rsidRPr="00EC2080">
        <w:rPr>
          <w:szCs w:val="26"/>
        </w:rPr>
        <w:tab/>
        <w:t>Summary judgment dismissing a claim of negligence under the Federal Employers’ Liability Act is inappropriate if there is any evidence from which a jury could reasonably conclude that a railroad carrier breached its duty of care and that such breach caused a railroad employee’s injury.</w:t>
      </w:r>
    </w:p>
    <w:p w:rsidR="005040B7" w:rsidRDefault="005040B7" w:rsidP="00756ABC">
      <w:pPr>
        <w:rPr>
          <w:szCs w:val="26"/>
        </w:rPr>
      </w:pPr>
    </w:p>
    <w:p w:rsidR="00B00726" w:rsidRDefault="00B00726" w:rsidP="005040B7">
      <w:pPr>
        <w:outlineLvl w:val="3"/>
        <w:rPr>
          <w:b/>
          <w:bCs/>
          <w:i/>
          <w:szCs w:val="26"/>
        </w:rPr>
      </w:pPr>
    </w:p>
    <w:p w:rsidR="00B00726" w:rsidRDefault="00B00726" w:rsidP="005040B7">
      <w:pPr>
        <w:outlineLvl w:val="3"/>
        <w:rPr>
          <w:b/>
          <w:bCs/>
          <w:i/>
          <w:szCs w:val="26"/>
        </w:rPr>
      </w:pPr>
    </w:p>
    <w:p w:rsidR="005040B7" w:rsidRPr="00756D04" w:rsidRDefault="005040B7" w:rsidP="005040B7">
      <w:pPr>
        <w:outlineLvl w:val="3"/>
        <w:rPr>
          <w:b/>
          <w:bCs/>
          <w:szCs w:val="26"/>
        </w:rPr>
      </w:pPr>
      <w:r w:rsidRPr="00756D04">
        <w:rPr>
          <w:b/>
          <w:bCs/>
          <w:i/>
          <w:szCs w:val="26"/>
        </w:rPr>
        <w:t>Gieseke</w:t>
      </w:r>
      <w:r>
        <w:rPr>
          <w:b/>
          <w:bCs/>
          <w:i/>
          <w:szCs w:val="26"/>
        </w:rPr>
        <w:t xml:space="preserve"> ex rel. Diversified Water Div., Inc.</w:t>
      </w:r>
      <w:r w:rsidRPr="00756D04">
        <w:rPr>
          <w:b/>
          <w:bCs/>
          <w:i/>
          <w:szCs w:val="26"/>
        </w:rPr>
        <w:t xml:space="preserve"> v. IDCA, Inc.</w:t>
      </w:r>
      <w:r w:rsidRPr="00756D04">
        <w:rPr>
          <w:b/>
          <w:bCs/>
          <w:szCs w:val="26"/>
        </w:rPr>
        <w:t xml:space="preserve">, 826 N.W.2d 816 (Minn. App. Jan. 14, 2013), </w:t>
      </w:r>
      <w:r w:rsidRPr="00756D04">
        <w:rPr>
          <w:b/>
          <w:bCs/>
          <w:i/>
          <w:szCs w:val="26"/>
        </w:rPr>
        <w:t xml:space="preserve">review granted </w:t>
      </w:r>
      <w:r w:rsidRPr="00756D04">
        <w:rPr>
          <w:b/>
          <w:bCs/>
          <w:szCs w:val="26"/>
        </w:rPr>
        <w:t>(Minn. Apr. 16, 2013) (A12-0713).</w:t>
      </w:r>
    </w:p>
    <w:p w:rsidR="005040B7" w:rsidRPr="005040B7" w:rsidRDefault="005040B7" w:rsidP="005040B7">
      <w:pPr>
        <w:outlineLvl w:val="3"/>
        <w:rPr>
          <w:b/>
          <w:bCs/>
          <w:szCs w:val="26"/>
        </w:rPr>
      </w:pPr>
      <w:r w:rsidRPr="00756D04">
        <w:rPr>
          <w:b/>
          <w:bCs/>
          <w:szCs w:val="26"/>
        </w:rPr>
        <w:tab/>
      </w:r>
      <w:r w:rsidRPr="00756D04">
        <w:rPr>
          <w:szCs w:val="26"/>
        </w:rPr>
        <w:t>A claim of tortious interference with prospective advantage—also referred to as tortious interference with prospective economic advantage, tortious interference with business expectancy, wrongful interference with business relations or relationships, tortious interference with prospective contractual relations or relationships, and wrongful interference with prospective contractual relations or relationships—is a valid tort claim under Minnesota law.</w:t>
      </w:r>
    </w:p>
    <w:p w:rsidR="00756ABC" w:rsidRDefault="00756ABC" w:rsidP="00756ABC">
      <w:pPr>
        <w:outlineLvl w:val="3"/>
        <w:rPr>
          <w:b/>
          <w:bCs/>
          <w:i/>
          <w:szCs w:val="26"/>
        </w:rPr>
      </w:pPr>
    </w:p>
    <w:p w:rsidR="00756ABC" w:rsidRPr="005E7D92" w:rsidRDefault="00756ABC" w:rsidP="005E7D92">
      <w:pPr>
        <w:suppressAutoHyphens w:val="0"/>
        <w:jc w:val="left"/>
        <w:rPr>
          <w:b/>
          <w:bCs/>
          <w:i/>
          <w:szCs w:val="26"/>
        </w:rPr>
      </w:pPr>
      <w:r w:rsidRPr="00E21296">
        <w:rPr>
          <w:b/>
          <w:bCs/>
          <w:i/>
          <w:szCs w:val="26"/>
        </w:rPr>
        <w:t>Grady v. Green Acres, Inc.</w:t>
      </w:r>
      <w:r w:rsidRPr="00E21296">
        <w:rPr>
          <w:b/>
          <w:bCs/>
          <w:szCs w:val="26"/>
        </w:rPr>
        <w:t xml:space="preserve">, </w:t>
      </w:r>
      <w:r>
        <w:rPr>
          <w:b/>
          <w:bCs/>
          <w:szCs w:val="26"/>
        </w:rPr>
        <w:t xml:space="preserve">826 </w:t>
      </w:r>
      <w:r w:rsidRPr="00E21296">
        <w:rPr>
          <w:b/>
          <w:bCs/>
          <w:szCs w:val="26"/>
        </w:rPr>
        <w:t xml:space="preserve">N.W.2d </w:t>
      </w:r>
      <w:r>
        <w:rPr>
          <w:b/>
          <w:bCs/>
          <w:szCs w:val="26"/>
        </w:rPr>
        <w:t xml:space="preserve">547 </w:t>
      </w:r>
      <w:r w:rsidRPr="00E21296">
        <w:rPr>
          <w:b/>
          <w:bCs/>
          <w:szCs w:val="26"/>
        </w:rPr>
        <w:t>(Minn. App. Feb. 4, 2013) (A12-0885).</w:t>
      </w:r>
    </w:p>
    <w:p w:rsidR="00756ABC" w:rsidRDefault="00756ABC" w:rsidP="00756ABC">
      <w:pPr>
        <w:rPr>
          <w:szCs w:val="26"/>
        </w:rPr>
      </w:pPr>
      <w:r w:rsidRPr="00E21296">
        <w:rPr>
          <w:b/>
          <w:szCs w:val="26"/>
        </w:rPr>
        <w:tab/>
      </w:r>
      <w:r w:rsidRPr="00E21296">
        <w:rPr>
          <w:szCs w:val="26"/>
        </w:rPr>
        <w:t>Because snow tubing is an inherently dangerous sport, primary assumption of the risk precludes others’ liability for injuries to adults that result from their participation in the sport.</w:t>
      </w:r>
    </w:p>
    <w:p w:rsidR="007B36E1" w:rsidRDefault="007B36E1" w:rsidP="00756ABC">
      <w:pPr>
        <w:rPr>
          <w:szCs w:val="26"/>
        </w:rPr>
      </w:pPr>
    </w:p>
    <w:p w:rsidR="007B36E1" w:rsidRPr="00756D04" w:rsidRDefault="007B36E1" w:rsidP="007B36E1">
      <w:pPr>
        <w:rPr>
          <w:b/>
          <w:szCs w:val="26"/>
        </w:rPr>
      </w:pPr>
      <w:r w:rsidRPr="00756D04">
        <w:rPr>
          <w:b/>
          <w:i/>
          <w:szCs w:val="26"/>
        </w:rPr>
        <w:t xml:space="preserve">Graphic </w:t>
      </w:r>
      <w:r>
        <w:rPr>
          <w:b/>
          <w:i/>
          <w:szCs w:val="26"/>
        </w:rPr>
        <w:t>Commc’ns</w:t>
      </w:r>
      <w:r w:rsidRPr="00756D04">
        <w:rPr>
          <w:b/>
          <w:i/>
          <w:szCs w:val="26"/>
        </w:rPr>
        <w:t xml:space="preserve"> Lo</w:t>
      </w:r>
      <w:r>
        <w:rPr>
          <w:b/>
          <w:i/>
          <w:szCs w:val="26"/>
        </w:rPr>
        <w:t>cal 1B Health &amp; Welfare Fund “A</w:t>
      </w:r>
      <w:r w:rsidRPr="00756D04">
        <w:rPr>
          <w:b/>
          <w:i/>
          <w:szCs w:val="26"/>
        </w:rPr>
        <w:t>” v. CVS Caremark Corp</w:t>
      </w:r>
      <w:r>
        <w:rPr>
          <w:b/>
          <w:i/>
          <w:szCs w:val="26"/>
        </w:rPr>
        <w:t>.</w:t>
      </w:r>
      <w:r w:rsidRPr="00756D04">
        <w:rPr>
          <w:b/>
          <w:szCs w:val="26"/>
        </w:rPr>
        <w:t xml:space="preserve">, </w:t>
      </w:r>
      <w:r>
        <w:rPr>
          <w:b/>
          <w:szCs w:val="26"/>
        </w:rPr>
        <w:t>833</w:t>
      </w:r>
      <w:r w:rsidRPr="00756D04">
        <w:rPr>
          <w:b/>
          <w:szCs w:val="26"/>
        </w:rPr>
        <w:t xml:space="preserve"> N.W.2d </w:t>
      </w:r>
      <w:r>
        <w:rPr>
          <w:b/>
          <w:szCs w:val="26"/>
        </w:rPr>
        <w:t>403</w:t>
      </w:r>
      <w:r w:rsidRPr="00756D04">
        <w:rPr>
          <w:b/>
          <w:szCs w:val="26"/>
        </w:rPr>
        <w:t xml:space="preserve"> (Minn. App. May 6, 2013)</w:t>
      </w:r>
      <w:r>
        <w:rPr>
          <w:b/>
          <w:szCs w:val="26"/>
        </w:rPr>
        <w:t xml:space="preserve">, </w:t>
      </w:r>
      <w:r>
        <w:rPr>
          <w:b/>
          <w:i/>
          <w:szCs w:val="26"/>
        </w:rPr>
        <w:t>review granted</w:t>
      </w:r>
      <w:r>
        <w:rPr>
          <w:b/>
          <w:szCs w:val="26"/>
        </w:rPr>
        <w:t xml:space="preserve"> (Minn. July 31, 2013)</w:t>
      </w:r>
      <w:r w:rsidRPr="00756D04">
        <w:rPr>
          <w:b/>
          <w:szCs w:val="26"/>
        </w:rPr>
        <w:t xml:space="preserve"> (A12-1555).</w:t>
      </w:r>
    </w:p>
    <w:p w:rsidR="007B36E1" w:rsidRPr="00756D04" w:rsidRDefault="007B36E1" w:rsidP="007B36E1">
      <w:pPr>
        <w:rPr>
          <w:szCs w:val="26"/>
        </w:rPr>
      </w:pPr>
      <w:r w:rsidRPr="00756D04">
        <w:rPr>
          <w:szCs w:val="26"/>
        </w:rPr>
        <w:tab/>
        <w:t>1.</w:t>
      </w:r>
      <w:r w:rsidRPr="00756D04">
        <w:rPr>
          <w:szCs w:val="26"/>
        </w:rPr>
        <w:tab/>
        <w:t>The Minnesota generic-prescription-drug substitution statute, Minn. Stat. § 151.21, subd. 4 (2012), does not give rise to an implied private right of action.</w:t>
      </w:r>
    </w:p>
    <w:p w:rsidR="007B36E1" w:rsidRPr="00E21296" w:rsidRDefault="007B36E1" w:rsidP="00756ABC">
      <w:pPr>
        <w:rPr>
          <w:szCs w:val="26"/>
        </w:rPr>
      </w:pPr>
      <w:r w:rsidRPr="00756D04">
        <w:rPr>
          <w:szCs w:val="26"/>
        </w:rPr>
        <w:tab/>
        <w:t>2.</w:t>
      </w:r>
      <w:r w:rsidRPr="00756D04">
        <w:rPr>
          <w:szCs w:val="26"/>
        </w:rPr>
        <w:tab/>
        <w:t>An action brought under Minn. Stat. § 325F.69, subd. 1 (2012), of the Minnesota Prevention of Consumer Fraud Act, Minn. Stat. § 325F.68-70 (2012), and the private-attorney-general statute, Minn. Stat. § 8.31, subd. 3a (2012), alleging that pharmacies failed to pass on cost savings when dispensing generic prescription drugs in place of brand-name prescription drugs as mandated by law, survives a motion to dismiss under Minn. R. Civ. P. 12 when the complaint alleges misrepresen</w:t>
      </w:r>
      <w:r>
        <w:rPr>
          <w:szCs w:val="26"/>
        </w:rPr>
        <w:t>tations that damaged consumers.</w:t>
      </w:r>
    </w:p>
    <w:p w:rsidR="00756ABC" w:rsidRDefault="00756ABC" w:rsidP="00756ABC">
      <w:pPr>
        <w:outlineLvl w:val="3"/>
        <w:rPr>
          <w:b/>
          <w:bCs/>
          <w:i/>
          <w:szCs w:val="26"/>
        </w:rPr>
      </w:pPr>
    </w:p>
    <w:p w:rsidR="00756ABC" w:rsidRPr="006400C5" w:rsidRDefault="00756ABC" w:rsidP="00756ABC">
      <w:pPr>
        <w:outlineLvl w:val="3"/>
        <w:rPr>
          <w:b/>
          <w:bCs/>
          <w:szCs w:val="26"/>
        </w:rPr>
      </w:pPr>
      <w:r w:rsidRPr="006400C5">
        <w:rPr>
          <w:b/>
          <w:bCs/>
          <w:i/>
          <w:szCs w:val="26"/>
        </w:rPr>
        <w:t>Kellogg v. Finnegan</w:t>
      </w:r>
      <w:r w:rsidRPr="006400C5">
        <w:rPr>
          <w:b/>
          <w:bCs/>
          <w:szCs w:val="26"/>
        </w:rPr>
        <w:t xml:space="preserve">, </w:t>
      </w:r>
      <w:r>
        <w:rPr>
          <w:b/>
          <w:bCs/>
          <w:szCs w:val="26"/>
        </w:rPr>
        <w:t>823</w:t>
      </w:r>
      <w:r w:rsidRPr="006400C5">
        <w:rPr>
          <w:b/>
          <w:bCs/>
          <w:szCs w:val="26"/>
        </w:rPr>
        <w:t xml:space="preserve"> N.W.2d </w:t>
      </w:r>
      <w:r>
        <w:rPr>
          <w:b/>
          <w:bCs/>
          <w:szCs w:val="26"/>
        </w:rPr>
        <w:t>454</w:t>
      </w:r>
      <w:r w:rsidRPr="006400C5">
        <w:rPr>
          <w:b/>
          <w:bCs/>
          <w:szCs w:val="26"/>
        </w:rPr>
        <w:t xml:space="preserve"> (Minn. App. Nov. 13, 2012) (A12-0799).</w:t>
      </w:r>
    </w:p>
    <w:p w:rsidR="00756ABC" w:rsidRPr="006400C5" w:rsidRDefault="00756ABC" w:rsidP="00756ABC">
      <w:pPr>
        <w:outlineLvl w:val="3"/>
        <w:rPr>
          <w:b/>
          <w:bCs/>
          <w:szCs w:val="26"/>
        </w:rPr>
      </w:pPr>
      <w:r w:rsidRPr="006400C5">
        <w:rPr>
          <w:szCs w:val="26"/>
        </w:rPr>
        <w:tab/>
        <w:t>In the context of a defendant’s summary judgment motion in a negligence case, evidence that the defendant fell asleep while driving after proceeding for only a short time may require that a jury determine whether the aggregate of facts known by the driver shows that a jury could reasonably determine that the sleep was foreseeable.</w:t>
      </w:r>
    </w:p>
    <w:p w:rsidR="00756ABC" w:rsidRDefault="00756ABC" w:rsidP="003856A1">
      <w:pPr>
        <w:outlineLvl w:val="3"/>
        <w:rPr>
          <w:b/>
          <w:bCs/>
          <w:i/>
          <w:szCs w:val="26"/>
        </w:rPr>
      </w:pPr>
    </w:p>
    <w:p w:rsidR="003856A1" w:rsidRPr="006400C5" w:rsidRDefault="003856A1" w:rsidP="003856A1">
      <w:pPr>
        <w:outlineLvl w:val="3"/>
        <w:rPr>
          <w:b/>
          <w:bCs/>
          <w:szCs w:val="26"/>
        </w:rPr>
      </w:pPr>
      <w:r w:rsidRPr="006400C5">
        <w:rPr>
          <w:b/>
          <w:bCs/>
          <w:i/>
          <w:szCs w:val="26"/>
        </w:rPr>
        <w:t>Kolberg-Pioneer, Inc. v. Belgrade Steel Tank Co.</w:t>
      </w:r>
      <w:r w:rsidRPr="006400C5">
        <w:rPr>
          <w:b/>
          <w:bCs/>
          <w:szCs w:val="26"/>
        </w:rPr>
        <w:t xml:space="preserve">, </w:t>
      </w:r>
      <w:r>
        <w:rPr>
          <w:b/>
          <w:bCs/>
          <w:szCs w:val="26"/>
        </w:rPr>
        <w:t>823</w:t>
      </w:r>
      <w:r w:rsidRPr="006400C5">
        <w:rPr>
          <w:b/>
          <w:bCs/>
          <w:szCs w:val="26"/>
        </w:rPr>
        <w:t xml:space="preserve"> N.W.2d </w:t>
      </w:r>
      <w:r>
        <w:rPr>
          <w:b/>
          <w:bCs/>
          <w:szCs w:val="26"/>
        </w:rPr>
        <w:t xml:space="preserve">669 </w:t>
      </w:r>
      <w:r w:rsidRPr="006400C5">
        <w:rPr>
          <w:b/>
          <w:bCs/>
          <w:szCs w:val="26"/>
        </w:rPr>
        <w:t>(Minn. App. Oct. 22, 2012)</w:t>
      </w:r>
      <w:r>
        <w:rPr>
          <w:b/>
          <w:bCs/>
          <w:szCs w:val="26"/>
        </w:rPr>
        <w:t xml:space="preserve">, </w:t>
      </w:r>
      <w:r>
        <w:rPr>
          <w:b/>
          <w:bCs/>
          <w:i/>
          <w:szCs w:val="26"/>
        </w:rPr>
        <w:t xml:space="preserve">review denied </w:t>
      </w:r>
      <w:r>
        <w:rPr>
          <w:b/>
          <w:bCs/>
          <w:szCs w:val="26"/>
        </w:rPr>
        <w:t xml:space="preserve">(Minn. Jan. 15, 2013) </w:t>
      </w:r>
      <w:r w:rsidRPr="006400C5">
        <w:rPr>
          <w:b/>
          <w:bCs/>
          <w:szCs w:val="26"/>
        </w:rPr>
        <w:t xml:space="preserve">(A12-0538).  </w:t>
      </w:r>
    </w:p>
    <w:p w:rsidR="003856A1" w:rsidRDefault="003856A1" w:rsidP="003856A1">
      <w:pPr>
        <w:outlineLvl w:val="3"/>
        <w:rPr>
          <w:szCs w:val="26"/>
        </w:rPr>
      </w:pPr>
      <w:r w:rsidRPr="006400C5">
        <w:rPr>
          <w:b/>
          <w:bCs/>
          <w:szCs w:val="26"/>
        </w:rPr>
        <w:tab/>
      </w:r>
      <w:r w:rsidRPr="006400C5">
        <w:rPr>
          <w:szCs w:val="26"/>
        </w:rPr>
        <w:t xml:space="preserve">Minnesota law applies to a downstream seller’s common-law indemnity claim against a Minnesota manufacturer when the indemnity claim arises from a strict-liability claim asserted against the seller for the sale of the manufacturer’s product in a different state.  </w:t>
      </w:r>
    </w:p>
    <w:p w:rsidR="00756ABC" w:rsidRDefault="00756ABC" w:rsidP="003856A1">
      <w:pPr>
        <w:outlineLvl w:val="3"/>
        <w:rPr>
          <w:szCs w:val="26"/>
        </w:rPr>
      </w:pPr>
    </w:p>
    <w:p w:rsidR="00B00726" w:rsidRDefault="00B00726" w:rsidP="005E7D92">
      <w:pPr>
        <w:suppressAutoHyphens w:val="0"/>
        <w:jc w:val="left"/>
        <w:rPr>
          <w:b/>
          <w:bCs/>
          <w:i/>
          <w:szCs w:val="26"/>
        </w:rPr>
      </w:pPr>
    </w:p>
    <w:p w:rsidR="00756ABC" w:rsidRPr="005E7D92" w:rsidRDefault="00756ABC" w:rsidP="008A704B">
      <w:pPr>
        <w:suppressAutoHyphens w:val="0"/>
        <w:rPr>
          <w:b/>
          <w:bCs/>
          <w:i/>
          <w:szCs w:val="26"/>
        </w:rPr>
      </w:pPr>
      <w:r w:rsidRPr="00A93731">
        <w:rPr>
          <w:b/>
          <w:bCs/>
          <w:i/>
          <w:szCs w:val="26"/>
        </w:rPr>
        <w:t>Lamere</w:t>
      </w:r>
      <w:r>
        <w:rPr>
          <w:b/>
          <w:bCs/>
          <w:i/>
          <w:szCs w:val="26"/>
        </w:rPr>
        <w:t xml:space="preserve"> v. St. Jude Med.</w:t>
      </w:r>
      <w:r w:rsidRPr="00A93731">
        <w:rPr>
          <w:b/>
          <w:bCs/>
          <w:i/>
          <w:szCs w:val="26"/>
        </w:rPr>
        <w:t>, Inc.</w:t>
      </w:r>
      <w:r w:rsidRPr="00A93731">
        <w:rPr>
          <w:b/>
          <w:bCs/>
          <w:szCs w:val="26"/>
        </w:rPr>
        <w:t xml:space="preserve">, </w:t>
      </w:r>
      <w:r>
        <w:rPr>
          <w:b/>
          <w:bCs/>
          <w:szCs w:val="26"/>
        </w:rPr>
        <w:t xml:space="preserve">827 </w:t>
      </w:r>
      <w:r w:rsidRPr="00A93731">
        <w:rPr>
          <w:b/>
          <w:bCs/>
          <w:szCs w:val="26"/>
        </w:rPr>
        <w:t xml:space="preserve">N.W.2d </w:t>
      </w:r>
      <w:r>
        <w:rPr>
          <w:b/>
          <w:bCs/>
          <w:szCs w:val="26"/>
        </w:rPr>
        <w:t>782</w:t>
      </w:r>
      <w:r w:rsidRPr="00A93731">
        <w:rPr>
          <w:b/>
          <w:bCs/>
          <w:szCs w:val="26"/>
        </w:rPr>
        <w:t xml:space="preserve"> (Minn. App. Feb. 19, 2013</w:t>
      </w:r>
      <w:r>
        <w:rPr>
          <w:b/>
          <w:bCs/>
          <w:szCs w:val="26"/>
        </w:rPr>
        <w:t>) (A12-0609).</w:t>
      </w:r>
    </w:p>
    <w:p w:rsidR="00756ABC" w:rsidRPr="00A93731" w:rsidRDefault="00756ABC" w:rsidP="00756ABC">
      <w:pPr>
        <w:outlineLvl w:val="3"/>
        <w:rPr>
          <w:b/>
          <w:bCs/>
          <w:szCs w:val="26"/>
        </w:rPr>
      </w:pPr>
      <w:r w:rsidRPr="00A93731">
        <w:rPr>
          <w:bCs/>
          <w:szCs w:val="26"/>
        </w:rPr>
        <w:tab/>
        <w:t>1.</w:t>
      </w:r>
      <w:r w:rsidRPr="00A93731">
        <w:rPr>
          <w:bCs/>
          <w:szCs w:val="26"/>
        </w:rPr>
        <w:tab/>
      </w:r>
      <w:r w:rsidRPr="00A93731">
        <w:rPr>
          <w:szCs w:val="26"/>
        </w:rPr>
        <w:t>Pursuant to Minn. Stat. § 573.02 (2012), the statute of limitations on a wrongful-death claim arising out of an alleged product defect begins to run at the time the alleged wrongdoing occurred, not at the time the decedent discovered or could have discovered his injury.</w:t>
      </w:r>
    </w:p>
    <w:p w:rsidR="00756ABC" w:rsidRPr="00A93731" w:rsidRDefault="00756ABC" w:rsidP="00756ABC">
      <w:pPr>
        <w:outlineLvl w:val="3"/>
        <w:rPr>
          <w:szCs w:val="26"/>
        </w:rPr>
      </w:pPr>
      <w:r w:rsidRPr="00A93731">
        <w:rPr>
          <w:b/>
          <w:bCs/>
          <w:szCs w:val="26"/>
        </w:rPr>
        <w:tab/>
      </w:r>
      <w:r w:rsidRPr="00A93731">
        <w:rPr>
          <w:bCs/>
          <w:szCs w:val="26"/>
        </w:rPr>
        <w:t>2</w:t>
      </w:r>
      <w:r w:rsidRPr="00A93731">
        <w:rPr>
          <w:szCs w:val="26"/>
        </w:rPr>
        <w:t>.</w:t>
      </w:r>
      <w:r w:rsidRPr="00A93731">
        <w:rPr>
          <w:szCs w:val="26"/>
        </w:rPr>
        <w:tab/>
        <w:t xml:space="preserve">To successfully plead a parallel claim to avoid federal preemption, a plaintiff must do more than merely cite to a federal Good Management Practice (GMP) that may have been violated.  </w:t>
      </w:r>
    </w:p>
    <w:p w:rsidR="00756ABC" w:rsidRPr="00756ABC" w:rsidRDefault="00756ABC" w:rsidP="003856A1">
      <w:pPr>
        <w:outlineLvl w:val="3"/>
        <w:rPr>
          <w:szCs w:val="26"/>
        </w:rPr>
      </w:pPr>
      <w:r w:rsidRPr="00A93731">
        <w:rPr>
          <w:szCs w:val="26"/>
        </w:rPr>
        <w:tab/>
        <w:t>3.</w:t>
      </w:r>
      <w:r w:rsidRPr="00A93731">
        <w:rPr>
          <w:szCs w:val="26"/>
        </w:rPr>
        <w:tab/>
        <w:t>State common-law strict-liability claims impose general requirements that are different from federal device-specific requirements and therefore are preempted by 21 U.S.C. § 360k(a) (2006).</w:t>
      </w:r>
    </w:p>
    <w:p w:rsidR="003856A1" w:rsidRDefault="003856A1" w:rsidP="003856A1">
      <w:pPr>
        <w:suppressAutoHyphens w:val="0"/>
        <w:rPr>
          <w:b/>
          <w:u w:val="single"/>
        </w:rPr>
      </w:pPr>
    </w:p>
    <w:p w:rsidR="003856A1" w:rsidRPr="006400C5" w:rsidRDefault="003856A1" w:rsidP="003856A1">
      <w:pPr>
        <w:outlineLvl w:val="3"/>
        <w:rPr>
          <w:b/>
          <w:bCs/>
          <w:szCs w:val="26"/>
        </w:rPr>
      </w:pPr>
      <w:r w:rsidRPr="006400C5">
        <w:rPr>
          <w:b/>
          <w:bCs/>
          <w:i/>
          <w:szCs w:val="26"/>
        </w:rPr>
        <w:t>O’Brien v. Dombeck</w:t>
      </w:r>
      <w:r w:rsidRPr="006400C5">
        <w:rPr>
          <w:b/>
          <w:bCs/>
          <w:szCs w:val="26"/>
        </w:rPr>
        <w:t xml:space="preserve">, </w:t>
      </w:r>
      <w:r>
        <w:rPr>
          <w:b/>
          <w:bCs/>
          <w:szCs w:val="26"/>
        </w:rPr>
        <w:t>823</w:t>
      </w:r>
      <w:r w:rsidRPr="006400C5">
        <w:rPr>
          <w:b/>
          <w:bCs/>
          <w:szCs w:val="26"/>
        </w:rPr>
        <w:t xml:space="preserve"> N.W.2d </w:t>
      </w:r>
      <w:r>
        <w:rPr>
          <w:b/>
          <w:bCs/>
          <w:szCs w:val="26"/>
        </w:rPr>
        <w:t xml:space="preserve">895 </w:t>
      </w:r>
      <w:r w:rsidRPr="006400C5">
        <w:rPr>
          <w:b/>
          <w:bCs/>
          <w:szCs w:val="26"/>
        </w:rPr>
        <w:t>(Minn. App. Dec. 3, 201</w:t>
      </w:r>
      <w:r>
        <w:rPr>
          <w:b/>
          <w:bCs/>
          <w:szCs w:val="26"/>
        </w:rPr>
        <w:t>2) (A12-0984).</w:t>
      </w:r>
    </w:p>
    <w:p w:rsidR="003856A1" w:rsidRPr="006400C5" w:rsidRDefault="003856A1" w:rsidP="003856A1">
      <w:pPr>
        <w:ind w:firstLine="720"/>
        <w:outlineLvl w:val="3"/>
        <w:rPr>
          <w:b/>
          <w:bCs/>
          <w:szCs w:val="26"/>
        </w:rPr>
      </w:pPr>
      <w:r w:rsidRPr="006400C5">
        <w:rPr>
          <w:szCs w:val="26"/>
        </w:rPr>
        <w:t xml:space="preserve">When two or more parties are severally liable on a judgment, Minn. Stat. § 604.02, subd. 2, authorizes reallocation of the uncollectible portion of a party’s equitable share of the judgment.  District courts are not required to allocate costs and disbursements according to each party’s percentage of fault.  </w:t>
      </w:r>
      <w:r w:rsidRPr="006400C5">
        <w:rPr>
          <w:i/>
          <w:szCs w:val="26"/>
        </w:rPr>
        <w:t xml:space="preserve">See </w:t>
      </w:r>
      <w:r w:rsidRPr="006400C5">
        <w:rPr>
          <w:szCs w:val="26"/>
        </w:rPr>
        <w:t>Minn. Stat. § 604.02 (2010).</w:t>
      </w:r>
    </w:p>
    <w:p w:rsidR="00373913" w:rsidRDefault="00373913" w:rsidP="003856A1">
      <w:pPr>
        <w:rPr>
          <w:b/>
          <w:szCs w:val="26"/>
        </w:rPr>
      </w:pPr>
    </w:p>
    <w:p w:rsidR="00D15D04" w:rsidRPr="00EE627A" w:rsidRDefault="00D15D04" w:rsidP="00037F2A">
      <w:pPr>
        <w:rPr>
          <w:szCs w:val="26"/>
        </w:rPr>
      </w:pPr>
      <w:r w:rsidRPr="00756D04">
        <w:rPr>
          <w:b/>
          <w:i/>
          <w:szCs w:val="26"/>
        </w:rPr>
        <w:t>Poppler</w:t>
      </w:r>
      <w:r>
        <w:rPr>
          <w:b/>
          <w:i/>
          <w:szCs w:val="26"/>
        </w:rPr>
        <w:t xml:space="preserve"> </w:t>
      </w:r>
      <w:r w:rsidRPr="00756D04">
        <w:rPr>
          <w:b/>
          <w:i/>
          <w:szCs w:val="26"/>
        </w:rPr>
        <w:t>v. Wright Hennepin Coop</w:t>
      </w:r>
      <w:r>
        <w:rPr>
          <w:b/>
          <w:i/>
          <w:szCs w:val="26"/>
        </w:rPr>
        <w:t>.</w:t>
      </w:r>
      <w:r w:rsidRPr="00756D04">
        <w:rPr>
          <w:b/>
          <w:i/>
          <w:szCs w:val="26"/>
        </w:rPr>
        <w:t xml:space="preserve"> Electric Ass</w:t>
      </w:r>
      <w:r>
        <w:rPr>
          <w:b/>
          <w:i/>
          <w:szCs w:val="26"/>
        </w:rPr>
        <w:t>’</w:t>
      </w:r>
      <w:r w:rsidRPr="00756D04">
        <w:rPr>
          <w:b/>
          <w:i/>
          <w:szCs w:val="26"/>
        </w:rPr>
        <w:t>n</w:t>
      </w:r>
      <w:r w:rsidRPr="00756D04">
        <w:rPr>
          <w:b/>
          <w:szCs w:val="26"/>
        </w:rPr>
        <w:t xml:space="preserve">, </w:t>
      </w:r>
      <w:r>
        <w:rPr>
          <w:b/>
          <w:szCs w:val="26"/>
        </w:rPr>
        <w:t>834</w:t>
      </w:r>
      <w:r w:rsidRPr="00756D04">
        <w:rPr>
          <w:b/>
          <w:szCs w:val="26"/>
        </w:rPr>
        <w:t xml:space="preserve"> N.W.2d </w:t>
      </w:r>
      <w:r>
        <w:rPr>
          <w:b/>
          <w:szCs w:val="26"/>
        </w:rPr>
        <w:t>527</w:t>
      </w:r>
      <w:r w:rsidRPr="00756D04">
        <w:rPr>
          <w:b/>
          <w:szCs w:val="26"/>
        </w:rPr>
        <w:t xml:space="preserve"> (Minn. App. July 19, 2013)</w:t>
      </w:r>
      <w:r>
        <w:rPr>
          <w:b/>
          <w:szCs w:val="26"/>
        </w:rPr>
        <w:t xml:space="preserve">, </w:t>
      </w:r>
      <w:r>
        <w:rPr>
          <w:b/>
          <w:i/>
          <w:szCs w:val="26"/>
        </w:rPr>
        <w:t>review granted in part, denied in part</w:t>
      </w:r>
      <w:r>
        <w:rPr>
          <w:b/>
          <w:szCs w:val="26"/>
        </w:rPr>
        <w:t xml:space="preserve"> (Minn. Sept. 15, 2013)</w:t>
      </w:r>
      <w:r w:rsidRPr="00756D04">
        <w:rPr>
          <w:b/>
          <w:szCs w:val="26"/>
        </w:rPr>
        <w:t xml:space="preserve"> (A12-1615).</w:t>
      </w:r>
      <w:r w:rsidR="00EE627A">
        <w:rPr>
          <w:b/>
          <w:szCs w:val="26"/>
        </w:rPr>
        <w:t xml:space="preserve"> </w:t>
      </w:r>
      <w:r w:rsidR="00EE627A">
        <w:rPr>
          <w:szCs w:val="26"/>
        </w:rPr>
        <w:t xml:space="preserve">(See page </w:t>
      </w:r>
      <w:r w:rsidR="005729FA">
        <w:rPr>
          <w:szCs w:val="26"/>
        </w:rPr>
        <w:t>4</w:t>
      </w:r>
      <w:r w:rsidR="00EE627A">
        <w:rPr>
          <w:szCs w:val="26"/>
        </w:rPr>
        <w:t xml:space="preserve"> for additional syllabus points for this case.)</w:t>
      </w:r>
    </w:p>
    <w:p w:rsidR="00D15D04" w:rsidRPr="00756D04" w:rsidRDefault="00D15D04" w:rsidP="00037F2A">
      <w:pPr>
        <w:rPr>
          <w:szCs w:val="26"/>
        </w:rPr>
      </w:pPr>
      <w:r w:rsidRPr="00756D04">
        <w:rPr>
          <w:szCs w:val="26"/>
        </w:rPr>
        <w:tab/>
        <w:t>2.</w:t>
      </w:r>
      <w:r w:rsidRPr="00756D04">
        <w:rPr>
          <w:szCs w:val="26"/>
        </w:rPr>
        <w:tab/>
        <w:t>A plaintiff seeking damages for lost profits must prove the existence and amount of the plaintiff’s decrease in revenues as well as the existence or non-existence and amount of any offsetting decrease in the plaintiff’s expenses.  A plaintiff seeking damages for a dairy farm’s losses due to stray voltage is not entitled to damages solely upon proof of “milk loss” (</w:t>
      </w:r>
      <w:r w:rsidRPr="00756D04">
        <w:rPr>
          <w:i/>
          <w:szCs w:val="26"/>
        </w:rPr>
        <w:t>i.e.</w:t>
      </w:r>
      <w:r w:rsidRPr="00756D04">
        <w:rPr>
          <w:szCs w:val="26"/>
        </w:rPr>
        <w:t>, decreased revenues due to decreased milk production) without any evidence of the existence or non-existence and amount of any offsetting decrease in the plaintiff’s expenses.</w:t>
      </w:r>
    </w:p>
    <w:p w:rsidR="003856A1" w:rsidRDefault="00D15D04" w:rsidP="00D15D04">
      <w:pPr>
        <w:rPr>
          <w:szCs w:val="26"/>
        </w:rPr>
      </w:pPr>
      <w:r w:rsidRPr="00756D04">
        <w:rPr>
          <w:szCs w:val="26"/>
        </w:rPr>
        <w:tab/>
        <w:t>4.</w:t>
      </w:r>
      <w:r w:rsidRPr="00756D04">
        <w:rPr>
          <w:szCs w:val="26"/>
        </w:rPr>
        <w:tab/>
        <w:t>The presence of stray electrical voltage does not give rise to a cause of action for trespass.</w:t>
      </w:r>
    </w:p>
    <w:p w:rsidR="00CC261B" w:rsidRDefault="00D15D04" w:rsidP="00D15D04">
      <w:pPr>
        <w:rPr>
          <w:szCs w:val="26"/>
        </w:rPr>
      </w:pPr>
      <w:r>
        <w:rPr>
          <w:szCs w:val="26"/>
        </w:rPr>
        <w:t xml:space="preserve"> </w:t>
      </w:r>
    </w:p>
    <w:p w:rsidR="00CC261B" w:rsidRPr="00756D04" w:rsidRDefault="00CC261B" w:rsidP="00CC261B">
      <w:pPr>
        <w:rPr>
          <w:b/>
        </w:rPr>
      </w:pPr>
      <w:r w:rsidRPr="00756D04">
        <w:rPr>
          <w:b/>
          <w:i/>
        </w:rPr>
        <w:t>Staab v. Diocese of St. Cloud</w:t>
      </w:r>
      <w:r w:rsidRPr="00756D04">
        <w:rPr>
          <w:b/>
        </w:rPr>
        <w:t xml:space="preserve">, </w:t>
      </w:r>
      <w:r>
        <w:rPr>
          <w:b/>
        </w:rPr>
        <w:t>830</w:t>
      </w:r>
      <w:r w:rsidRPr="00756D04">
        <w:rPr>
          <w:b/>
        </w:rPr>
        <w:t xml:space="preserve"> N.W.2d </w:t>
      </w:r>
      <w:r>
        <w:rPr>
          <w:b/>
        </w:rPr>
        <w:t>40</w:t>
      </w:r>
      <w:r w:rsidRPr="00756D04">
        <w:rPr>
          <w:b/>
        </w:rPr>
        <w:t xml:space="preserve"> (Minn. App. Apr. 29, 2013)</w:t>
      </w:r>
      <w:r>
        <w:rPr>
          <w:b/>
        </w:rPr>
        <w:t xml:space="preserve">, </w:t>
      </w:r>
      <w:r>
        <w:rPr>
          <w:b/>
          <w:i/>
        </w:rPr>
        <w:t>review granted</w:t>
      </w:r>
      <w:r>
        <w:rPr>
          <w:b/>
        </w:rPr>
        <w:t xml:space="preserve"> (Minn. June 26, 2013)</w:t>
      </w:r>
      <w:r w:rsidRPr="00756D04">
        <w:rPr>
          <w:b/>
        </w:rPr>
        <w:t xml:space="preserve"> (A12-1575, A12-1972).</w:t>
      </w:r>
    </w:p>
    <w:p w:rsidR="00CC261B" w:rsidRPr="00756D04" w:rsidRDefault="00CC261B" w:rsidP="00CC261B">
      <w:pPr>
        <w:contextualSpacing/>
        <w:rPr>
          <w:szCs w:val="26"/>
        </w:rPr>
      </w:pPr>
      <w:r w:rsidRPr="00756D04">
        <w:rPr>
          <w:szCs w:val="26"/>
        </w:rPr>
        <w:tab/>
        <w:t>1.</w:t>
      </w:r>
      <w:r w:rsidRPr="00756D04">
        <w:rPr>
          <w:szCs w:val="26"/>
        </w:rPr>
        <w:tab/>
        <w:t>When a jury apportions fault to multiple tortfeasors, a district court may reallocate the uncollectible amount allocated to a non-defendant tortfeasor pursuant to the comparative-fault statute, Minn. Stat. § 604.02, subd. 2 (2012), following a motion for reallocation and a finding of uncollectibility.</w:t>
      </w:r>
    </w:p>
    <w:p w:rsidR="00B00726" w:rsidRDefault="00CC261B" w:rsidP="00B00726">
      <w:pPr>
        <w:contextualSpacing/>
        <w:rPr>
          <w:szCs w:val="26"/>
        </w:rPr>
      </w:pPr>
      <w:r w:rsidRPr="00756D04">
        <w:rPr>
          <w:szCs w:val="26"/>
        </w:rPr>
        <w:tab/>
        <w:t>2.</w:t>
      </w:r>
      <w:r w:rsidRPr="00756D04">
        <w:rPr>
          <w:szCs w:val="26"/>
        </w:rPr>
        <w:tab/>
        <w:t>When a district court reallocates a portion of a jury verdict from a non-defendant tortfeasor, the plaintiff is entitled to post-verdict interest on that portion from the date of the district court’s reallocation order.</w:t>
      </w:r>
    </w:p>
    <w:p w:rsidR="003856A1" w:rsidRPr="00B00726" w:rsidRDefault="003856A1" w:rsidP="00B00726">
      <w:pPr>
        <w:contextualSpacing/>
        <w:rPr>
          <w:szCs w:val="26"/>
        </w:rPr>
      </w:pPr>
      <w:r>
        <w:rPr>
          <w:b/>
          <w:u w:val="single"/>
        </w:rPr>
        <w:t>Unemployment Benefits</w:t>
      </w:r>
    </w:p>
    <w:p w:rsidR="00625402" w:rsidRPr="008D3794" w:rsidRDefault="00625402" w:rsidP="003856A1">
      <w:pPr>
        <w:pStyle w:val="FootnoteText"/>
        <w:tabs>
          <w:tab w:val="left" w:pos="720"/>
          <w:tab w:val="left" w:pos="1440"/>
          <w:tab w:val="left" w:pos="2160"/>
        </w:tabs>
        <w:rPr>
          <w:b/>
          <w:u w:val="single"/>
        </w:rPr>
      </w:pPr>
    </w:p>
    <w:p w:rsidR="00A51E25" w:rsidRPr="00756D04" w:rsidRDefault="00A51E25" w:rsidP="00A51E25">
      <w:pPr>
        <w:rPr>
          <w:b/>
          <w:szCs w:val="26"/>
        </w:rPr>
      </w:pPr>
      <w:r>
        <w:rPr>
          <w:b/>
          <w:i/>
          <w:szCs w:val="26"/>
        </w:rPr>
        <w:t>Cont’l</w:t>
      </w:r>
      <w:r w:rsidRPr="00756D04">
        <w:rPr>
          <w:b/>
          <w:i/>
          <w:szCs w:val="26"/>
        </w:rPr>
        <w:t xml:space="preserve"> Hydraulics Inc</w:t>
      </w:r>
      <w:r>
        <w:rPr>
          <w:b/>
          <w:i/>
          <w:szCs w:val="26"/>
        </w:rPr>
        <w:t>.</w:t>
      </w:r>
      <w:r w:rsidRPr="00756D04">
        <w:rPr>
          <w:b/>
          <w:i/>
          <w:szCs w:val="26"/>
        </w:rPr>
        <w:t xml:space="preserve"> v. </w:t>
      </w:r>
      <w:r>
        <w:rPr>
          <w:b/>
          <w:i/>
          <w:szCs w:val="26"/>
        </w:rPr>
        <w:t>Dep’t of Emp’t &amp; Econ. Dev.</w:t>
      </w:r>
      <w:r w:rsidRPr="00756D04">
        <w:rPr>
          <w:b/>
          <w:szCs w:val="26"/>
        </w:rPr>
        <w:t xml:space="preserve">, </w:t>
      </w:r>
      <w:r>
        <w:rPr>
          <w:b/>
          <w:szCs w:val="26"/>
        </w:rPr>
        <w:t>832</w:t>
      </w:r>
      <w:r w:rsidRPr="00756D04">
        <w:rPr>
          <w:b/>
          <w:szCs w:val="26"/>
        </w:rPr>
        <w:t xml:space="preserve"> N.W.2d </w:t>
      </w:r>
      <w:r>
        <w:rPr>
          <w:b/>
          <w:szCs w:val="26"/>
        </w:rPr>
        <w:t>298</w:t>
      </w:r>
      <w:r w:rsidRPr="00756D04">
        <w:rPr>
          <w:b/>
          <w:szCs w:val="26"/>
        </w:rPr>
        <w:t xml:space="preserve"> (Minn. App. June 10, 2013) (A12-1654).</w:t>
      </w:r>
    </w:p>
    <w:p w:rsidR="003856A1" w:rsidRPr="00A51E25" w:rsidRDefault="00A51E25" w:rsidP="00A51E25">
      <w:pPr>
        <w:rPr>
          <w:b/>
          <w:szCs w:val="26"/>
        </w:rPr>
      </w:pPr>
      <w:r w:rsidRPr="00756D04">
        <w:rPr>
          <w:szCs w:val="26"/>
        </w:rPr>
        <w:tab/>
        <w:t>A portion of a predecessor employer’s experience-rating history is transferred to a successor employer if (1) the successor employer acquires a portion, but not all, of the predecessor employer’s organization, business, or workforce and (2) there is, at the time of the acquisition, substantially common management or control between the employers.</w:t>
      </w:r>
    </w:p>
    <w:p w:rsidR="00A51E25" w:rsidRDefault="00A51E25" w:rsidP="003856A1">
      <w:pPr>
        <w:pStyle w:val="FootnoteText"/>
        <w:tabs>
          <w:tab w:val="left" w:pos="720"/>
          <w:tab w:val="left" w:pos="1440"/>
          <w:tab w:val="left" w:pos="2160"/>
        </w:tabs>
      </w:pPr>
    </w:p>
    <w:p w:rsidR="00756ABC" w:rsidRPr="004A6FA4" w:rsidRDefault="00756ABC" w:rsidP="00756ABC">
      <w:pPr>
        <w:rPr>
          <w:b/>
          <w:bCs/>
          <w:szCs w:val="26"/>
        </w:rPr>
      </w:pPr>
      <w:r w:rsidRPr="004A6FA4">
        <w:rPr>
          <w:b/>
          <w:i/>
          <w:szCs w:val="26"/>
        </w:rPr>
        <w:t>Godbout v. D</w:t>
      </w:r>
      <w:r>
        <w:rPr>
          <w:b/>
          <w:i/>
          <w:szCs w:val="26"/>
        </w:rPr>
        <w:t>ep’t of Emp’t &amp; Econ. Dev.</w:t>
      </w:r>
      <w:r w:rsidRPr="004A6FA4">
        <w:rPr>
          <w:b/>
          <w:szCs w:val="26"/>
        </w:rPr>
        <w:t xml:space="preserve">, </w:t>
      </w:r>
      <w:r w:rsidRPr="004A6FA4">
        <w:rPr>
          <w:b/>
          <w:bCs/>
          <w:szCs w:val="26"/>
        </w:rPr>
        <w:t xml:space="preserve">827 N.W.2d 799 (Minn. App. Mar. 18, 2013) (A12-1283).  </w:t>
      </w:r>
    </w:p>
    <w:p w:rsidR="00756ABC" w:rsidRPr="004A6FA4" w:rsidRDefault="00756ABC" w:rsidP="00756ABC">
      <w:pPr>
        <w:rPr>
          <w:b/>
          <w:szCs w:val="26"/>
        </w:rPr>
      </w:pPr>
      <w:r w:rsidRPr="004A6FA4">
        <w:rPr>
          <w:b/>
          <w:bCs/>
          <w:szCs w:val="26"/>
        </w:rPr>
        <w:tab/>
      </w:r>
      <w:r w:rsidRPr="004A6FA4">
        <w:rPr>
          <w:szCs w:val="26"/>
        </w:rPr>
        <w:t>To satisfy the constitutional right to due process, a determination of overpayment of unemployment-insurance benefits by fraud must be preceded by clear notice to the recipient of the potential consequences of failing to maintain a current mailing address with the Department of Employment and Economic Development (DEED) after the receipt of benefits.  Absent such notice, the appeal period to challenge a determination of overpayment by fraud does not begin to run until the subject of the determination receives actual notice of the determination.</w:t>
      </w:r>
    </w:p>
    <w:p w:rsidR="00756ABC" w:rsidRDefault="00756ABC" w:rsidP="003856A1">
      <w:pPr>
        <w:outlineLvl w:val="3"/>
        <w:rPr>
          <w:b/>
          <w:bCs/>
          <w:i/>
          <w:szCs w:val="26"/>
        </w:rPr>
      </w:pPr>
    </w:p>
    <w:p w:rsidR="003856A1" w:rsidRPr="006400C5" w:rsidRDefault="003856A1" w:rsidP="003856A1">
      <w:pPr>
        <w:outlineLvl w:val="3"/>
        <w:rPr>
          <w:b/>
          <w:bCs/>
          <w:szCs w:val="26"/>
        </w:rPr>
      </w:pPr>
      <w:r w:rsidRPr="006400C5">
        <w:rPr>
          <w:b/>
          <w:bCs/>
          <w:i/>
          <w:szCs w:val="26"/>
        </w:rPr>
        <w:t>Thao v. Command Ctr</w:t>
      </w:r>
      <w:r>
        <w:rPr>
          <w:b/>
          <w:bCs/>
          <w:i/>
          <w:szCs w:val="26"/>
        </w:rPr>
        <w:t>.</w:t>
      </w:r>
      <w:r w:rsidRPr="006400C5">
        <w:rPr>
          <w:b/>
          <w:bCs/>
          <w:i/>
          <w:szCs w:val="26"/>
        </w:rPr>
        <w:t>, Inc.</w:t>
      </w:r>
      <w:r w:rsidRPr="006400C5">
        <w:rPr>
          <w:b/>
          <w:bCs/>
          <w:szCs w:val="26"/>
        </w:rPr>
        <w:t xml:space="preserve">, </w:t>
      </w:r>
      <w:r>
        <w:rPr>
          <w:b/>
          <w:bCs/>
          <w:szCs w:val="26"/>
        </w:rPr>
        <w:t>824</w:t>
      </w:r>
      <w:r w:rsidRPr="006400C5">
        <w:rPr>
          <w:b/>
          <w:bCs/>
          <w:szCs w:val="26"/>
        </w:rPr>
        <w:t xml:space="preserve"> N.W.2d </w:t>
      </w:r>
      <w:r>
        <w:rPr>
          <w:b/>
          <w:bCs/>
          <w:szCs w:val="26"/>
        </w:rPr>
        <w:t>1</w:t>
      </w:r>
      <w:r w:rsidRPr="006400C5">
        <w:rPr>
          <w:b/>
          <w:bCs/>
          <w:szCs w:val="26"/>
        </w:rPr>
        <w:t xml:space="preserve"> (Minn. App. Oct. 22, 2012) (A12-0068).  </w:t>
      </w:r>
    </w:p>
    <w:p w:rsidR="003856A1" w:rsidRDefault="003856A1" w:rsidP="003856A1">
      <w:pPr>
        <w:outlineLvl w:val="3"/>
        <w:rPr>
          <w:szCs w:val="26"/>
        </w:rPr>
      </w:pPr>
      <w:r w:rsidRPr="006400C5">
        <w:rPr>
          <w:b/>
          <w:bCs/>
          <w:szCs w:val="26"/>
        </w:rPr>
        <w:tab/>
      </w:r>
      <w:r w:rsidRPr="006400C5">
        <w:rPr>
          <w:szCs w:val="26"/>
        </w:rPr>
        <w:t xml:space="preserve">When an employer unilaterally and substantially decreases an employee’s hours of work, the employee has no duty to complain to the employer and give the employer an opportunity to correct the adverse change before the reduction in hours will be deemed to be a good reason to quit caused by the employer.  </w:t>
      </w:r>
    </w:p>
    <w:p w:rsidR="00D15D04" w:rsidRDefault="00D15D04" w:rsidP="003856A1">
      <w:pPr>
        <w:outlineLvl w:val="3"/>
        <w:rPr>
          <w:szCs w:val="26"/>
        </w:rPr>
      </w:pPr>
    </w:p>
    <w:p w:rsidR="00D15D04" w:rsidRPr="00756D04" w:rsidRDefault="00D15D04" w:rsidP="00D15D04">
      <w:pPr>
        <w:rPr>
          <w:b/>
          <w:szCs w:val="26"/>
        </w:rPr>
      </w:pPr>
      <w:r>
        <w:rPr>
          <w:b/>
          <w:i/>
          <w:szCs w:val="26"/>
        </w:rPr>
        <w:t>V</w:t>
      </w:r>
      <w:r w:rsidRPr="00756D04">
        <w:rPr>
          <w:b/>
          <w:i/>
          <w:szCs w:val="26"/>
        </w:rPr>
        <w:t>an de Werken v. Bell &amp; How</w:t>
      </w:r>
      <w:r>
        <w:rPr>
          <w:b/>
          <w:i/>
          <w:szCs w:val="26"/>
        </w:rPr>
        <w:t>ell</w:t>
      </w:r>
      <w:r w:rsidRPr="00756D04">
        <w:rPr>
          <w:b/>
          <w:i/>
          <w:szCs w:val="26"/>
        </w:rPr>
        <w:t>, LLC.</w:t>
      </w:r>
      <w:r w:rsidRPr="00756D04">
        <w:rPr>
          <w:b/>
          <w:szCs w:val="26"/>
        </w:rPr>
        <w:t xml:space="preserve">, </w:t>
      </w:r>
      <w:r>
        <w:rPr>
          <w:b/>
          <w:szCs w:val="26"/>
        </w:rPr>
        <w:t>834</w:t>
      </w:r>
      <w:r w:rsidRPr="00756D04">
        <w:rPr>
          <w:b/>
          <w:szCs w:val="26"/>
        </w:rPr>
        <w:t xml:space="preserve"> N.W.2d </w:t>
      </w:r>
      <w:r>
        <w:rPr>
          <w:b/>
          <w:szCs w:val="26"/>
        </w:rPr>
        <w:t>220</w:t>
      </w:r>
      <w:r w:rsidRPr="00756D04">
        <w:rPr>
          <w:b/>
          <w:szCs w:val="26"/>
        </w:rPr>
        <w:t xml:space="preserve"> (Minn. App. July 15, 2013) (A12-2194).</w:t>
      </w:r>
    </w:p>
    <w:p w:rsidR="00D15D04" w:rsidRDefault="00D15D04" w:rsidP="00D15D04">
      <w:pPr>
        <w:outlineLvl w:val="0"/>
        <w:rPr>
          <w:szCs w:val="26"/>
        </w:rPr>
      </w:pPr>
      <w:r w:rsidRPr="00756D04">
        <w:rPr>
          <w:szCs w:val="26"/>
        </w:rPr>
        <w:tab/>
        <w:t xml:space="preserve">When an applicant for unemployment benefits receives severance pay, it is error to apply severance-pay ineligibility to the period immediately following the applicant’s last day of employment if the applicant was not then receiving severance pay.     </w:t>
      </w:r>
    </w:p>
    <w:p w:rsidR="003856A1" w:rsidRDefault="003856A1" w:rsidP="003856A1">
      <w:pPr>
        <w:outlineLvl w:val="3"/>
        <w:rPr>
          <w:b/>
          <w:bCs/>
          <w:i/>
          <w:szCs w:val="26"/>
        </w:rPr>
      </w:pPr>
    </w:p>
    <w:p w:rsidR="003856A1" w:rsidRPr="006400C5" w:rsidRDefault="003856A1" w:rsidP="003856A1">
      <w:pPr>
        <w:outlineLvl w:val="3"/>
        <w:rPr>
          <w:b/>
          <w:bCs/>
          <w:szCs w:val="26"/>
        </w:rPr>
      </w:pPr>
      <w:r w:rsidRPr="006400C5">
        <w:rPr>
          <w:b/>
          <w:bCs/>
          <w:i/>
          <w:szCs w:val="26"/>
        </w:rPr>
        <w:t>Wiley v. Dolphin Staffing</w:t>
      </w:r>
      <w:r w:rsidR="003346B4">
        <w:rPr>
          <w:b/>
          <w:bCs/>
          <w:i/>
          <w:szCs w:val="26"/>
        </w:rPr>
        <w:t>–Dolphin Clerical Grp.</w:t>
      </w:r>
      <w:r w:rsidRPr="006400C5">
        <w:rPr>
          <w:b/>
          <w:bCs/>
          <w:szCs w:val="26"/>
        </w:rPr>
        <w:t xml:space="preserve">, </w:t>
      </w:r>
      <w:r>
        <w:rPr>
          <w:b/>
          <w:bCs/>
          <w:szCs w:val="26"/>
        </w:rPr>
        <w:t xml:space="preserve">825 N.W.2d 121 </w:t>
      </w:r>
      <w:r w:rsidRPr="006400C5">
        <w:rPr>
          <w:b/>
          <w:bCs/>
          <w:szCs w:val="26"/>
        </w:rPr>
        <w:t>(Minn. App. Nov. 13, 2012)</w:t>
      </w:r>
      <w:r>
        <w:rPr>
          <w:b/>
          <w:bCs/>
          <w:szCs w:val="26"/>
        </w:rPr>
        <w:t xml:space="preserve">, </w:t>
      </w:r>
      <w:r>
        <w:rPr>
          <w:b/>
          <w:bCs/>
          <w:i/>
          <w:szCs w:val="26"/>
        </w:rPr>
        <w:t xml:space="preserve">review denied </w:t>
      </w:r>
      <w:r>
        <w:rPr>
          <w:b/>
          <w:bCs/>
          <w:szCs w:val="26"/>
        </w:rPr>
        <w:t xml:space="preserve">(Minn. Jan. 29, 2013) </w:t>
      </w:r>
      <w:r w:rsidRPr="006400C5">
        <w:rPr>
          <w:b/>
          <w:bCs/>
          <w:szCs w:val="26"/>
        </w:rPr>
        <w:t>(A12-0383).</w:t>
      </w:r>
    </w:p>
    <w:p w:rsidR="003856A1" w:rsidRDefault="003856A1" w:rsidP="003856A1">
      <w:pPr>
        <w:pStyle w:val="ListBullet"/>
        <w:ind w:firstLine="720"/>
        <w:rPr>
          <w:szCs w:val="26"/>
        </w:rPr>
      </w:pPr>
      <w:r w:rsidRPr="006400C5">
        <w:rPr>
          <w:szCs w:val="26"/>
        </w:rPr>
        <w:t>Under Minn. Stat. § 268.095, subd. 1(3) (2010), an employee who gives notice of quitting to an employer in advance of separating from employment is deemed to have quit at the time she provides notice of quitting.</w:t>
      </w:r>
    </w:p>
    <w:p w:rsidR="007E6091" w:rsidRDefault="007E6091" w:rsidP="007E6091">
      <w:pPr>
        <w:pStyle w:val="ListBullet"/>
        <w:rPr>
          <w:szCs w:val="26"/>
        </w:rPr>
      </w:pPr>
    </w:p>
    <w:p w:rsidR="007B36E1" w:rsidRDefault="007B36E1">
      <w:pPr>
        <w:suppressAutoHyphens w:val="0"/>
        <w:jc w:val="left"/>
        <w:rPr>
          <w:b/>
          <w:i/>
          <w:szCs w:val="26"/>
        </w:rPr>
      </w:pPr>
      <w:r>
        <w:rPr>
          <w:b/>
          <w:i/>
          <w:szCs w:val="26"/>
        </w:rPr>
        <w:br w:type="page"/>
      </w:r>
    </w:p>
    <w:p w:rsidR="007E6091" w:rsidRPr="00756D04" w:rsidRDefault="007E6091" w:rsidP="007E6091">
      <w:pPr>
        <w:rPr>
          <w:b/>
          <w:szCs w:val="26"/>
        </w:rPr>
      </w:pPr>
      <w:r w:rsidRPr="00756D04">
        <w:rPr>
          <w:b/>
          <w:i/>
          <w:szCs w:val="26"/>
        </w:rPr>
        <w:t>Wiley v. Robert Half</w:t>
      </w:r>
      <w:r>
        <w:rPr>
          <w:b/>
          <w:i/>
          <w:szCs w:val="26"/>
        </w:rPr>
        <w:t>. Int’l, Inc.</w:t>
      </w:r>
      <w:r>
        <w:rPr>
          <w:b/>
          <w:szCs w:val="26"/>
        </w:rPr>
        <w:t>, 834</w:t>
      </w:r>
      <w:r w:rsidRPr="00756D04">
        <w:rPr>
          <w:b/>
          <w:szCs w:val="26"/>
        </w:rPr>
        <w:t xml:space="preserve"> N.W.2d </w:t>
      </w:r>
      <w:r>
        <w:rPr>
          <w:b/>
          <w:szCs w:val="26"/>
        </w:rPr>
        <w:t>567</w:t>
      </w:r>
      <w:r w:rsidRPr="00756D04">
        <w:rPr>
          <w:b/>
          <w:szCs w:val="26"/>
        </w:rPr>
        <w:t xml:space="preserve"> (Minn. App. July 22, 2013) (A12-2086).</w:t>
      </w:r>
    </w:p>
    <w:p w:rsidR="007E6091" w:rsidRDefault="007E6091" w:rsidP="007E6091">
      <w:pPr>
        <w:ind w:firstLine="720"/>
        <w:outlineLvl w:val="0"/>
        <w:rPr>
          <w:szCs w:val="26"/>
        </w:rPr>
      </w:pPr>
      <w:r w:rsidRPr="00756D04">
        <w:rPr>
          <w:szCs w:val="26"/>
        </w:rPr>
        <w:t xml:space="preserve">To be eligible for unemployment benefits under Minnesota Statutes section 268.095, subdivision 1(3) (2010), the unsuitability of employment must be at least one of the reasons the applicant quit the employment. </w:t>
      </w:r>
    </w:p>
    <w:p w:rsidR="003856A1" w:rsidRDefault="003856A1" w:rsidP="00756ABC">
      <w:pPr>
        <w:suppressAutoHyphens w:val="0"/>
        <w:rPr>
          <w:b/>
          <w:sz w:val="28"/>
          <w:szCs w:val="28"/>
        </w:rPr>
      </w:pPr>
    </w:p>
    <w:p w:rsidR="003856A1" w:rsidRDefault="003856A1" w:rsidP="003856A1">
      <w:pPr>
        <w:suppressAutoHyphens w:val="0"/>
        <w:jc w:val="center"/>
        <w:rPr>
          <w:b/>
          <w:sz w:val="28"/>
          <w:szCs w:val="28"/>
        </w:rPr>
      </w:pPr>
    </w:p>
    <w:p w:rsidR="003856A1" w:rsidRPr="00E0265D" w:rsidRDefault="003856A1" w:rsidP="007B36E1">
      <w:pPr>
        <w:suppressAutoHyphens w:val="0"/>
        <w:jc w:val="center"/>
        <w:rPr>
          <w:b/>
          <w:sz w:val="28"/>
          <w:szCs w:val="28"/>
        </w:rPr>
      </w:pPr>
      <w:r w:rsidRPr="00E0265D">
        <w:rPr>
          <w:b/>
          <w:sz w:val="28"/>
          <w:szCs w:val="28"/>
        </w:rPr>
        <w:t>PART II – CRIMINAL CASES AND CASES ON RELATED SUBJECTS</w:t>
      </w:r>
    </w:p>
    <w:p w:rsidR="00625402" w:rsidRDefault="00625402" w:rsidP="003856A1">
      <w:pPr>
        <w:suppressAutoHyphens w:val="0"/>
        <w:rPr>
          <w:b/>
        </w:rPr>
      </w:pPr>
    </w:p>
    <w:p w:rsidR="00625402" w:rsidRDefault="00625402" w:rsidP="003856A1">
      <w:pPr>
        <w:suppressAutoHyphens w:val="0"/>
        <w:rPr>
          <w:b/>
        </w:rPr>
      </w:pPr>
    </w:p>
    <w:p w:rsidR="005B17D2" w:rsidRDefault="005B17D2" w:rsidP="003856A1">
      <w:pPr>
        <w:rPr>
          <w:b/>
          <w:szCs w:val="26"/>
          <w:u w:val="single"/>
        </w:rPr>
      </w:pPr>
      <w:r>
        <w:rPr>
          <w:b/>
          <w:szCs w:val="26"/>
          <w:u w:val="single"/>
        </w:rPr>
        <w:t>Appellate Review</w:t>
      </w:r>
    </w:p>
    <w:p w:rsidR="005B17D2" w:rsidRDefault="005B17D2" w:rsidP="003856A1">
      <w:pPr>
        <w:rPr>
          <w:b/>
          <w:szCs w:val="26"/>
          <w:u w:val="single"/>
        </w:rPr>
      </w:pPr>
    </w:p>
    <w:p w:rsidR="005B17D2" w:rsidRPr="00756D04" w:rsidRDefault="005B17D2" w:rsidP="005B17D2">
      <w:pPr>
        <w:outlineLvl w:val="0"/>
        <w:rPr>
          <w:szCs w:val="26"/>
        </w:rPr>
      </w:pPr>
      <w:r w:rsidRPr="00756D04">
        <w:rPr>
          <w:b/>
          <w:i/>
          <w:szCs w:val="26"/>
        </w:rPr>
        <w:t>State v. Kelley</w:t>
      </w:r>
      <w:r w:rsidRPr="00756D04">
        <w:rPr>
          <w:b/>
          <w:szCs w:val="26"/>
        </w:rPr>
        <w:t xml:space="preserve">, </w:t>
      </w:r>
      <w:r>
        <w:rPr>
          <w:b/>
          <w:szCs w:val="26"/>
        </w:rPr>
        <w:t>832</w:t>
      </w:r>
      <w:r w:rsidRPr="00756D04">
        <w:rPr>
          <w:b/>
          <w:szCs w:val="26"/>
        </w:rPr>
        <w:t xml:space="preserve"> N.W.2d </w:t>
      </w:r>
      <w:r>
        <w:rPr>
          <w:b/>
          <w:szCs w:val="26"/>
        </w:rPr>
        <w:t>447</w:t>
      </w:r>
      <w:r w:rsidRPr="00756D04">
        <w:rPr>
          <w:b/>
          <w:szCs w:val="26"/>
        </w:rPr>
        <w:t xml:space="preserve"> (Minn. App. July 1, 2013)</w:t>
      </w:r>
      <w:r>
        <w:rPr>
          <w:b/>
          <w:szCs w:val="26"/>
        </w:rPr>
        <w:t xml:space="preserve">, </w:t>
      </w:r>
      <w:r>
        <w:rPr>
          <w:b/>
          <w:i/>
          <w:szCs w:val="26"/>
        </w:rPr>
        <w:t xml:space="preserve"> review granted</w:t>
      </w:r>
      <w:r>
        <w:rPr>
          <w:b/>
          <w:szCs w:val="26"/>
        </w:rPr>
        <w:t xml:space="preserve"> (Minn. Sept. 15, 2013)</w:t>
      </w:r>
      <w:r w:rsidRPr="00756D04">
        <w:rPr>
          <w:b/>
          <w:szCs w:val="26"/>
        </w:rPr>
        <w:t xml:space="preserve"> (A12-0993).</w:t>
      </w:r>
    </w:p>
    <w:p w:rsidR="005B17D2" w:rsidRPr="00756D04" w:rsidRDefault="005B17D2" w:rsidP="005B17D2">
      <w:pPr>
        <w:outlineLvl w:val="0"/>
        <w:rPr>
          <w:szCs w:val="26"/>
        </w:rPr>
      </w:pPr>
      <w:r w:rsidRPr="00756D04">
        <w:rPr>
          <w:szCs w:val="26"/>
        </w:rPr>
        <w:tab/>
        <w:t>When an unobjected-to error of the district court is reviewed on appeal under Minn. R. Crim. P. 31.02, the error is not plain when the law governing the district court’s erroneous ruling was unsettled at the time of trial, but became settled in favor of the defendant during the pendency of the appeal.</w:t>
      </w:r>
    </w:p>
    <w:p w:rsidR="005B17D2" w:rsidRPr="00756D04" w:rsidRDefault="005B17D2" w:rsidP="005B17D2">
      <w:pPr>
        <w:rPr>
          <w:b/>
          <w:szCs w:val="26"/>
        </w:rPr>
      </w:pPr>
    </w:p>
    <w:p w:rsidR="005B17D2" w:rsidRPr="00756D04" w:rsidRDefault="005B17D2" w:rsidP="005B17D2">
      <w:pPr>
        <w:rPr>
          <w:b/>
          <w:szCs w:val="26"/>
        </w:rPr>
      </w:pPr>
      <w:r w:rsidRPr="00756D04">
        <w:rPr>
          <w:b/>
          <w:i/>
          <w:szCs w:val="26"/>
        </w:rPr>
        <w:t>State v. Porte</w:t>
      </w:r>
      <w:r w:rsidRPr="00756D04">
        <w:rPr>
          <w:b/>
          <w:szCs w:val="26"/>
        </w:rPr>
        <w:t xml:space="preserve">, </w:t>
      </w:r>
      <w:r>
        <w:rPr>
          <w:b/>
          <w:szCs w:val="26"/>
        </w:rPr>
        <w:t>832</w:t>
      </w:r>
      <w:r w:rsidRPr="00756D04">
        <w:rPr>
          <w:b/>
          <w:szCs w:val="26"/>
        </w:rPr>
        <w:t xml:space="preserve"> N.W.2d </w:t>
      </w:r>
      <w:r>
        <w:rPr>
          <w:b/>
          <w:szCs w:val="26"/>
        </w:rPr>
        <w:t>303</w:t>
      </w:r>
      <w:r w:rsidRPr="00756D04">
        <w:rPr>
          <w:b/>
          <w:szCs w:val="26"/>
        </w:rPr>
        <w:t xml:space="preserve"> (Minn. App. June 24, 2013) (A12-1372).</w:t>
      </w:r>
    </w:p>
    <w:p w:rsidR="005B17D2" w:rsidRPr="00756D04" w:rsidRDefault="005B17D2" w:rsidP="005B17D2">
      <w:pPr>
        <w:ind w:firstLine="720"/>
        <w:outlineLvl w:val="0"/>
        <w:rPr>
          <w:szCs w:val="26"/>
        </w:rPr>
      </w:pPr>
      <w:r w:rsidRPr="00756D04">
        <w:rPr>
          <w:szCs w:val="26"/>
        </w:rPr>
        <w:t>If the state does not make a harmless-error argument with respect to an issue that is subject to the harmless-error rule, this court is not required to undertake a harmless-error analysis but may do so in certain circumstances.</w:t>
      </w:r>
    </w:p>
    <w:p w:rsidR="005B17D2" w:rsidRDefault="005B17D2" w:rsidP="003856A1">
      <w:pPr>
        <w:rPr>
          <w:b/>
          <w:szCs w:val="26"/>
          <w:u w:val="single"/>
        </w:rPr>
      </w:pPr>
    </w:p>
    <w:p w:rsidR="005B17D2" w:rsidRDefault="005B17D2" w:rsidP="003856A1">
      <w:pPr>
        <w:rPr>
          <w:b/>
          <w:szCs w:val="26"/>
          <w:u w:val="single"/>
        </w:rPr>
      </w:pPr>
    </w:p>
    <w:p w:rsidR="003856A1" w:rsidRDefault="003856A1" w:rsidP="003856A1">
      <w:pPr>
        <w:rPr>
          <w:b/>
          <w:szCs w:val="26"/>
          <w:u w:val="single"/>
        </w:rPr>
      </w:pPr>
      <w:r>
        <w:rPr>
          <w:b/>
          <w:szCs w:val="26"/>
          <w:u w:val="single"/>
        </w:rPr>
        <w:t>Constitutional Law</w:t>
      </w:r>
    </w:p>
    <w:p w:rsidR="003856A1" w:rsidRDefault="003856A1" w:rsidP="003856A1">
      <w:pPr>
        <w:outlineLvl w:val="3"/>
        <w:rPr>
          <w:b/>
          <w:bCs/>
          <w:i/>
          <w:szCs w:val="26"/>
        </w:rPr>
      </w:pPr>
    </w:p>
    <w:p w:rsidR="003856A1" w:rsidRPr="006400C5" w:rsidRDefault="003856A1" w:rsidP="003856A1">
      <w:pPr>
        <w:outlineLvl w:val="3"/>
        <w:rPr>
          <w:b/>
          <w:bCs/>
          <w:szCs w:val="26"/>
        </w:rPr>
      </w:pPr>
      <w:r w:rsidRPr="006400C5">
        <w:rPr>
          <w:b/>
          <w:bCs/>
          <w:i/>
          <w:szCs w:val="26"/>
        </w:rPr>
        <w:t>State v. Christenson</w:t>
      </w:r>
      <w:r w:rsidRPr="006400C5">
        <w:rPr>
          <w:b/>
          <w:bCs/>
          <w:szCs w:val="26"/>
        </w:rPr>
        <w:t xml:space="preserve">, </w:t>
      </w:r>
      <w:r>
        <w:rPr>
          <w:b/>
          <w:bCs/>
          <w:szCs w:val="26"/>
        </w:rPr>
        <w:t>827</w:t>
      </w:r>
      <w:r w:rsidRPr="006400C5">
        <w:rPr>
          <w:b/>
          <w:bCs/>
          <w:szCs w:val="26"/>
        </w:rPr>
        <w:t xml:space="preserve"> N.W.2d </w:t>
      </w:r>
      <w:r>
        <w:rPr>
          <w:b/>
          <w:bCs/>
          <w:szCs w:val="26"/>
        </w:rPr>
        <w:t xml:space="preserve">436 </w:t>
      </w:r>
      <w:r w:rsidRPr="006400C5">
        <w:rPr>
          <w:b/>
          <w:bCs/>
          <w:szCs w:val="26"/>
        </w:rPr>
        <w:t>(Minn. App. Nov. 26, 2012)</w:t>
      </w:r>
      <w:r>
        <w:rPr>
          <w:b/>
          <w:bCs/>
          <w:szCs w:val="26"/>
        </w:rPr>
        <w:t xml:space="preserve">, </w:t>
      </w:r>
      <w:r>
        <w:rPr>
          <w:b/>
          <w:bCs/>
          <w:i/>
          <w:szCs w:val="26"/>
        </w:rPr>
        <w:t xml:space="preserve">review denied </w:t>
      </w:r>
      <w:r>
        <w:rPr>
          <w:b/>
          <w:bCs/>
          <w:szCs w:val="26"/>
        </w:rPr>
        <w:t>(Minn. Feb. 19, 2013)</w:t>
      </w:r>
      <w:r w:rsidRPr="006400C5">
        <w:rPr>
          <w:b/>
          <w:bCs/>
          <w:szCs w:val="26"/>
        </w:rPr>
        <w:t xml:space="preserve"> (A12-0262).  </w:t>
      </w:r>
    </w:p>
    <w:p w:rsidR="003856A1" w:rsidRPr="006400C5" w:rsidRDefault="003856A1" w:rsidP="003856A1">
      <w:pPr>
        <w:outlineLvl w:val="3"/>
        <w:rPr>
          <w:b/>
          <w:bCs/>
          <w:szCs w:val="26"/>
        </w:rPr>
      </w:pPr>
      <w:r w:rsidRPr="006400C5">
        <w:rPr>
          <w:b/>
          <w:bCs/>
          <w:szCs w:val="26"/>
        </w:rPr>
        <w:tab/>
      </w:r>
      <w:r w:rsidRPr="006400C5">
        <w:rPr>
          <w:szCs w:val="26"/>
        </w:rPr>
        <w:t>A citizen informant’s sexual relationship with a suspected drug dealer being targeted for a controlled buy does not constitute outrageous government conduct in violation of the due-process guarantees of the United States and Minnesota Constitutions where the police did not know of the conduct or induce the conduct.</w:t>
      </w:r>
    </w:p>
    <w:p w:rsidR="003856A1" w:rsidRDefault="003856A1" w:rsidP="003856A1">
      <w:pPr>
        <w:outlineLvl w:val="3"/>
        <w:rPr>
          <w:b/>
          <w:bCs/>
          <w:szCs w:val="26"/>
        </w:rPr>
      </w:pPr>
    </w:p>
    <w:p w:rsidR="003856A1" w:rsidRPr="005A3477" w:rsidRDefault="003856A1" w:rsidP="003856A1">
      <w:pPr>
        <w:outlineLvl w:val="3"/>
        <w:rPr>
          <w:b/>
          <w:bCs/>
          <w:szCs w:val="26"/>
        </w:rPr>
      </w:pPr>
      <w:r w:rsidRPr="005A3477">
        <w:rPr>
          <w:b/>
          <w:bCs/>
          <w:i/>
          <w:szCs w:val="26"/>
        </w:rPr>
        <w:t>State v. Maddox</w:t>
      </w:r>
      <w:r w:rsidRPr="005A3477">
        <w:rPr>
          <w:b/>
          <w:bCs/>
          <w:szCs w:val="26"/>
        </w:rPr>
        <w:t xml:space="preserve">, </w:t>
      </w:r>
      <w:r>
        <w:rPr>
          <w:b/>
          <w:bCs/>
          <w:szCs w:val="26"/>
        </w:rPr>
        <w:t>825</w:t>
      </w:r>
      <w:r w:rsidRPr="005A3477">
        <w:rPr>
          <w:b/>
          <w:bCs/>
          <w:szCs w:val="26"/>
        </w:rPr>
        <w:t xml:space="preserve"> N.W.2d </w:t>
      </w:r>
      <w:r>
        <w:rPr>
          <w:b/>
          <w:bCs/>
          <w:szCs w:val="26"/>
        </w:rPr>
        <w:t xml:space="preserve">140 </w:t>
      </w:r>
      <w:r w:rsidRPr="005A3477">
        <w:rPr>
          <w:b/>
          <w:bCs/>
          <w:szCs w:val="26"/>
        </w:rPr>
        <w:t xml:space="preserve">(Minn. App. Jan. 28, 2013) (A12-1208).  </w:t>
      </w:r>
    </w:p>
    <w:p w:rsidR="003856A1" w:rsidRDefault="003856A1" w:rsidP="003856A1">
      <w:pPr>
        <w:outlineLvl w:val="3"/>
        <w:rPr>
          <w:szCs w:val="26"/>
        </w:rPr>
      </w:pPr>
      <w:r w:rsidRPr="005A3477">
        <w:rPr>
          <w:b/>
          <w:bCs/>
          <w:szCs w:val="26"/>
        </w:rPr>
        <w:tab/>
      </w:r>
      <w:r w:rsidRPr="005A3477">
        <w:rPr>
          <w:szCs w:val="26"/>
        </w:rPr>
        <w:t>A criminal defendant has a constitutional right to counsel at a restitution hearing held under Minnesota Statutes section 611A.045, subdivision 3(b) (2010), because the hearing is a critical stage of the state’s prosecution of the defendant.</w:t>
      </w:r>
    </w:p>
    <w:p w:rsidR="00716E83" w:rsidRDefault="00716E83" w:rsidP="003856A1">
      <w:pPr>
        <w:outlineLvl w:val="3"/>
        <w:rPr>
          <w:szCs w:val="26"/>
        </w:rPr>
      </w:pPr>
    </w:p>
    <w:p w:rsidR="007B36E1" w:rsidRDefault="007B36E1">
      <w:pPr>
        <w:suppressAutoHyphens w:val="0"/>
        <w:jc w:val="left"/>
        <w:rPr>
          <w:b/>
          <w:i/>
          <w:szCs w:val="26"/>
        </w:rPr>
      </w:pPr>
      <w:r>
        <w:rPr>
          <w:b/>
          <w:i/>
          <w:szCs w:val="26"/>
        </w:rPr>
        <w:br w:type="page"/>
      </w:r>
    </w:p>
    <w:p w:rsidR="00716E83" w:rsidRPr="00756D04" w:rsidRDefault="00716E83" w:rsidP="00716E83">
      <w:pPr>
        <w:rPr>
          <w:b/>
          <w:szCs w:val="26"/>
        </w:rPr>
      </w:pPr>
      <w:r w:rsidRPr="00756D04">
        <w:rPr>
          <w:b/>
          <w:i/>
          <w:szCs w:val="26"/>
        </w:rPr>
        <w:t>State v. McElroy</w:t>
      </w:r>
      <w:r w:rsidRPr="00756D04">
        <w:rPr>
          <w:b/>
          <w:szCs w:val="26"/>
        </w:rPr>
        <w:t xml:space="preserve">, </w:t>
      </w:r>
      <w:r>
        <w:rPr>
          <w:b/>
          <w:szCs w:val="26"/>
        </w:rPr>
        <w:t>828</w:t>
      </w:r>
      <w:r w:rsidRPr="00756D04">
        <w:rPr>
          <w:b/>
          <w:szCs w:val="26"/>
        </w:rPr>
        <w:t xml:space="preserve"> N.W.2d </w:t>
      </w:r>
      <w:r>
        <w:rPr>
          <w:b/>
          <w:szCs w:val="26"/>
        </w:rPr>
        <w:t>741</w:t>
      </w:r>
      <w:r w:rsidRPr="00756D04">
        <w:rPr>
          <w:b/>
          <w:szCs w:val="26"/>
        </w:rPr>
        <w:t xml:space="preserve"> (Minn. App. Apr. 8, 2013)</w:t>
      </w:r>
      <w:r>
        <w:rPr>
          <w:b/>
          <w:szCs w:val="26"/>
        </w:rPr>
        <w:t xml:space="preserve">, </w:t>
      </w:r>
      <w:r>
        <w:rPr>
          <w:b/>
          <w:i/>
          <w:szCs w:val="26"/>
        </w:rPr>
        <w:t>review denied</w:t>
      </w:r>
      <w:r>
        <w:rPr>
          <w:b/>
          <w:szCs w:val="26"/>
        </w:rPr>
        <w:t xml:space="preserve"> (Minn. June 26, 2013)</w:t>
      </w:r>
      <w:r w:rsidRPr="00756D04">
        <w:rPr>
          <w:b/>
          <w:szCs w:val="26"/>
        </w:rPr>
        <w:t xml:space="preserve"> (A12-0921).</w:t>
      </w:r>
    </w:p>
    <w:p w:rsidR="00716E83" w:rsidRDefault="00716E83" w:rsidP="00716E83">
      <w:pPr>
        <w:rPr>
          <w:szCs w:val="26"/>
        </w:rPr>
      </w:pPr>
      <w:r w:rsidRPr="00756D04">
        <w:rPr>
          <w:szCs w:val="26"/>
        </w:rPr>
        <w:tab/>
        <w:t xml:space="preserve">A city ordinance restricting the volume of amplified music or entertainment emanating from an electronic device located within a motor vehicle that is being operated on a public street is not unconstitutionally overbroad or vague.  </w:t>
      </w:r>
    </w:p>
    <w:p w:rsidR="001167BE" w:rsidRDefault="001167BE" w:rsidP="003856A1">
      <w:pPr>
        <w:outlineLvl w:val="3"/>
        <w:rPr>
          <w:szCs w:val="26"/>
        </w:rPr>
      </w:pPr>
    </w:p>
    <w:p w:rsidR="001167BE" w:rsidRPr="006400C5" w:rsidRDefault="001167BE" w:rsidP="001167BE">
      <w:pPr>
        <w:outlineLvl w:val="3"/>
        <w:rPr>
          <w:b/>
          <w:bCs/>
          <w:szCs w:val="26"/>
        </w:rPr>
      </w:pPr>
      <w:r w:rsidRPr="006400C5">
        <w:rPr>
          <w:b/>
          <w:bCs/>
          <w:i/>
          <w:szCs w:val="26"/>
        </w:rPr>
        <w:t>State v. Phipps</w:t>
      </w:r>
      <w:r>
        <w:rPr>
          <w:b/>
          <w:bCs/>
          <w:szCs w:val="26"/>
        </w:rPr>
        <w:t>, 820 N.W.2d 282</w:t>
      </w:r>
      <w:r w:rsidRPr="006400C5">
        <w:rPr>
          <w:b/>
          <w:bCs/>
          <w:szCs w:val="26"/>
        </w:rPr>
        <w:t xml:space="preserve"> (Minn. App. Sept. 17, 2012) (A11-179</w:t>
      </w:r>
      <w:r>
        <w:rPr>
          <w:b/>
          <w:bCs/>
          <w:szCs w:val="26"/>
        </w:rPr>
        <w:t>5</w:t>
      </w:r>
      <w:r w:rsidRPr="006400C5">
        <w:rPr>
          <w:b/>
          <w:bCs/>
          <w:szCs w:val="26"/>
        </w:rPr>
        <w:t xml:space="preserve">).  </w:t>
      </w:r>
    </w:p>
    <w:p w:rsidR="001167BE" w:rsidRPr="00DB2B54" w:rsidRDefault="001167BE" w:rsidP="001167BE">
      <w:pPr>
        <w:ind w:firstLine="720"/>
        <w:outlineLvl w:val="3"/>
        <w:rPr>
          <w:szCs w:val="26"/>
        </w:rPr>
      </w:pPr>
      <w:r>
        <w:rPr>
          <w:szCs w:val="26"/>
        </w:rPr>
        <w:t>1.</w:t>
      </w:r>
      <w:r>
        <w:rPr>
          <w:szCs w:val="26"/>
        </w:rPr>
        <w:tab/>
      </w:r>
      <w:r w:rsidRPr="00DB2B54">
        <w:rPr>
          <w:szCs w:val="26"/>
        </w:rPr>
        <w:t>When determining whether an order for protection is unconstitutionally vague, a court should apply the void-for-vagueness doctrine that applies to the determination whether a statute is unconstitutionally vague.</w:t>
      </w:r>
    </w:p>
    <w:p w:rsidR="001167BE" w:rsidRPr="006400C5" w:rsidRDefault="001167BE" w:rsidP="001167BE">
      <w:pPr>
        <w:outlineLvl w:val="3"/>
        <w:rPr>
          <w:b/>
          <w:bCs/>
          <w:szCs w:val="26"/>
        </w:rPr>
      </w:pPr>
      <w:r w:rsidRPr="006400C5">
        <w:rPr>
          <w:szCs w:val="26"/>
        </w:rPr>
        <w:tab/>
      </w:r>
      <w:r>
        <w:rPr>
          <w:szCs w:val="26"/>
        </w:rPr>
        <w:t>2.</w:t>
      </w:r>
      <w:r>
        <w:rPr>
          <w:szCs w:val="26"/>
        </w:rPr>
        <w:tab/>
      </w:r>
      <w:r w:rsidRPr="006400C5">
        <w:rPr>
          <w:szCs w:val="26"/>
        </w:rPr>
        <w:t>An order for protection providing that there must be “no contact” between the petitioner and the respondent is not unconstitutionally vague.  Such an order prohibits the respondent from engaging in contact with the petitioner even if the petitioner first contacts the respondent.</w:t>
      </w:r>
    </w:p>
    <w:p w:rsidR="001167BE" w:rsidRDefault="001167BE" w:rsidP="003856A1">
      <w:pPr>
        <w:outlineLvl w:val="3"/>
        <w:rPr>
          <w:b/>
          <w:szCs w:val="26"/>
          <w:u w:val="single"/>
        </w:rPr>
      </w:pPr>
    </w:p>
    <w:p w:rsidR="00A51E25" w:rsidRPr="00756D04" w:rsidRDefault="00A51E25" w:rsidP="00A51E25">
      <w:pPr>
        <w:rPr>
          <w:b/>
          <w:szCs w:val="26"/>
        </w:rPr>
      </w:pPr>
      <w:r w:rsidRPr="00756D04">
        <w:rPr>
          <w:b/>
          <w:i/>
          <w:szCs w:val="26"/>
        </w:rPr>
        <w:t>State v. Thomas</w:t>
      </w:r>
      <w:r w:rsidRPr="00756D04">
        <w:rPr>
          <w:b/>
          <w:szCs w:val="26"/>
        </w:rPr>
        <w:t xml:space="preserve">, </w:t>
      </w:r>
      <w:r>
        <w:rPr>
          <w:b/>
          <w:szCs w:val="26"/>
        </w:rPr>
        <w:t>831</w:t>
      </w:r>
      <w:r w:rsidRPr="00756D04">
        <w:rPr>
          <w:b/>
          <w:szCs w:val="26"/>
        </w:rPr>
        <w:t xml:space="preserve"> N.W.2d </w:t>
      </w:r>
      <w:r>
        <w:rPr>
          <w:b/>
          <w:szCs w:val="26"/>
        </w:rPr>
        <w:t>914</w:t>
      </w:r>
      <w:r w:rsidRPr="00756D04">
        <w:rPr>
          <w:b/>
          <w:szCs w:val="26"/>
        </w:rPr>
        <w:t xml:space="preserve"> (Minn. App. June 17, 2013)</w:t>
      </w:r>
      <w:r>
        <w:rPr>
          <w:b/>
          <w:szCs w:val="26"/>
        </w:rPr>
        <w:t>,</w:t>
      </w:r>
      <w:r>
        <w:rPr>
          <w:b/>
          <w:i/>
          <w:szCs w:val="26"/>
        </w:rPr>
        <w:t xml:space="preserve"> review denied </w:t>
      </w:r>
      <w:r>
        <w:rPr>
          <w:b/>
          <w:szCs w:val="26"/>
        </w:rPr>
        <w:t>(Minn. Aug. 20, 2013)</w:t>
      </w:r>
      <w:r w:rsidRPr="00756D04">
        <w:rPr>
          <w:b/>
          <w:szCs w:val="26"/>
        </w:rPr>
        <w:t xml:space="preserve"> (A12-1598).</w:t>
      </w:r>
    </w:p>
    <w:p w:rsidR="00A51E25" w:rsidRDefault="00A51E25" w:rsidP="00A51E25">
      <w:pPr>
        <w:ind w:firstLine="720"/>
        <w:outlineLvl w:val="0"/>
        <w:rPr>
          <w:szCs w:val="26"/>
        </w:rPr>
      </w:pPr>
      <w:r w:rsidRPr="00756D04">
        <w:rPr>
          <w:szCs w:val="26"/>
        </w:rPr>
        <w:t>Because the Eighth Amendment to the United States Constitution provides an express textual source of protection from excessive bail, we will not consider a challenge to the imposition of bail premised on the Fourteenth Amendment.</w:t>
      </w:r>
    </w:p>
    <w:p w:rsidR="00CC261B" w:rsidRDefault="00CC261B" w:rsidP="00A51E25">
      <w:pPr>
        <w:ind w:firstLine="720"/>
        <w:outlineLvl w:val="0"/>
        <w:rPr>
          <w:szCs w:val="26"/>
        </w:rPr>
      </w:pPr>
    </w:p>
    <w:p w:rsidR="00CC261B" w:rsidRPr="00756D04" w:rsidRDefault="00CC261B" w:rsidP="00CC261B">
      <w:pPr>
        <w:rPr>
          <w:b/>
        </w:rPr>
      </w:pPr>
      <w:r>
        <w:rPr>
          <w:b/>
          <w:i/>
        </w:rPr>
        <w:t xml:space="preserve">In re </w:t>
      </w:r>
      <w:r w:rsidRPr="00756D04">
        <w:rPr>
          <w:b/>
          <w:i/>
        </w:rPr>
        <w:t>Welfare of</w:t>
      </w:r>
      <w:r>
        <w:rPr>
          <w:b/>
          <w:i/>
        </w:rPr>
        <w:t xml:space="preserve"> </w:t>
      </w:r>
      <w:r w:rsidRPr="00756D04">
        <w:rPr>
          <w:b/>
          <w:i/>
        </w:rPr>
        <w:t>B.A.H</w:t>
      </w:r>
      <w:r>
        <w:rPr>
          <w:b/>
          <w:i/>
        </w:rPr>
        <w:t>.</w:t>
      </w:r>
      <w:r w:rsidRPr="00756D04">
        <w:rPr>
          <w:b/>
        </w:rPr>
        <w:t xml:space="preserve">, </w:t>
      </w:r>
      <w:r w:rsidR="00C63478">
        <w:rPr>
          <w:b/>
        </w:rPr>
        <w:t>829</w:t>
      </w:r>
      <w:r w:rsidR="00C63478" w:rsidRPr="00756D04">
        <w:rPr>
          <w:b/>
        </w:rPr>
        <w:t xml:space="preserve"> N.W.2d</w:t>
      </w:r>
      <w:r w:rsidRPr="00756D04">
        <w:rPr>
          <w:b/>
        </w:rPr>
        <w:t xml:space="preserve"> </w:t>
      </w:r>
      <w:r>
        <w:rPr>
          <w:b/>
        </w:rPr>
        <w:t>431</w:t>
      </w:r>
      <w:r w:rsidRPr="00756D04">
        <w:rPr>
          <w:b/>
        </w:rPr>
        <w:t xml:space="preserve"> (Minn. App. Apr. 22, 2013)</w:t>
      </w:r>
      <w:r>
        <w:rPr>
          <w:b/>
        </w:rPr>
        <w:t xml:space="preserve">, </w:t>
      </w:r>
      <w:r>
        <w:rPr>
          <w:b/>
          <w:i/>
        </w:rPr>
        <w:t>review granted</w:t>
      </w:r>
      <w:r>
        <w:rPr>
          <w:b/>
        </w:rPr>
        <w:t xml:space="preserve"> (Minn. July 16, 2013)</w:t>
      </w:r>
      <w:r w:rsidRPr="00756D04">
        <w:rPr>
          <w:b/>
        </w:rPr>
        <w:t xml:space="preserve"> (A12-1347).</w:t>
      </w:r>
    </w:p>
    <w:p w:rsidR="00CC261B" w:rsidRDefault="00CC261B" w:rsidP="00CC261B">
      <w:pPr>
        <w:ind w:firstLine="720"/>
        <w:outlineLvl w:val="0"/>
        <w:rPr>
          <w:szCs w:val="26"/>
        </w:rPr>
      </w:pPr>
      <w:r w:rsidRPr="00756D04">
        <w:rPr>
          <w:szCs w:val="26"/>
        </w:rPr>
        <w:t>Minn. Stat. § 609.342, subd. 1(g) (2010), as applied to a single party in a case where a person under the age of 16 engages in sexual penetration with another person under the age of 16 and each party has a significant relationship to the other, is unconstitutionally vague and violates the Equal Protection Clause’s mandate that persons similarly situated be treated alike.</w:t>
      </w:r>
    </w:p>
    <w:p w:rsidR="005040B7" w:rsidRDefault="005040B7" w:rsidP="00A51E25">
      <w:pPr>
        <w:ind w:firstLine="720"/>
        <w:outlineLvl w:val="0"/>
        <w:rPr>
          <w:szCs w:val="26"/>
        </w:rPr>
      </w:pPr>
    </w:p>
    <w:p w:rsidR="005040B7" w:rsidRPr="00756D04" w:rsidRDefault="005040B7" w:rsidP="005040B7">
      <w:pPr>
        <w:outlineLvl w:val="3"/>
        <w:rPr>
          <w:b/>
          <w:bCs/>
          <w:szCs w:val="26"/>
        </w:rPr>
      </w:pPr>
      <w:r w:rsidRPr="00756D04">
        <w:rPr>
          <w:b/>
          <w:bCs/>
          <w:i/>
          <w:szCs w:val="26"/>
        </w:rPr>
        <w:t>State v. Wenthe</w:t>
      </w:r>
      <w:r w:rsidRPr="00756D04">
        <w:rPr>
          <w:b/>
          <w:bCs/>
          <w:szCs w:val="26"/>
        </w:rPr>
        <w:t xml:space="preserve">, 822 N.W.2d 822 (Minn. App. Nov. 26, 2012), </w:t>
      </w:r>
      <w:r>
        <w:rPr>
          <w:b/>
          <w:bCs/>
          <w:i/>
          <w:szCs w:val="26"/>
        </w:rPr>
        <w:t>aff’d in part, rev’d in part</w:t>
      </w:r>
      <w:r>
        <w:rPr>
          <w:b/>
          <w:bCs/>
          <w:szCs w:val="26"/>
        </w:rPr>
        <w:t>, __ N.W.2d __ 2013 WL 5928458 (Minn. Nov. 6, 2013)</w:t>
      </w:r>
      <w:r w:rsidRPr="00756D04">
        <w:rPr>
          <w:b/>
          <w:bCs/>
          <w:szCs w:val="26"/>
        </w:rPr>
        <w:t xml:space="preserve"> (A12-0263).  </w:t>
      </w:r>
    </w:p>
    <w:p w:rsidR="005040B7" w:rsidRPr="00756D04" w:rsidRDefault="005040B7" w:rsidP="005040B7">
      <w:pPr>
        <w:outlineLvl w:val="3"/>
        <w:rPr>
          <w:b/>
          <w:bCs/>
          <w:szCs w:val="26"/>
        </w:rPr>
      </w:pPr>
      <w:r w:rsidRPr="00756D04">
        <w:rPr>
          <w:b/>
          <w:bCs/>
          <w:szCs w:val="26"/>
        </w:rPr>
        <w:tab/>
      </w:r>
      <w:r w:rsidRPr="00756D04">
        <w:rPr>
          <w:rFonts w:eastAsia="Calibri"/>
          <w:szCs w:val="26"/>
        </w:rPr>
        <w:t>Minnesota’s third-degree criminal sexual conduct statute, which criminalizes clergy sexual conduct that occurs during the course of a meeting in which the complainant seeks or receives spiritual counsel, does not violate the Establishment Clause of the U.S. Constitution on its face because it enunciates secular standards.  Despite its facial validity, application of the clergy sexual conduct statute violates the Establishment Clause when the conviction is based on excessive evidence regarding religious doctrine or internal church practices.</w:t>
      </w:r>
    </w:p>
    <w:p w:rsidR="00A51E25" w:rsidRDefault="00A51E25" w:rsidP="003856A1">
      <w:pPr>
        <w:outlineLvl w:val="3"/>
        <w:rPr>
          <w:b/>
          <w:szCs w:val="26"/>
          <w:u w:val="single"/>
        </w:rPr>
      </w:pPr>
    </w:p>
    <w:p w:rsidR="00625402" w:rsidRDefault="00625402" w:rsidP="003856A1">
      <w:pPr>
        <w:outlineLvl w:val="3"/>
        <w:rPr>
          <w:b/>
          <w:szCs w:val="26"/>
          <w:u w:val="single"/>
        </w:rPr>
      </w:pPr>
    </w:p>
    <w:p w:rsidR="007B36E1" w:rsidRDefault="007B36E1">
      <w:pPr>
        <w:suppressAutoHyphens w:val="0"/>
        <w:jc w:val="left"/>
        <w:rPr>
          <w:b/>
          <w:szCs w:val="26"/>
          <w:u w:val="single"/>
        </w:rPr>
      </w:pPr>
      <w:r>
        <w:rPr>
          <w:b/>
          <w:szCs w:val="26"/>
          <w:u w:val="single"/>
        </w:rPr>
        <w:br w:type="page"/>
      </w:r>
    </w:p>
    <w:p w:rsidR="003856A1" w:rsidRDefault="00A51E25" w:rsidP="003856A1">
      <w:pPr>
        <w:rPr>
          <w:b/>
          <w:szCs w:val="26"/>
          <w:u w:val="single"/>
        </w:rPr>
      </w:pPr>
      <w:r>
        <w:rPr>
          <w:b/>
          <w:szCs w:val="26"/>
          <w:u w:val="single"/>
        </w:rPr>
        <w:t>DWI &amp; Implied Consent</w:t>
      </w:r>
    </w:p>
    <w:p w:rsidR="00A51E25" w:rsidRDefault="00A51E25" w:rsidP="003856A1">
      <w:pPr>
        <w:rPr>
          <w:b/>
          <w:szCs w:val="26"/>
          <w:u w:val="single"/>
        </w:rPr>
      </w:pPr>
    </w:p>
    <w:p w:rsidR="00A51E25" w:rsidRPr="00756D04" w:rsidRDefault="00A51E25" w:rsidP="00A51E25">
      <w:pPr>
        <w:rPr>
          <w:b/>
          <w:szCs w:val="26"/>
        </w:rPr>
      </w:pPr>
      <w:r w:rsidRPr="00756D04">
        <w:rPr>
          <w:b/>
          <w:i/>
          <w:szCs w:val="26"/>
        </w:rPr>
        <w:t>Axelberg v. Comm</w:t>
      </w:r>
      <w:r>
        <w:rPr>
          <w:b/>
          <w:i/>
          <w:szCs w:val="26"/>
        </w:rPr>
        <w:t>’r</w:t>
      </w:r>
      <w:r w:rsidRPr="00756D04">
        <w:rPr>
          <w:b/>
          <w:i/>
          <w:szCs w:val="26"/>
        </w:rPr>
        <w:t xml:space="preserve"> of Pub</w:t>
      </w:r>
      <w:r>
        <w:rPr>
          <w:b/>
          <w:i/>
          <w:szCs w:val="26"/>
        </w:rPr>
        <w:t>.</w:t>
      </w:r>
      <w:r w:rsidRPr="00756D04">
        <w:rPr>
          <w:b/>
          <w:i/>
          <w:szCs w:val="26"/>
        </w:rPr>
        <w:t xml:space="preserve"> Safety</w:t>
      </w:r>
      <w:r w:rsidRPr="00756D04">
        <w:rPr>
          <w:b/>
          <w:szCs w:val="26"/>
        </w:rPr>
        <w:t xml:space="preserve">, </w:t>
      </w:r>
      <w:r>
        <w:rPr>
          <w:b/>
          <w:szCs w:val="26"/>
        </w:rPr>
        <w:t>831</w:t>
      </w:r>
      <w:r w:rsidRPr="00756D04">
        <w:rPr>
          <w:b/>
          <w:szCs w:val="26"/>
        </w:rPr>
        <w:t xml:space="preserve"> N.W.2d </w:t>
      </w:r>
      <w:r>
        <w:rPr>
          <w:b/>
          <w:szCs w:val="26"/>
        </w:rPr>
        <w:t>682</w:t>
      </w:r>
      <w:r w:rsidRPr="00756D04">
        <w:rPr>
          <w:b/>
          <w:szCs w:val="26"/>
        </w:rPr>
        <w:t xml:space="preserve"> (Minn. App. June 10, 2013)</w:t>
      </w:r>
      <w:r>
        <w:rPr>
          <w:b/>
          <w:szCs w:val="26"/>
        </w:rPr>
        <w:t xml:space="preserve">, </w:t>
      </w:r>
      <w:r>
        <w:rPr>
          <w:b/>
          <w:i/>
          <w:szCs w:val="26"/>
        </w:rPr>
        <w:t>review granted</w:t>
      </w:r>
      <w:r>
        <w:rPr>
          <w:b/>
          <w:szCs w:val="26"/>
        </w:rPr>
        <w:t xml:space="preserve"> (Minn. Aug. 20, 2013)</w:t>
      </w:r>
      <w:r w:rsidRPr="00756D04">
        <w:rPr>
          <w:b/>
          <w:szCs w:val="26"/>
        </w:rPr>
        <w:t xml:space="preserve"> (A12-1341).</w:t>
      </w:r>
    </w:p>
    <w:p w:rsidR="00A51E25" w:rsidRDefault="00A51E25" w:rsidP="003856A1">
      <w:pPr>
        <w:rPr>
          <w:szCs w:val="26"/>
        </w:rPr>
      </w:pPr>
      <w:r w:rsidRPr="00756D04">
        <w:rPr>
          <w:szCs w:val="26"/>
        </w:rPr>
        <w:tab/>
        <w:t>A voluntarily intoxicated driver may not assert the affirmative defense of necessity in an implied-consent judicial review hearing under Minn. Stat. § 169A.53, subd. 3(b) (2010).</w:t>
      </w:r>
    </w:p>
    <w:p w:rsidR="00716E83" w:rsidRDefault="00716E83" w:rsidP="003856A1">
      <w:pPr>
        <w:rPr>
          <w:szCs w:val="26"/>
        </w:rPr>
      </w:pPr>
    </w:p>
    <w:p w:rsidR="00716E83" w:rsidRPr="00756D04" w:rsidRDefault="00716E83" w:rsidP="00716E83">
      <w:pPr>
        <w:rPr>
          <w:b/>
          <w:szCs w:val="26"/>
        </w:rPr>
      </w:pPr>
      <w:r w:rsidRPr="00756D04">
        <w:rPr>
          <w:b/>
          <w:i/>
          <w:szCs w:val="26"/>
        </w:rPr>
        <w:t>State v. Kjeseth</w:t>
      </w:r>
      <w:r w:rsidRPr="00756D04">
        <w:rPr>
          <w:b/>
          <w:szCs w:val="26"/>
        </w:rPr>
        <w:t xml:space="preserve">, </w:t>
      </w:r>
      <w:r>
        <w:rPr>
          <w:b/>
          <w:szCs w:val="26"/>
        </w:rPr>
        <w:t>828</w:t>
      </w:r>
      <w:r w:rsidRPr="00756D04">
        <w:rPr>
          <w:b/>
          <w:szCs w:val="26"/>
        </w:rPr>
        <w:t xml:space="preserve"> N.W.2d </w:t>
      </w:r>
      <w:r>
        <w:rPr>
          <w:b/>
          <w:szCs w:val="26"/>
        </w:rPr>
        <w:t>480</w:t>
      </w:r>
      <w:r w:rsidRPr="00756D04">
        <w:rPr>
          <w:b/>
          <w:szCs w:val="26"/>
        </w:rPr>
        <w:t xml:space="preserve"> (Minn. App. Apr. 8, 2013)</w:t>
      </w:r>
      <w:r>
        <w:rPr>
          <w:b/>
          <w:szCs w:val="26"/>
        </w:rPr>
        <w:t xml:space="preserve">, </w:t>
      </w:r>
      <w:r>
        <w:rPr>
          <w:b/>
          <w:i/>
          <w:szCs w:val="26"/>
        </w:rPr>
        <w:t>review denied</w:t>
      </w:r>
      <w:r>
        <w:rPr>
          <w:b/>
          <w:szCs w:val="26"/>
        </w:rPr>
        <w:t xml:space="preserve"> (Minn. June 18, 2013)</w:t>
      </w:r>
      <w:r w:rsidRPr="00756D04">
        <w:rPr>
          <w:b/>
          <w:szCs w:val="26"/>
        </w:rPr>
        <w:t xml:space="preserve"> (A12-1012).</w:t>
      </w:r>
    </w:p>
    <w:p w:rsidR="00716E83" w:rsidRPr="00756D04" w:rsidRDefault="00716E83" w:rsidP="00716E83">
      <w:pPr>
        <w:rPr>
          <w:b/>
          <w:szCs w:val="26"/>
        </w:rPr>
      </w:pPr>
      <w:r w:rsidRPr="00756D04">
        <w:rPr>
          <w:szCs w:val="26"/>
        </w:rPr>
        <w:tab/>
        <w:t>1.</w:t>
      </w:r>
      <w:r w:rsidRPr="00756D04">
        <w:rPr>
          <w:szCs w:val="26"/>
        </w:rPr>
        <w:tab/>
        <w:t>Felony test refusal is a predicate offense for first-degree driving while impaired (DWI), Minn. Stat. § 169A.24 (2010).</w:t>
      </w:r>
    </w:p>
    <w:p w:rsidR="00716E83" w:rsidRDefault="00716E83" w:rsidP="003856A1">
      <w:pPr>
        <w:rPr>
          <w:szCs w:val="26"/>
        </w:rPr>
      </w:pPr>
      <w:r w:rsidRPr="00756D04">
        <w:rPr>
          <w:szCs w:val="26"/>
        </w:rPr>
        <w:tab/>
        <w:t xml:space="preserve">2.  </w:t>
      </w:r>
      <w:r w:rsidRPr="00756D04">
        <w:rPr>
          <w:szCs w:val="26"/>
        </w:rPr>
        <w:tab/>
        <w:t xml:space="preserve">A prior felony conviction of impaired driving or test refusal that is used to enhance a violation of Minn. Stat. § 169A.20 (2010) must be included in the offender’s criminal-history score. </w:t>
      </w:r>
    </w:p>
    <w:p w:rsidR="00CC261B" w:rsidRDefault="00CC261B" w:rsidP="003856A1">
      <w:pPr>
        <w:rPr>
          <w:szCs w:val="26"/>
        </w:rPr>
      </w:pPr>
    </w:p>
    <w:p w:rsidR="00CC261B" w:rsidRPr="00756D04" w:rsidRDefault="00CC261B" w:rsidP="00CC261B">
      <w:pPr>
        <w:rPr>
          <w:b/>
        </w:rPr>
      </w:pPr>
      <w:r>
        <w:rPr>
          <w:b/>
          <w:i/>
        </w:rPr>
        <w:t>Thole v. Comm’r</w:t>
      </w:r>
      <w:r w:rsidRPr="00756D04">
        <w:rPr>
          <w:b/>
          <w:i/>
        </w:rPr>
        <w:t xml:space="preserve"> o</w:t>
      </w:r>
      <w:r>
        <w:rPr>
          <w:b/>
          <w:i/>
        </w:rPr>
        <w:t>f Pub.</w:t>
      </w:r>
      <w:r w:rsidRPr="00756D04">
        <w:rPr>
          <w:b/>
          <w:i/>
        </w:rPr>
        <w:t xml:space="preserve"> Safety</w:t>
      </w:r>
      <w:r w:rsidRPr="00756D04">
        <w:rPr>
          <w:b/>
        </w:rPr>
        <w:t xml:space="preserve">, </w:t>
      </w:r>
      <w:r>
        <w:rPr>
          <w:b/>
        </w:rPr>
        <w:t>831</w:t>
      </w:r>
      <w:r w:rsidRPr="00756D04">
        <w:rPr>
          <w:b/>
        </w:rPr>
        <w:t xml:space="preserve"> N.W.2d </w:t>
      </w:r>
      <w:r>
        <w:rPr>
          <w:b/>
        </w:rPr>
        <w:t>17</w:t>
      </w:r>
      <w:r w:rsidRPr="00756D04">
        <w:rPr>
          <w:b/>
        </w:rPr>
        <w:t xml:space="preserve"> (Minn. App. Apr. 29, 2013)</w:t>
      </w:r>
      <w:r>
        <w:rPr>
          <w:b/>
        </w:rPr>
        <w:t xml:space="preserve">, </w:t>
      </w:r>
      <w:r>
        <w:rPr>
          <w:b/>
          <w:i/>
        </w:rPr>
        <w:t>review denied</w:t>
      </w:r>
      <w:r>
        <w:rPr>
          <w:b/>
        </w:rPr>
        <w:t xml:space="preserve"> (Minn. July 16, 2013)</w:t>
      </w:r>
      <w:r w:rsidRPr="00756D04">
        <w:rPr>
          <w:b/>
        </w:rPr>
        <w:t xml:space="preserve"> (A12-1549).</w:t>
      </w:r>
    </w:p>
    <w:p w:rsidR="00CC261B" w:rsidRPr="00CC261B" w:rsidRDefault="00CC261B" w:rsidP="003856A1">
      <w:pPr>
        <w:rPr>
          <w:b/>
          <w:szCs w:val="26"/>
        </w:rPr>
      </w:pPr>
      <w:r w:rsidRPr="00756D04">
        <w:rPr>
          <w:szCs w:val="26"/>
        </w:rPr>
        <w:t>Indigent parties have no due-process right to court-appointed legal counsel in implied-consent proceedings.</w:t>
      </w:r>
    </w:p>
    <w:p w:rsidR="00A51E25" w:rsidRDefault="00A51E25" w:rsidP="003856A1">
      <w:pPr>
        <w:rPr>
          <w:b/>
          <w:szCs w:val="26"/>
          <w:u w:val="single"/>
        </w:rPr>
      </w:pPr>
    </w:p>
    <w:p w:rsidR="00625402" w:rsidRDefault="00625402" w:rsidP="003856A1">
      <w:pPr>
        <w:rPr>
          <w:b/>
          <w:szCs w:val="26"/>
          <w:u w:val="single"/>
        </w:rPr>
      </w:pPr>
    </w:p>
    <w:p w:rsidR="003856A1" w:rsidRDefault="003856A1" w:rsidP="003856A1">
      <w:pPr>
        <w:suppressAutoHyphens w:val="0"/>
      </w:pPr>
      <w:r>
        <w:rPr>
          <w:b/>
          <w:u w:val="single"/>
        </w:rPr>
        <w:t>Evidence</w:t>
      </w:r>
    </w:p>
    <w:p w:rsidR="003856A1" w:rsidRDefault="003856A1" w:rsidP="003856A1">
      <w:pPr>
        <w:suppressAutoHyphens w:val="0"/>
      </w:pPr>
    </w:p>
    <w:p w:rsidR="003856A1" w:rsidRPr="006400C5" w:rsidRDefault="003856A1" w:rsidP="003856A1">
      <w:pPr>
        <w:outlineLvl w:val="3"/>
        <w:rPr>
          <w:b/>
          <w:bCs/>
          <w:szCs w:val="26"/>
        </w:rPr>
      </w:pPr>
      <w:r w:rsidRPr="006400C5">
        <w:rPr>
          <w:b/>
          <w:bCs/>
          <w:i/>
          <w:szCs w:val="26"/>
        </w:rPr>
        <w:t>State v. Dixon</w:t>
      </w:r>
      <w:r>
        <w:rPr>
          <w:b/>
          <w:bCs/>
          <w:szCs w:val="26"/>
        </w:rPr>
        <w:t>, 822 N.W.2d 664</w:t>
      </w:r>
      <w:r w:rsidRPr="006400C5">
        <w:rPr>
          <w:b/>
          <w:bCs/>
          <w:szCs w:val="26"/>
        </w:rPr>
        <w:t xml:space="preserve"> (Minn. App. Nov. 5, 2012) (A12-0193).  </w:t>
      </w:r>
    </w:p>
    <w:p w:rsidR="003856A1" w:rsidRPr="006400C5" w:rsidRDefault="003856A1" w:rsidP="003856A1">
      <w:pPr>
        <w:outlineLvl w:val="3"/>
        <w:rPr>
          <w:szCs w:val="26"/>
        </w:rPr>
      </w:pPr>
      <w:r w:rsidRPr="006400C5">
        <w:rPr>
          <w:b/>
          <w:bCs/>
          <w:szCs w:val="26"/>
        </w:rPr>
        <w:tab/>
      </w:r>
      <w:r w:rsidRPr="006400C5">
        <w:rPr>
          <w:szCs w:val="26"/>
        </w:rPr>
        <w:t>1.</w:t>
      </w:r>
      <w:r w:rsidRPr="006400C5">
        <w:rPr>
          <w:szCs w:val="26"/>
        </w:rPr>
        <w:tab/>
        <w:t xml:space="preserve">Because friction-ridge-print identification using the methodology of analysis, comparison, evaluation-verification (ACE-V) is used mainly in connection with forensics, individuals actually involved with friction-ridge-print analysis using the ACE-V methodology, as well as individuals engaged in researching the validity of ACE-V analysis, constitute the relevant scientific community that must widely share the view that friction-ridge-print identification is reliable for purposes of establishing the admissibility of such identification evidence under the </w:t>
      </w:r>
      <w:r w:rsidRPr="006400C5">
        <w:rPr>
          <w:i/>
          <w:szCs w:val="26"/>
        </w:rPr>
        <w:t>Frye</w:t>
      </w:r>
      <w:r w:rsidRPr="006400C5">
        <w:rPr>
          <w:szCs w:val="26"/>
        </w:rPr>
        <w:t xml:space="preserve"> prong of the </w:t>
      </w:r>
      <w:r w:rsidRPr="006400C5">
        <w:rPr>
          <w:i/>
          <w:szCs w:val="26"/>
        </w:rPr>
        <w:t>Frye-Mack</w:t>
      </w:r>
      <w:r w:rsidRPr="006400C5">
        <w:rPr>
          <w:szCs w:val="26"/>
        </w:rPr>
        <w:t xml:space="preserve"> standard.  </w:t>
      </w:r>
    </w:p>
    <w:p w:rsidR="003856A1" w:rsidRPr="006400C5" w:rsidRDefault="003856A1" w:rsidP="003856A1">
      <w:pPr>
        <w:outlineLvl w:val="3"/>
        <w:rPr>
          <w:szCs w:val="26"/>
        </w:rPr>
      </w:pPr>
      <w:r w:rsidRPr="006400C5">
        <w:rPr>
          <w:szCs w:val="26"/>
        </w:rPr>
        <w:tab/>
        <w:t>2.</w:t>
      </w:r>
      <w:r w:rsidRPr="006400C5">
        <w:rPr>
          <w:szCs w:val="26"/>
        </w:rPr>
        <w:tab/>
        <w:t xml:space="preserve">The state, proponent of friction-ridge-print-identification evidence in this case, met its burden of showing that ACE-V friction-ridge-print analysis, conducted by experienced examiners using appropriate standards and controls, is widely accepted as scientifically reliable by the relevant scientific community.  </w:t>
      </w:r>
    </w:p>
    <w:p w:rsidR="003856A1" w:rsidRPr="006400C5" w:rsidRDefault="003856A1" w:rsidP="003856A1">
      <w:pPr>
        <w:outlineLvl w:val="3"/>
        <w:rPr>
          <w:szCs w:val="26"/>
        </w:rPr>
      </w:pPr>
      <w:r w:rsidRPr="006400C5">
        <w:rPr>
          <w:szCs w:val="26"/>
        </w:rPr>
        <w:tab/>
        <w:t>3.</w:t>
      </w:r>
      <w:r w:rsidRPr="006400C5">
        <w:rPr>
          <w:szCs w:val="26"/>
        </w:rPr>
        <w:tab/>
        <w:t xml:space="preserve">The record supports the district court’s finding that the friction-ridge-print analysis performed in this case conformed to the procedures necessary to ensure reliability.  </w:t>
      </w:r>
    </w:p>
    <w:p w:rsidR="003856A1" w:rsidRDefault="003856A1" w:rsidP="003856A1">
      <w:pPr>
        <w:outlineLvl w:val="3"/>
        <w:rPr>
          <w:szCs w:val="26"/>
        </w:rPr>
      </w:pPr>
      <w:r w:rsidRPr="006400C5">
        <w:rPr>
          <w:szCs w:val="26"/>
        </w:rPr>
        <w:tab/>
        <w:t>4.</w:t>
      </w:r>
      <w:r w:rsidRPr="006400C5">
        <w:rPr>
          <w:szCs w:val="26"/>
        </w:rPr>
        <w:tab/>
        <w:t>The district court did not abuse its discretion by holding that the friction-ridge-print examiner in this case could testify that she made her identification determination “to a reasonable scientific certainty.”</w:t>
      </w:r>
    </w:p>
    <w:p w:rsidR="00EE627A" w:rsidRDefault="00EE627A" w:rsidP="003856A1">
      <w:pPr>
        <w:outlineLvl w:val="3"/>
        <w:rPr>
          <w:szCs w:val="26"/>
        </w:rPr>
      </w:pPr>
    </w:p>
    <w:p w:rsidR="00EE627A" w:rsidRPr="00756D04" w:rsidRDefault="00EE627A" w:rsidP="00EE627A">
      <w:pPr>
        <w:rPr>
          <w:b/>
          <w:szCs w:val="26"/>
        </w:rPr>
      </w:pPr>
      <w:r w:rsidRPr="00756D04">
        <w:rPr>
          <w:b/>
          <w:i/>
          <w:szCs w:val="26"/>
        </w:rPr>
        <w:t>State v. McCormick</w:t>
      </w:r>
      <w:r w:rsidRPr="00756D04">
        <w:rPr>
          <w:b/>
          <w:szCs w:val="26"/>
        </w:rPr>
        <w:t xml:space="preserve">, </w:t>
      </w:r>
      <w:r>
        <w:rPr>
          <w:b/>
          <w:szCs w:val="26"/>
        </w:rPr>
        <w:t>835</w:t>
      </w:r>
      <w:r w:rsidRPr="00756D04">
        <w:rPr>
          <w:b/>
          <w:szCs w:val="26"/>
        </w:rPr>
        <w:t xml:space="preserve"> N.W.2d </w:t>
      </w:r>
      <w:r>
        <w:rPr>
          <w:b/>
          <w:szCs w:val="26"/>
        </w:rPr>
        <w:t>498</w:t>
      </w:r>
      <w:r w:rsidRPr="00756D04">
        <w:rPr>
          <w:b/>
          <w:szCs w:val="26"/>
        </w:rPr>
        <w:t xml:space="preserve"> (Minn. App. Aug. 12, 2013)</w:t>
      </w:r>
      <w:r>
        <w:rPr>
          <w:b/>
          <w:szCs w:val="26"/>
        </w:rPr>
        <w:t xml:space="preserve">, </w:t>
      </w:r>
      <w:r>
        <w:rPr>
          <w:b/>
          <w:i/>
          <w:szCs w:val="26"/>
        </w:rPr>
        <w:t>review denied</w:t>
      </w:r>
      <w:r>
        <w:rPr>
          <w:b/>
          <w:szCs w:val="26"/>
        </w:rPr>
        <w:t xml:space="preserve"> (Minn. Oct. 15, 2013)</w:t>
      </w:r>
      <w:r w:rsidRPr="00756D04">
        <w:rPr>
          <w:b/>
          <w:szCs w:val="26"/>
        </w:rPr>
        <w:t xml:space="preserve"> (A12-1253).</w:t>
      </w:r>
    </w:p>
    <w:p w:rsidR="00EE627A" w:rsidRDefault="00EE627A" w:rsidP="00EE627A">
      <w:pPr>
        <w:ind w:firstLine="720"/>
        <w:outlineLvl w:val="0"/>
        <w:rPr>
          <w:szCs w:val="26"/>
        </w:rPr>
      </w:pPr>
      <w:r w:rsidRPr="00756D04">
        <w:rPr>
          <w:szCs w:val="26"/>
        </w:rPr>
        <w:t>When circumstantial evidence supports inferences that are inconsistent with the guilt of a criminal defendant, even when the circumstances are viewed in the light most favorable to the state, a district court errs by denying a motion for judgment of acquittal.</w:t>
      </w:r>
    </w:p>
    <w:p w:rsidR="007474E6" w:rsidRDefault="007474E6" w:rsidP="003856A1">
      <w:pPr>
        <w:outlineLvl w:val="3"/>
        <w:rPr>
          <w:szCs w:val="26"/>
        </w:rPr>
      </w:pPr>
    </w:p>
    <w:p w:rsidR="00E7766B" w:rsidRDefault="00E7766B" w:rsidP="003856A1">
      <w:pPr>
        <w:outlineLvl w:val="3"/>
        <w:rPr>
          <w:szCs w:val="26"/>
        </w:rPr>
      </w:pPr>
    </w:p>
    <w:p w:rsidR="00E7766B" w:rsidRPr="00E7766B" w:rsidRDefault="00E7766B" w:rsidP="003856A1">
      <w:pPr>
        <w:outlineLvl w:val="3"/>
        <w:rPr>
          <w:b/>
          <w:szCs w:val="26"/>
          <w:u w:val="single"/>
        </w:rPr>
      </w:pPr>
      <w:r w:rsidRPr="00E7766B">
        <w:rPr>
          <w:b/>
          <w:szCs w:val="26"/>
          <w:u w:val="single"/>
        </w:rPr>
        <w:t>Expungement</w:t>
      </w:r>
    </w:p>
    <w:p w:rsidR="00E7766B" w:rsidRDefault="00E7766B" w:rsidP="003856A1">
      <w:pPr>
        <w:outlineLvl w:val="3"/>
        <w:rPr>
          <w:szCs w:val="26"/>
        </w:rPr>
      </w:pPr>
    </w:p>
    <w:p w:rsidR="00E7766B" w:rsidRPr="00756D04" w:rsidRDefault="00E7766B" w:rsidP="00E7766B">
      <w:pPr>
        <w:rPr>
          <w:b/>
          <w:szCs w:val="26"/>
        </w:rPr>
      </w:pPr>
      <w:r w:rsidRPr="00756D04">
        <w:rPr>
          <w:b/>
          <w:i/>
          <w:szCs w:val="26"/>
        </w:rPr>
        <w:t>State v. A.S.E.</w:t>
      </w:r>
      <w:r w:rsidRPr="00756D04">
        <w:rPr>
          <w:b/>
          <w:szCs w:val="26"/>
        </w:rPr>
        <w:t xml:space="preserve">, </w:t>
      </w:r>
      <w:r>
        <w:rPr>
          <w:b/>
          <w:szCs w:val="26"/>
        </w:rPr>
        <w:t>835</w:t>
      </w:r>
      <w:r w:rsidRPr="00756D04">
        <w:rPr>
          <w:b/>
          <w:szCs w:val="26"/>
        </w:rPr>
        <w:t xml:space="preserve"> N.W.2d </w:t>
      </w:r>
      <w:r>
        <w:rPr>
          <w:b/>
          <w:szCs w:val="26"/>
        </w:rPr>
        <w:t>513</w:t>
      </w:r>
      <w:r w:rsidRPr="00756D04">
        <w:rPr>
          <w:b/>
          <w:szCs w:val="26"/>
        </w:rPr>
        <w:t xml:space="preserve"> (Minn. App. Aug. 19, 2013) (A13-0116, A13-0117).</w:t>
      </w:r>
    </w:p>
    <w:p w:rsidR="00E7766B" w:rsidRDefault="00E7766B" w:rsidP="00E7766B">
      <w:pPr>
        <w:ind w:firstLine="720"/>
        <w:outlineLvl w:val="0"/>
        <w:rPr>
          <w:szCs w:val="26"/>
        </w:rPr>
      </w:pPr>
      <w:r w:rsidRPr="00756D04">
        <w:rPr>
          <w:szCs w:val="26"/>
        </w:rPr>
        <w:t xml:space="preserve">A district court may not exercise its inherent authority to expunge criminal records held in the judicial branch on the grounds that it will yield a benefit to the petitioner commensurate with societal burdens without making findings on the record analyzing the factors outlined in </w:t>
      </w:r>
      <w:r w:rsidRPr="00756D04">
        <w:rPr>
          <w:i/>
          <w:szCs w:val="26"/>
        </w:rPr>
        <w:t>State v. H.A.</w:t>
      </w:r>
      <w:r w:rsidRPr="00756D04">
        <w:rPr>
          <w:szCs w:val="26"/>
        </w:rPr>
        <w:t>, 716 N.W.2d 360 (Minn. App. 2006).</w:t>
      </w:r>
    </w:p>
    <w:p w:rsidR="00E7766B" w:rsidRDefault="00E7766B" w:rsidP="00E7766B">
      <w:pPr>
        <w:ind w:firstLine="720"/>
        <w:outlineLvl w:val="0"/>
        <w:rPr>
          <w:szCs w:val="26"/>
        </w:rPr>
      </w:pPr>
    </w:p>
    <w:p w:rsidR="007474E6" w:rsidRDefault="007474E6" w:rsidP="003856A1">
      <w:pPr>
        <w:outlineLvl w:val="3"/>
        <w:rPr>
          <w:szCs w:val="26"/>
        </w:rPr>
      </w:pPr>
    </w:p>
    <w:p w:rsidR="003856A1" w:rsidRDefault="003856A1" w:rsidP="003856A1">
      <w:pPr>
        <w:suppressAutoHyphens w:val="0"/>
      </w:pPr>
      <w:r>
        <w:rPr>
          <w:b/>
          <w:u w:val="single"/>
        </w:rPr>
        <w:t>Forfeiture</w:t>
      </w:r>
    </w:p>
    <w:p w:rsidR="003856A1" w:rsidRDefault="003856A1" w:rsidP="003856A1">
      <w:pPr>
        <w:outlineLvl w:val="3"/>
        <w:rPr>
          <w:szCs w:val="26"/>
        </w:rPr>
      </w:pPr>
    </w:p>
    <w:p w:rsidR="005040B7" w:rsidRPr="00756D04" w:rsidRDefault="005040B7" w:rsidP="005040B7">
      <w:pPr>
        <w:outlineLvl w:val="3"/>
        <w:rPr>
          <w:b/>
          <w:bCs/>
          <w:szCs w:val="26"/>
        </w:rPr>
      </w:pPr>
      <w:r w:rsidRPr="00756D04">
        <w:rPr>
          <w:b/>
          <w:bCs/>
          <w:i/>
          <w:szCs w:val="26"/>
        </w:rPr>
        <w:t>Nielsen v. 2003 Honda Accord</w:t>
      </w:r>
      <w:r w:rsidRPr="00756D04">
        <w:rPr>
          <w:b/>
          <w:bCs/>
          <w:szCs w:val="26"/>
        </w:rPr>
        <w:t xml:space="preserve">, 823 N.W.2d 347 (Minn. App. Sept. 10, 2012), </w:t>
      </w:r>
      <w:r w:rsidRPr="00756D04">
        <w:rPr>
          <w:b/>
          <w:bCs/>
          <w:i/>
          <w:szCs w:val="26"/>
        </w:rPr>
        <w:t>review granted</w:t>
      </w:r>
      <w:r w:rsidRPr="00756D04">
        <w:rPr>
          <w:b/>
          <w:bCs/>
          <w:szCs w:val="26"/>
        </w:rPr>
        <w:t xml:space="preserve"> (Minn. Nov. 27, 2012) (A12-0217).  </w:t>
      </w:r>
    </w:p>
    <w:p w:rsidR="005040B7" w:rsidRPr="005040B7" w:rsidRDefault="005040B7" w:rsidP="003856A1">
      <w:pPr>
        <w:outlineLvl w:val="3"/>
        <w:rPr>
          <w:b/>
          <w:bCs/>
          <w:szCs w:val="26"/>
        </w:rPr>
      </w:pPr>
      <w:r w:rsidRPr="00756D04">
        <w:rPr>
          <w:b/>
          <w:bCs/>
          <w:szCs w:val="26"/>
        </w:rPr>
        <w:tab/>
      </w:r>
      <w:r w:rsidRPr="00756D04">
        <w:rPr>
          <w:szCs w:val="26"/>
        </w:rPr>
        <w:t xml:space="preserve">The motor-vehicle exemption provision, Minnesota Statutes section 550.37, subdivision 12a (2010), does not preclude or limit a prosecuting authority from executing a forfeiture action to seize a repeat drunk driver’s motor vehicle used to commit a designated offense under Minnesota Statutes section 169A.63, subdivision 1(e) (2010), or require the state to pay him the value of the forfeited vehicle. </w:t>
      </w:r>
    </w:p>
    <w:p w:rsidR="005040B7" w:rsidRDefault="005040B7" w:rsidP="003856A1">
      <w:pPr>
        <w:outlineLvl w:val="3"/>
        <w:rPr>
          <w:szCs w:val="26"/>
        </w:rPr>
      </w:pPr>
    </w:p>
    <w:p w:rsidR="003856A1" w:rsidRPr="003968FF" w:rsidRDefault="003856A1" w:rsidP="003856A1">
      <w:pPr>
        <w:rPr>
          <w:b/>
          <w:bCs/>
          <w:iCs/>
          <w:color w:val="000000"/>
          <w:szCs w:val="26"/>
        </w:rPr>
      </w:pPr>
      <w:r w:rsidRPr="003968FF">
        <w:rPr>
          <w:b/>
          <w:bCs/>
          <w:i/>
          <w:iCs/>
          <w:color w:val="000000"/>
          <w:szCs w:val="26"/>
        </w:rPr>
        <w:t xml:space="preserve">Woodruff v. 2008 Mercedes, </w:t>
      </w:r>
      <w:r w:rsidR="003346B4">
        <w:rPr>
          <w:b/>
          <w:bCs/>
          <w:iCs/>
          <w:color w:val="000000"/>
          <w:szCs w:val="26"/>
        </w:rPr>
        <w:t>8</w:t>
      </w:r>
      <w:r w:rsidR="00795469">
        <w:rPr>
          <w:b/>
          <w:bCs/>
          <w:iCs/>
          <w:color w:val="000000"/>
          <w:szCs w:val="26"/>
        </w:rPr>
        <w:t>31 N.W.2d 9</w:t>
      </w:r>
      <w:r w:rsidRPr="003968FF">
        <w:rPr>
          <w:b/>
          <w:bCs/>
          <w:iCs/>
          <w:color w:val="000000"/>
          <w:szCs w:val="26"/>
        </w:rPr>
        <w:t xml:space="preserve"> (Minn. App. Apr. 22, 2013) (A12-1117).</w:t>
      </w:r>
    </w:p>
    <w:p w:rsidR="003856A1" w:rsidRPr="003968FF" w:rsidRDefault="003856A1" w:rsidP="003856A1">
      <w:pPr>
        <w:rPr>
          <w:color w:val="000000"/>
          <w:szCs w:val="26"/>
        </w:rPr>
      </w:pPr>
      <w:r w:rsidRPr="003968FF">
        <w:rPr>
          <w:color w:val="000000"/>
          <w:szCs w:val="26"/>
        </w:rPr>
        <w:tab/>
        <w:t xml:space="preserve">1. </w:t>
      </w:r>
      <w:r w:rsidRPr="003968FF">
        <w:rPr>
          <w:color w:val="000000"/>
          <w:szCs w:val="26"/>
        </w:rPr>
        <w:tab/>
        <w:t xml:space="preserve">The holding of </w:t>
      </w:r>
      <w:r w:rsidRPr="003968FF">
        <w:rPr>
          <w:i/>
          <w:color w:val="000000"/>
          <w:szCs w:val="26"/>
        </w:rPr>
        <w:t>Patino v. One 2007 Chevrolet</w:t>
      </w:r>
      <w:r w:rsidRPr="003968FF">
        <w:rPr>
          <w:color w:val="000000"/>
          <w:szCs w:val="26"/>
        </w:rPr>
        <w:t>, 821 N.W.2d 810 (Minn. 2012), that, under the vehicle-forfeiture statute, a vehicle may not be judicially forfeited when the vehicle’s driver is not convicted of a designated offense, applies retroactively.</w:t>
      </w:r>
    </w:p>
    <w:p w:rsidR="003856A1" w:rsidRPr="003968FF" w:rsidRDefault="003856A1" w:rsidP="003856A1">
      <w:pPr>
        <w:ind w:firstLine="720"/>
        <w:rPr>
          <w:color w:val="000000"/>
          <w:szCs w:val="26"/>
        </w:rPr>
      </w:pPr>
      <w:r w:rsidRPr="003968FF">
        <w:rPr>
          <w:color w:val="000000"/>
          <w:szCs w:val="26"/>
        </w:rPr>
        <w:t>2.</w:t>
      </w:r>
      <w:r w:rsidRPr="003968FF">
        <w:rPr>
          <w:color w:val="000000"/>
          <w:szCs w:val="26"/>
        </w:rPr>
        <w:tab/>
        <w:t xml:space="preserve"> Where a driver accused of driving while impaired is not the owner of the subject vehicle, the driver’s agreement as part of a guilty plea not to assert certain rights or defenses in any subsequent forfeiture action brought under Minn. Stat. § 169A.63 (2012) is not binding upon the owner of the subject vehicle.</w:t>
      </w:r>
    </w:p>
    <w:p w:rsidR="003856A1" w:rsidRDefault="003856A1" w:rsidP="003856A1"/>
    <w:p w:rsidR="00625402" w:rsidRPr="004002EB" w:rsidRDefault="00625402" w:rsidP="003856A1"/>
    <w:p w:rsidR="007B36E1" w:rsidRDefault="007B36E1">
      <w:pPr>
        <w:suppressAutoHyphens w:val="0"/>
        <w:jc w:val="left"/>
        <w:rPr>
          <w:b/>
          <w:u w:val="single"/>
        </w:rPr>
      </w:pPr>
      <w:r>
        <w:rPr>
          <w:b/>
          <w:u w:val="single"/>
        </w:rPr>
        <w:br w:type="page"/>
      </w:r>
    </w:p>
    <w:p w:rsidR="003856A1" w:rsidRDefault="003856A1" w:rsidP="003856A1">
      <w:pPr>
        <w:suppressAutoHyphens w:val="0"/>
      </w:pPr>
      <w:r>
        <w:rPr>
          <w:b/>
          <w:u w:val="single"/>
        </w:rPr>
        <w:t>Guilty Pleas</w:t>
      </w:r>
    </w:p>
    <w:p w:rsidR="003856A1" w:rsidRDefault="003856A1" w:rsidP="003856A1">
      <w:pPr>
        <w:outlineLvl w:val="3"/>
        <w:rPr>
          <w:b/>
          <w:bCs/>
          <w:i/>
          <w:szCs w:val="26"/>
          <w:highlight w:val="yellow"/>
        </w:rPr>
      </w:pPr>
    </w:p>
    <w:p w:rsidR="003856A1" w:rsidRPr="003968FF" w:rsidRDefault="003856A1" w:rsidP="003856A1">
      <w:pPr>
        <w:outlineLvl w:val="3"/>
        <w:rPr>
          <w:b/>
          <w:bCs/>
          <w:szCs w:val="26"/>
        </w:rPr>
      </w:pPr>
      <w:r w:rsidRPr="003968FF">
        <w:rPr>
          <w:b/>
          <w:bCs/>
          <w:i/>
          <w:szCs w:val="26"/>
        </w:rPr>
        <w:t>State v. Crump</w:t>
      </w:r>
      <w:r w:rsidRPr="003968FF">
        <w:rPr>
          <w:b/>
          <w:bCs/>
          <w:szCs w:val="26"/>
        </w:rPr>
        <w:t xml:space="preserve">, 826 N.W.2d 838 (Minn. App. Mar. 4, 2013), </w:t>
      </w:r>
      <w:r w:rsidRPr="003968FF">
        <w:rPr>
          <w:b/>
          <w:bCs/>
          <w:i/>
          <w:szCs w:val="26"/>
        </w:rPr>
        <w:t xml:space="preserve">review denied </w:t>
      </w:r>
      <w:r w:rsidRPr="003968FF">
        <w:rPr>
          <w:b/>
          <w:bCs/>
          <w:szCs w:val="26"/>
        </w:rPr>
        <w:t xml:space="preserve">(Minn. May 21, 2013) (A12-0912).  </w:t>
      </w:r>
    </w:p>
    <w:p w:rsidR="003856A1" w:rsidRPr="001919F3" w:rsidRDefault="003856A1" w:rsidP="003856A1">
      <w:pPr>
        <w:ind w:firstLine="720"/>
        <w:outlineLvl w:val="3"/>
        <w:rPr>
          <w:b/>
          <w:bCs/>
          <w:szCs w:val="26"/>
        </w:rPr>
      </w:pPr>
      <w:r w:rsidRPr="003968FF">
        <w:rPr>
          <w:szCs w:val="26"/>
        </w:rPr>
        <w:t>A plea’s effect on a defendant’s sentence for a future unrelated criminal charge is a collateral consequence; ignorance of that consequence will not render the plea unintelligent or invalid.</w:t>
      </w:r>
      <w:r w:rsidRPr="001919F3">
        <w:rPr>
          <w:szCs w:val="26"/>
        </w:rPr>
        <w:t xml:space="preserve">  </w:t>
      </w:r>
    </w:p>
    <w:p w:rsidR="003856A1" w:rsidRDefault="003856A1" w:rsidP="003856A1">
      <w:pPr>
        <w:suppressAutoHyphens w:val="0"/>
      </w:pPr>
    </w:p>
    <w:p w:rsidR="00A51E25" w:rsidRPr="00756D04" w:rsidRDefault="00A51E25" w:rsidP="00A51E25">
      <w:pPr>
        <w:rPr>
          <w:b/>
          <w:szCs w:val="26"/>
        </w:rPr>
      </w:pPr>
      <w:r w:rsidRPr="00756D04">
        <w:rPr>
          <w:b/>
          <w:i/>
          <w:szCs w:val="26"/>
        </w:rPr>
        <w:t>Uselman v. State</w:t>
      </w:r>
      <w:r w:rsidRPr="00756D04">
        <w:rPr>
          <w:b/>
          <w:szCs w:val="26"/>
        </w:rPr>
        <w:t xml:space="preserve">, </w:t>
      </w:r>
      <w:r>
        <w:rPr>
          <w:b/>
          <w:szCs w:val="26"/>
        </w:rPr>
        <w:t>831</w:t>
      </w:r>
      <w:r w:rsidRPr="00756D04">
        <w:rPr>
          <w:b/>
          <w:szCs w:val="26"/>
        </w:rPr>
        <w:t xml:space="preserve"> N.W.2d </w:t>
      </w:r>
      <w:r>
        <w:rPr>
          <w:b/>
          <w:szCs w:val="26"/>
        </w:rPr>
        <w:t>690</w:t>
      </w:r>
      <w:r w:rsidRPr="00756D04">
        <w:rPr>
          <w:b/>
          <w:szCs w:val="26"/>
        </w:rPr>
        <w:t xml:space="preserve"> (Minn. App. June 10, 2013) (A12-1533).</w:t>
      </w:r>
    </w:p>
    <w:p w:rsidR="00A51E25" w:rsidRPr="00A51E25" w:rsidRDefault="00A51E25" w:rsidP="00A51E25">
      <w:pPr>
        <w:ind w:firstLine="720"/>
        <w:rPr>
          <w:szCs w:val="26"/>
        </w:rPr>
      </w:pPr>
      <w:r w:rsidRPr="00756D04">
        <w:rPr>
          <w:szCs w:val="26"/>
        </w:rPr>
        <w:t>A defendant’s guilty plea is not knowing and voluntary if it arises from a plea petition that erroneously indicates that a conditional release period will not follow the defendant’s imprisonment.</w:t>
      </w:r>
    </w:p>
    <w:p w:rsidR="001167BE" w:rsidRDefault="001167BE" w:rsidP="003856A1">
      <w:pPr>
        <w:suppressAutoHyphens w:val="0"/>
      </w:pPr>
    </w:p>
    <w:p w:rsidR="00625402" w:rsidRDefault="00625402" w:rsidP="003856A1">
      <w:pPr>
        <w:suppressAutoHyphens w:val="0"/>
      </w:pPr>
    </w:p>
    <w:p w:rsidR="003856A1" w:rsidRDefault="003856A1" w:rsidP="003856A1">
      <w:pPr>
        <w:suppressAutoHyphens w:val="0"/>
      </w:pPr>
      <w:r>
        <w:rPr>
          <w:b/>
          <w:u w:val="single"/>
        </w:rPr>
        <w:t>Juvenile Delinquency</w:t>
      </w:r>
    </w:p>
    <w:p w:rsidR="003856A1" w:rsidRDefault="003856A1" w:rsidP="003856A1">
      <w:pPr>
        <w:outlineLvl w:val="3"/>
        <w:rPr>
          <w:b/>
          <w:bCs/>
          <w:i/>
          <w:szCs w:val="26"/>
        </w:rPr>
      </w:pPr>
    </w:p>
    <w:p w:rsidR="001167BE" w:rsidRPr="006C55B4" w:rsidRDefault="001167BE" w:rsidP="001167BE">
      <w:pPr>
        <w:rPr>
          <w:b/>
          <w:szCs w:val="26"/>
        </w:rPr>
      </w:pPr>
      <w:r w:rsidRPr="006C55B4">
        <w:rPr>
          <w:b/>
          <w:i/>
          <w:szCs w:val="26"/>
        </w:rPr>
        <w:t>In re H.A.L.</w:t>
      </w:r>
      <w:r w:rsidRPr="006C55B4">
        <w:rPr>
          <w:b/>
          <w:szCs w:val="26"/>
        </w:rPr>
        <w:t>, 8</w:t>
      </w:r>
      <w:r>
        <w:rPr>
          <w:b/>
          <w:szCs w:val="26"/>
        </w:rPr>
        <w:t>28 N.W.2d 476 (Minn. App. Apr. 1</w:t>
      </w:r>
      <w:r w:rsidRPr="006C55B4">
        <w:rPr>
          <w:b/>
          <w:szCs w:val="26"/>
        </w:rPr>
        <w:t>, 2013) (A12-1235).</w:t>
      </w:r>
    </w:p>
    <w:p w:rsidR="001167BE" w:rsidRDefault="001167BE" w:rsidP="001167BE">
      <w:pPr>
        <w:rPr>
          <w:szCs w:val="26"/>
        </w:rPr>
      </w:pPr>
      <w:r w:rsidRPr="006C55B4">
        <w:rPr>
          <w:szCs w:val="26"/>
        </w:rPr>
        <w:tab/>
        <w:t xml:space="preserve">When considering a juvenile-adjudication expungement petition, a district court cannot exercise its broad discretion and order the Minnesota Department of Human Services to seal its records pursuant to Minn. Stat. § 260B.198, subd. 6 (2012), unless the Minnesota Department of Human Services was properly served notice of the petition as required by Minn. Stat. § 245C.08, subd. 1(b) (2012).  </w:t>
      </w:r>
    </w:p>
    <w:p w:rsidR="005040B7" w:rsidRDefault="005040B7" w:rsidP="001167BE">
      <w:pPr>
        <w:rPr>
          <w:szCs w:val="26"/>
        </w:rPr>
      </w:pPr>
    </w:p>
    <w:p w:rsidR="005040B7" w:rsidRPr="00756D04" w:rsidRDefault="005040B7" w:rsidP="005040B7">
      <w:pPr>
        <w:outlineLvl w:val="3"/>
        <w:rPr>
          <w:b/>
          <w:bCs/>
          <w:szCs w:val="26"/>
        </w:rPr>
      </w:pPr>
      <w:r w:rsidRPr="00756D04">
        <w:rPr>
          <w:b/>
          <w:bCs/>
          <w:i/>
          <w:szCs w:val="26"/>
        </w:rPr>
        <w:t>In re Welfare of J.H.</w:t>
      </w:r>
      <w:r w:rsidRPr="00756D04">
        <w:rPr>
          <w:b/>
          <w:bCs/>
          <w:szCs w:val="26"/>
        </w:rPr>
        <w:t xml:space="preserve">, </w:t>
      </w:r>
      <w:r>
        <w:rPr>
          <w:b/>
          <w:bCs/>
          <w:szCs w:val="26"/>
        </w:rPr>
        <w:t>829</w:t>
      </w:r>
      <w:r w:rsidRPr="00756D04">
        <w:rPr>
          <w:b/>
          <w:bCs/>
          <w:szCs w:val="26"/>
        </w:rPr>
        <w:t xml:space="preserve"> N.W.2d</w:t>
      </w:r>
      <w:r>
        <w:rPr>
          <w:b/>
          <w:bCs/>
          <w:szCs w:val="26"/>
        </w:rPr>
        <w:t xml:space="preserve"> 607</w:t>
      </w:r>
      <w:r w:rsidRPr="00756D04">
        <w:rPr>
          <w:b/>
          <w:bCs/>
          <w:szCs w:val="26"/>
        </w:rPr>
        <w:t xml:space="preserve"> (Minn. App. Mar. 4, 2013), </w:t>
      </w:r>
      <w:r>
        <w:rPr>
          <w:b/>
          <w:bCs/>
          <w:i/>
          <w:szCs w:val="26"/>
        </w:rPr>
        <w:t>review granted</w:t>
      </w:r>
      <w:r>
        <w:rPr>
          <w:b/>
          <w:bCs/>
          <w:szCs w:val="26"/>
        </w:rPr>
        <w:t xml:space="preserve"> (Minn. May 29, 2013)</w:t>
      </w:r>
      <w:r w:rsidRPr="00756D04">
        <w:rPr>
          <w:b/>
          <w:bCs/>
          <w:szCs w:val="26"/>
        </w:rPr>
        <w:t xml:space="preserve"> (A12-1405).  </w:t>
      </w:r>
    </w:p>
    <w:p w:rsidR="005040B7" w:rsidRPr="005040B7" w:rsidRDefault="005040B7" w:rsidP="005040B7">
      <w:pPr>
        <w:outlineLvl w:val="3"/>
        <w:rPr>
          <w:b/>
          <w:bCs/>
          <w:szCs w:val="26"/>
        </w:rPr>
      </w:pPr>
      <w:r w:rsidRPr="00756D04">
        <w:rPr>
          <w:b/>
          <w:bCs/>
          <w:szCs w:val="26"/>
        </w:rPr>
        <w:tab/>
      </w:r>
      <w:r w:rsidRPr="00756D04">
        <w:rPr>
          <w:szCs w:val="26"/>
        </w:rPr>
        <w:t>When ruling in a presumptive certification matter, a district court abuses its discretion when it does not give greater weight to both the seriousness of the alleged offense and the child’s prior record of delinquency as mandated by Minn. Stat. § 260B.125, subd. 4 (2010).</w:t>
      </w:r>
    </w:p>
    <w:p w:rsidR="001167BE" w:rsidRDefault="001167BE" w:rsidP="003856A1">
      <w:pPr>
        <w:outlineLvl w:val="3"/>
        <w:rPr>
          <w:b/>
          <w:bCs/>
          <w:i/>
          <w:szCs w:val="26"/>
        </w:rPr>
      </w:pPr>
    </w:p>
    <w:p w:rsidR="003856A1" w:rsidRPr="006400C5" w:rsidRDefault="003856A1" w:rsidP="003856A1">
      <w:pPr>
        <w:outlineLvl w:val="3"/>
        <w:rPr>
          <w:b/>
          <w:bCs/>
          <w:szCs w:val="26"/>
        </w:rPr>
      </w:pPr>
      <w:r>
        <w:rPr>
          <w:b/>
          <w:bCs/>
          <w:i/>
          <w:szCs w:val="26"/>
        </w:rPr>
        <w:t>In re Welfare of P.C.</w:t>
      </w:r>
      <w:r w:rsidRPr="006400C5">
        <w:rPr>
          <w:b/>
          <w:bCs/>
          <w:i/>
          <w:szCs w:val="26"/>
        </w:rPr>
        <w:t>T.</w:t>
      </w:r>
      <w:r w:rsidRPr="006400C5">
        <w:rPr>
          <w:b/>
          <w:bCs/>
          <w:szCs w:val="26"/>
        </w:rPr>
        <w:t xml:space="preserve">, </w:t>
      </w:r>
      <w:r>
        <w:rPr>
          <w:b/>
          <w:bCs/>
          <w:szCs w:val="26"/>
        </w:rPr>
        <w:t>823</w:t>
      </w:r>
      <w:r w:rsidRPr="006400C5">
        <w:rPr>
          <w:b/>
          <w:bCs/>
          <w:szCs w:val="26"/>
        </w:rPr>
        <w:t xml:space="preserve"> N.W.2d </w:t>
      </w:r>
      <w:r>
        <w:rPr>
          <w:b/>
          <w:bCs/>
          <w:szCs w:val="26"/>
        </w:rPr>
        <w:t xml:space="preserve">676 </w:t>
      </w:r>
      <w:r w:rsidRPr="006400C5">
        <w:rPr>
          <w:b/>
          <w:bCs/>
          <w:szCs w:val="26"/>
        </w:rPr>
        <w:t>(Minn. App. Dec. 3, 2012)</w:t>
      </w:r>
      <w:r>
        <w:rPr>
          <w:b/>
          <w:bCs/>
          <w:szCs w:val="26"/>
        </w:rPr>
        <w:t xml:space="preserve">, </w:t>
      </w:r>
      <w:r>
        <w:rPr>
          <w:b/>
          <w:bCs/>
          <w:i/>
          <w:szCs w:val="26"/>
        </w:rPr>
        <w:t xml:space="preserve">review denied </w:t>
      </w:r>
      <w:r>
        <w:rPr>
          <w:b/>
          <w:bCs/>
          <w:szCs w:val="26"/>
        </w:rPr>
        <w:t>(Minn. Feb. 19, 2013)</w:t>
      </w:r>
      <w:r w:rsidRPr="006400C5">
        <w:rPr>
          <w:b/>
          <w:bCs/>
          <w:szCs w:val="26"/>
        </w:rPr>
        <w:t xml:space="preserve"> (A12-0895).</w:t>
      </w:r>
    </w:p>
    <w:p w:rsidR="003856A1" w:rsidRPr="006400C5" w:rsidRDefault="003856A1" w:rsidP="003856A1">
      <w:pPr>
        <w:outlineLvl w:val="3"/>
        <w:rPr>
          <w:b/>
          <w:bCs/>
          <w:szCs w:val="26"/>
        </w:rPr>
      </w:pPr>
      <w:r w:rsidRPr="006400C5">
        <w:rPr>
          <w:b/>
          <w:bCs/>
          <w:szCs w:val="26"/>
        </w:rPr>
        <w:tab/>
      </w:r>
      <w:r w:rsidRPr="006400C5">
        <w:rPr>
          <w:szCs w:val="26"/>
        </w:rPr>
        <w:t>In weighing the public-safety factors set forth in Minn. Stat. § 260B.125, subd. 4 (2010), to assess the presumptive adult certification of a juvenile, a district court abuses its discretion when it designates a proceeding an extended jurisdiction juvenile proceeding even though the accused juvenile has not presented clear and convincing evidence that the juvenile’s programming history, adequacy of available programming, and available dispositional options so strongly favor an extended jurisdiction juvenile designation that the public safety would not be served by adult certification.  The district court also abuses its discretion when it fails to afford sufficient weight to the seriousness of the offense and the juvenile’s prior record of delinquency.</w:t>
      </w:r>
    </w:p>
    <w:p w:rsidR="003856A1" w:rsidRDefault="003856A1" w:rsidP="003856A1">
      <w:pPr>
        <w:outlineLvl w:val="3"/>
        <w:rPr>
          <w:b/>
          <w:bCs/>
          <w:i/>
          <w:szCs w:val="26"/>
        </w:rPr>
      </w:pPr>
    </w:p>
    <w:p w:rsidR="003856A1" w:rsidRPr="007D2D75" w:rsidRDefault="003856A1" w:rsidP="003856A1">
      <w:pPr>
        <w:outlineLvl w:val="3"/>
        <w:rPr>
          <w:b/>
          <w:bCs/>
          <w:szCs w:val="26"/>
        </w:rPr>
      </w:pPr>
      <w:r w:rsidRPr="007D2D75">
        <w:rPr>
          <w:b/>
          <w:bCs/>
          <w:i/>
          <w:szCs w:val="26"/>
        </w:rPr>
        <w:t>In re Welfare of R.D.M.</w:t>
      </w:r>
      <w:r w:rsidRPr="007D2D75">
        <w:rPr>
          <w:b/>
          <w:bCs/>
          <w:szCs w:val="26"/>
        </w:rPr>
        <w:t xml:space="preserve">, 825 N.W.2d 394 (Minn. App. Jan. 28, 2013), </w:t>
      </w:r>
      <w:r w:rsidRPr="007D2D75">
        <w:rPr>
          <w:b/>
          <w:bCs/>
          <w:i/>
          <w:szCs w:val="26"/>
        </w:rPr>
        <w:t xml:space="preserve">review denied </w:t>
      </w:r>
      <w:r w:rsidRPr="007D2D75">
        <w:rPr>
          <w:b/>
          <w:bCs/>
          <w:szCs w:val="26"/>
        </w:rPr>
        <w:t>(Minn. Apr. 16, 2013) (A12-1232).</w:t>
      </w:r>
    </w:p>
    <w:p w:rsidR="003856A1" w:rsidRDefault="003856A1" w:rsidP="003856A1">
      <w:pPr>
        <w:ind w:firstLine="720"/>
        <w:rPr>
          <w:color w:val="000000"/>
          <w:szCs w:val="26"/>
        </w:rPr>
      </w:pPr>
      <w:r w:rsidRPr="007D2D75">
        <w:rPr>
          <w:color w:val="000000"/>
          <w:szCs w:val="26"/>
        </w:rPr>
        <w:t>A district court does not lose subject-matter jurisdiction when it fails to hold a hearing on a certification motion within the deadlines prescribed by Minn. Stat. § 260B.125, subd. 2(4) (2012).</w:t>
      </w:r>
    </w:p>
    <w:p w:rsidR="003856A1" w:rsidRDefault="003856A1" w:rsidP="003856A1">
      <w:pPr>
        <w:tabs>
          <w:tab w:val="left" w:pos="720"/>
          <w:tab w:val="left" w:pos="1440"/>
        </w:tabs>
        <w:suppressAutoHyphens w:val="0"/>
      </w:pPr>
    </w:p>
    <w:p w:rsidR="003856A1" w:rsidRDefault="003856A1" w:rsidP="003856A1">
      <w:pPr>
        <w:tabs>
          <w:tab w:val="left" w:pos="720"/>
          <w:tab w:val="left" w:pos="1440"/>
        </w:tabs>
        <w:suppressAutoHyphens w:val="0"/>
      </w:pPr>
    </w:p>
    <w:p w:rsidR="00E7766B" w:rsidRPr="00E7766B" w:rsidRDefault="00E7766B" w:rsidP="003856A1">
      <w:pPr>
        <w:tabs>
          <w:tab w:val="left" w:pos="720"/>
          <w:tab w:val="left" w:pos="1440"/>
        </w:tabs>
        <w:suppressAutoHyphens w:val="0"/>
        <w:rPr>
          <w:b/>
          <w:u w:val="single"/>
        </w:rPr>
      </w:pPr>
      <w:r w:rsidRPr="00E7766B">
        <w:rPr>
          <w:b/>
          <w:u w:val="single"/>
        </w:rPr>
        <w:t>Postconviction</w:t>
      </w:r>
    </w:p>
    <w:p w:rsidR="00E7766B" w:rsidRDefault="00E7766B" w:rsidP="003856A1">
      <w:pPr>
        <w:tabs>
          <w:tab w:val="left" w:pos="720"/>
          <w:tab w:val="left" w:pos="1440"/>
        </w:tabs>
        <w:suppressAutoHyphens w:val="0"/>
      </w:pPr>
    </w:p>
    <w:p w:rsidR="007B36E1" w:rsidRPr="00756D04" w:rsidRDefault="007B36E1" w:rsidP="007B36E1">
      <w:pPr>
        <w:rPr>
          <w:b/>
          <w:szCs w:val="26"/>
        </w:rPr>
      </w:pPr>
      <w:r w:rsidRPr="00756D04">
        <w:rPr>
          <w:b/>
          <w:i/>
          <w:szCs w:val="26"/>
        </w:rPr>
        <w:t>Duncan v. Roy</w:t>
      </w:r>
      <w:r w:rsidRPr="00756D04">
        <w:rPr>
          <w:b/>
          <w:szCs w:val="26"/>
        </w:rPr>
        <w:t xml:space="preserve">, </w:t>
      </w:r>
      <w:r>
        <w:rPr>
          <w:b/>
          <w:szCs w:val="26"/>
        </w:rPr>
        <w:t>830</w:t>
      </w:r>
      <w:r w:rsidRPr="00756D04">
        <w:rPr>
          <w:b/>
          <w:szCs w:val="26"/>
        </w:rPr>
        <w:t xml:space="preserve"> N.W.2d </w:t>
      </w:r>
      <w:r>
        <w:rPr>
          <w:b/>
          <w:szCs w:val="26"/>
        </w:rPr>
        <w:t>48</w:t>
      </w:r>
      <w:r w:rsidRPr="00756D04">
        <w:rPr>
          <w:b/>
          <w:szCs w:val="26"/>
        </w:rPr>
        <w:t xml:space="preserve"> (Minn. App. May 6, 2013)</w:t>
      </w:r>
      <w:r>
        <w:rPr>
          <w:b/>
          <w:szCs w:val="26"/>
        </w:rPr>
        <w:t xml:space="preserve">, </w:t>
      </w:r>
      <w:r>
        <w:rPr>
          <w:b/>
          <w:i/>
          <w:szCs w:val="26"/>
        </w:rPr>
        <w:t>review denied</w:t>
      </w:r>
      <w:r>
        <w:rPr>
          <w:b/>
          <w:szCs w:val="26"/>
        </w:rPr>
        <w:t xml:space="preserve"> (Minn. July 16, 2013)</w:t>
      </w:r>
      <w:r w:rsidRPr="00756D04">
        <w:rPr>
          <w:b/>
          <w:szCs w:val="26"/>
        </w:rPr>
        <w:t xml:space="preserve"> (A12-1628).</w:t>
      </w:r>
    </w:p>
    <w:p w:rsidR="007B36E1" w:rsidRDefault="007B36E1" w:rsidP="007B36E1">
      <w:pPr>
        <w:ind w:firstLine="720"/>
        <w:rPr>
          <w:szCs w:val="26"/>
        </w:rPr>
      </w:pPr>
      <w:r w:rsidRPr="00756D04">
        <w:rPr>
          <w:szCs w:val="26"/>
        </w:rPr>
        <w:t xml:space="preserve">Because mandamus is an extraordinary remedy that is not available to control an administrator’s exercise of discretion, mandamus may not be used to review the workability of prison-release conditions that the commissioner of corrections formulates by weighing interests in protecting public safety against competing release considerations.      </w:t>
      </w:r>
    </w:p>
    <w:p w:rsidR="007B36E1" w:rsidRDefault="007B36E1" w:rsidP="003856A1">
      <w:pPr>
        <w:tabs>
          <w:tab w:val="left" w:pos="720"/>
          <w:tab w:val="left" w:pos="1440"/>
        </w:tabs>
        <w:suppressAutoHyphens w:val="0"/>
      </w:pPr>
    </w:p>
    <w:p w:rsidR="00625402" w:rsidRDefault="00625402" w:rsidP="003856A1">
      <w:pPr>
        <w:tabs>
          <w:tab w:val="left" w:pos="720"/>
          <w:tab w:val="left" w:pos="1440"/>
        </w:tabs>
        <w:suppressAutoHyphens w:val="0"/>
      </w:pPr>
    </w:p>
    <w:p w:rsidR="003856A1" w:rsidRPr="008D3794" w:rsidRDefault="003856A1" w:rsidP="003856A1">
      <w:pPr>
        <w:suppressAutoHyphens w:val="0"/>
        <w:rPr>
          <w:b/>
          <w:u w:val="single"/>
        </w:rPr>
      </w:pPr>
      <w:r>
        <w:rPr>
          <w:b/>
          <w:u w:val="single"/>
        </w:rPr>
        <w:t>Pretrial Procedure</w:t>
      </w:r>
    </w:p>
    <w:p w:rsidR="00235E48" w:rsidRDefault="00235E48" w:rsidP="00235E48">
      <w:pPr>
        <w:rPr>
          <w:b/>
          <w:i/>
          <w:szCs w:val="26"/>
        </w:rPr>
      </w:pPr>
    </w:p>
    <w:p w:rsidR="00EE627A" w:rsidRPr="00756D04" w:rsidRDefault="00EE627A" w:rsidP="00EE627A">
      <w:pPr>
        <w:outlineLvl w:val="3"/>
        <w:rPr>
          <w:b/>
          <w:bCs/>
          <w:szCs w:val="26"/>
        </w:rPr>
      </w:pPr>
      <w:r w:rsidRPr="00756D04">
        <w:rPr>
          <w:b/>
          <w:bCs/>
          <w:i/>
          <w:szCs w:val="26"/>
        </w:rPr>
        <w:t>State v. Alvarez</w:t>
      </w:r>
      <w:r w:rsidRPr="00756D04">
        <w:rPr>
          <w:b/>
          <w:bCs/>
          <w:szCs w:val="26"/>
        </w:rPr>
        <w:t xml:space="preserve">, 820 N.W.2d 601 (Minn. App. Sept. 17, 2012), </w:t>
      </w:r>
      <w:r>
        <w:rPr>
          <w:b/>
          <w:bCs/>
          <w:i/>
          <w:szCs w:val="26"/>
        </w:rPr>
        <w:t>aff’d</w:t>
      </w:r>
      <w:r>
        <w:rPr>
          <w:b/>
          <w:bCs/>
          <w:szCs w:val="26"/>
        </w:rPr>
        <w:t>, 836 N.W.2d 527 (Minn. Sept. 11, 2013)</w:t>
      </w:r>
      <w:r w:rsidRPr="00756D04">
        <w:rPr>
          <w:b/>
          <w:bCs/>
          <w:szCs w:val="26"/>
        </w:rPr>
        <w:t xml:space="preserve"> (A11-1379, A12-0081).  </w:t>
      </w:r>
    </w:p>
    <w:p w:rsidR="00EE627A" w:rsidRPr="00756D04" w:rsidRDefault="00EE627A" w:rsidP="00EE627A">
      <w:pPr>
        <w:outlineLvl w:val="3"/>
        <w:rPr>
          <w:bCs/>
          <w:szCs w:val="26"/>
        </w:rPr>
      </w:pPr>
      <w:r w:rsidRPr="00756D04">
        <w:rPr>
          <w:b/>
          <w:bCs/>
          <w:szCs w:val="26"/>
        </w:rPr>
        <w:tab/>
      </w:r>
      <w:r w:rsidRPr="00756D04">
        <w:rPr>
          <w:szCs w:val="26"/>
        </w:rPr>
        <w:t>1.</w:t>
      </w:r>
      <w:r w:rsidRPr="00756D04">
        <w:rPr>
          <w:szCs w:val="26"/>
        </w:rPr>
        <w:tab/>
        <w:t>When a defendant’s conviction in another jurisdiction has been reversed on appeal for issues unrelated to the sufficiency of the evidence, Minn. Stat. § 609.045 (2008) does not bar a second prosecution in Minnesota for the same conduct.</w:t>
      </w:r>
    </w:p>
    <w:p w:rsidR="00EE627A" w:rsidRPr="003F6986" w:rsidRDefault="00EE627A" w:rsidP="00EE627A">
      <w:pPr>
        <w:rPr>
          <w:szCs w:val="26"/>
        </w:rPr>
      </w:pPr>
      <w:r w:rsidRPr="00756D04">
        <w:rPr>
          <w:szCs w:val="26"/>
        </w:rPr>
        <w:tab/>
        <w:t>2.</w:t>
      </w:r>
      <w:r w:rsidRPr="00756D04">
        <w:rPr>
          <w:szCs w:val="26"/>
        </w:rPr>
        <w:tab/>
        <w:t>When a defendant’s conviction in another jurisdiction has been reversed on appeal for issues unrelated to the sufficiency of the evidence, the double-jeopardy clause of the Minnesota Constitution does not bar a later prosecution in Minnesota for the same conduct.</w:t>
      </w:r>
    </w:p>
    <w:p w:rsidR="00EE627A" w:rsidRDefault="00EE627A" w:rsidP="00EE627A">
      <w:pPr>
        <w:suppressAutoHyphens w:val="0"/>
        <w:jc w:val="left"/>
        <w:rPr>
          <w:b/>
          <w:i/>
          <w:szCs w:val="26"/>
        </w:rPr>
      </w:pPr>
    </w:p>
    <w:p w:rsidR="00235E48" w:rsidRPr="00EE627A" w:rsidRDefault="00235E48" w:rsidP="00EE627A">
      <w:pPr>
        <w:suppressAutoHyphens w:val="0"/>
        <w:jc w:val="left"/>
      </w:pPr>
      <w:r w:rsidRPr="00756D04">
        <w:rPr>
          <w:b/>
          <w:i/>
          <w:szCs w:val="26"/>
        </w:rPr>
        <w:t>State v. Bakdash</w:t>
      </w:r>
      <w:r w:rsidRPr="00756D04">
        <w:rPr>
          <w:b/>
          <w:szCs w:val="26"/>
        </w:rPr>
        <w:t xml:space="preserve">, </w:t>
      </w:r>
      <w:r>
        <w:rPr>
          <w:b/>
          <w:szCs w:val="26"/>
        </w:rPr>
        <w:t>830</w:t>
      </w:r>
      <w:r w:rsidRPr="00756D04">
        <w:rPr>
          <w:b/>
          <w:szCs w:val="26"/>
        </w:rPr>
        <w:t xml:space="preserve"> N.W.2d </w:t>
      </w:r>
      <w:r>
        <w:rPr>
          <w:b/>
          <w:szCs w:val="26"/>
        </w:rPr>
        <w:t>906</w:t>
      </w:r>
      <w:r w:rsidRPr="00756D04">
        <w:rPr>
          <w:b/>
          <w:szCs w:val="26"/>
        </w:rPr>
        <w:t xml:space="preserve"> (Minn. App. May 20, 2013)</w:t>
      </w:r>
      <w:r>
        <w:rPr>
          <w:b/>
          <w:szCs w:val="26"/>
        </w:rPr>
        <w:t xml:space="preserve">, </w:t>
      </w:r>
      <w:r>
        <w:rPr>
          <w:b/>
          <w:i/>
          <w:szCs w:val="26"/>
        </w:rPr>
        <w:t>review denied</w:t>
      </w:r>
      <w:r>
        <w:rPr>
          <w:b/>
          <w:szCs w:val="26"/>
        </w:rPr>
        <w:t xml:space="preserve"> (Minn. Aug. 6, 2013)</w:t>
      </w:r>
      <w:r w:rsidRPr="00756D04">
        <w:rPr>
          <w:b/>
          <w:szCs w:val="26"/>
        </w:rPr>
        <w:t xml:space="preserve"> (A12-1133).</w:t>
      </w:r>
      <w:r w:rsidR="00EE627A">
        <w:rPr>
          <w:b/>
          <w:szCs w:val="26"/>
        </w:rPr>
        <w:t xml:space="preserve"> </w:t>
      </w:r>
      <w:r w:rsidR="00EE627A">
        <w:t xml:space="preserve">(See page </w:t>
      </w:r>
      <w:r w:rsidR="005729FA">
        <w:t>29</w:t>
      </w:r>
      <w:r w:rsidR="00EE627A">
        <w:t xml:space="preserve"> for additional syllabus points for this case.)</w:t>
      </w:r>
    </w:p>
    <w:p w:rsidR="00235E48" w:rsidRDefault="00235E48" w:rsidP="00235E48">
      <w:pPr>
        <w:contextualSpacing/>
        <w:rPr>
          <w:szCs w:val="26"/>
        </w:rPr>
      </w:pPr>
      <w:r w:rsidRPr="00235E48">
        <w:rPr>
          <w:szCs w:val="26"/>
        </w:rPr>
        <w:tab/>
        <w:t>3</w:t>
      </w:r>
      <w:r>
        <w:rPr>
          <w:szCs w:val="26"/>
        </w:rPr>
        <w:t xml:space="preserve">.  </w:t>
      </w:r>
      <w:r>
        <w:rPr>
          <w:szCs w:val="26"/>
        </w:rPr>
        <w:tab/>
      </w:r>
      <w:r w:rsidRPr="00756D04">
        <w:rPr>
          <w:szCs w:val="26"/>
        </w:rPr>
        <w:t>A defendant is not entitled to full disclosure of grand jury transcripts beyond the disclosure required by Minn. R. Crim. P. 18.04, subd. 2, absent a showing of a particularized need.</w:t>
      </w:r>
    </w:p>
    <w:p w:rsidR="00235E48" w:rsidRPr="00756D04" w:rsidRDefault="00235E48" w:rsidP="00235E48">
      <w:pPr>
        <w:contextualSpacing/>
        <w:rPr>
          <w:szCs w:val="26"/>
        </w:rPr>
      </w:pPr>
    </w:p>
    <w:p w:rsidR="007B36E1" w:rsidRDefault="007B36E1">
      <w:pPr>
        <w:suppressAutoHyphens w:val="0"/>
        <w:jc w:val="left"/>
        <w:rPr>
          <w:b/>
          <w:bCs/>
          <w:i/>
          <w:szCs w:val="26"/>
        </w:rPr>
      </w:pPr>
      <w:r>
        <w:rPr>
          <w:b/>
          <w:bCs/>
          <w:i/>
          <w:szCs w:val="26"/>
        </w:rPr>
        <w:br w:type="page"/>
      </w:r>
    </w:p>
    <w:p w:rsidR="003856A1" w:rsidRPr="009323E6" w:rsidRDefault="003856A1" w:rsidP="003856A1">
      <w:pPr>
        <w:outlineLvl w:val="3"/>
        <w:rPr>
          <w:b/>
          <w:bCs/>
          <w:szCs w:val="26"/>
        </w:rPr>
      </w:pPr>
      <w:r w:rsidRPr="009323E6">
        <w:rPr>
          <w:b/>
          <w:bCs/>
          <w:i/>
          <w:szCs w:val="26"/>
        </w:rPr>
        <w:t>State v. Martin</w:t>
      </w:r>
      <w:r w:rsidRPr="009323E6">
        <w:rPr>
          <w:b/>
          <w:bCs/>
          <w:szCs w:val="26"/>
        </w:rPr>
        <w:t xml:space="preserve">, </w:t>
      </w:r>
      <w:r>
        <w:rPr>
          <w:b/>
          <w:bCs/>
          <w:szCs w:val="26"/>
        </w:rPr>
        <w:t>823</w:t>
      </w:r>
      <w:r w:rsidRPr="009323E6">
        <w:rPr>
          <w:b/>
          <w:bCs/>
          <w:szCs w:val="26"/>
        </w:rPr>
        <w:t xml:space="preserve"> N.W.2d </w:t>
      </w:r>
      <w:r>
        <w:rPr>
          <w:b/>
          <w:bCs/>
          <w:szCs w:val="26"/>
        </w:rPr>
        <w:t xml:space="preserve">913 </w:t>
      </w:r>
      <w:r w:rsidRPr="009323E6">
        <w:rPr>
          <w:b/>
          <w:bCs/>
          <w:szCs w:val="26"/>
        </w:rPr>
        <w:t xml:space="preserve">(Minn. App. Dec. 24, 2012) (A12-0667).  </w:t>
      </w:r>
    </w:p>
    <w:p w:rsidR="003856A1" w:rsidRPr="009323E6" w:rsidRDefault="003856A1" w:rsidP="003856A1">
      <w:pPr>
        <w:outlineLvl w:val="3"/>
        <w:rPr>
          <w:szCs w:val="26"/>
        </w:rPr>
      </w:pPr>
      <w:r w:rsidRPr="009323E6">
        <w:rPr>
          <w:b/>
          <w:bCs/>
          <w:szCs w:val="26"/>
        </w:rPr>
        <w:tab/>
      </w:r>
      <w:r w:rsidRPr="009323E6">
        <w:rPr>
          <w:bCs/>
          <w:szCs w:val="26"/>
        </w:rPr>
        <w:t>1.</w:t>
      </w:r>
      <w:r w:rsidRPr="009323E6">
        <w:rPr>
          <w:b/>
          <w:bCs/>
          <w:szCs w:val="26"/>
        </w:rPr>
        <w:tab/>
      </w:r>
      <w:r w:rsidRPr="009323E6">
        <w:rPr>
          <w:szCs w:val="26"/>
        </w:rPr>
        <w:t xml:space="preserve">A prosecutor summoned by the grand jury during its deliberations undermines the independence of the grand jury and violates the secrecy of the deliberations by engaging in discussions with the grand jury extending beyond specific legal questions to broader discussions in which grand jurors disclose their individual opinions and reveal the reason for their stalemate.  </w:t>
      </w:r>
    </w:p>
    <w:p w:rsidR="003856A1" w:rsidRPr="009323E6" w:rsidRDefault="003856A1" w:rsidP="003856A1">
      <w:pPr>
        <w:outlineLvl w:val="3"/>
        <w:rPr>
          <w:szCs w:val="26"/>
        </w:rPr>
      </w:pPr>
      <w:r w:rsidRPr="009323E6">
        <w:rPr>
          <w:szCs w:val="26"/>
        </w:rPr>
        <w:tab/>
        <w:t>2.</w:t>
      </w:r>
      <w:r w:rsidRPr="009323E6">
        <w:rPr>
          <w:szCs w:val="26"/>
        </w:rPr>
        <w:tab/>
        <w:t>A grand jury indictment may be tainted by inadmissible character evidence and speculative testimony elicited by the grand jurors themselves if the prosecutor asks similar questions, fails to limit the witnesses’ testimony to relevant facts, or has called witnesses to testify without knowing whether they have relevant testimony to offer.</w:t>
      </w:r>
    </w:p>
    <w:p w:rsidR="003856A1" w:rsidRPr="009323E6" w:rsidRDefault="003856A1" w:rsidP="003856A1">
      <w:pPr>
        <w:outlineLvl w:val="3"/>
        <w:rPr>
          <w:b/>
          <w:bCs/>
          <w:szCs w:val="26"/>
        </w:rPr>
      </w:pPr>
      <w:r w:rsidRPr="009323E6">
        <w:rPr>
          <w:szCs w:val="26"/>
        </w:rPr>
        <w:tab/>
        <w:t>3.</w:t>
      </w:r>
      <w:r w:rsidRPr="009323E6">
        <w:rPr>
          <w:szCs w:val="26"/>
        </w:rPr>
        <w:tab/>
        <w:t>A police officer’s testimony before the grand jury that the defendant is less credible than the testifying witness accusing him of the crime is a ground to dismiss an indictment supported almost entirely by the testimony of that witness.</w:t>
      </w:r>
    </w:p>
    <w:p w:rsidR="003856A1" w:rsidRDefault="003856A1" w:rsidP="003856A1">
      <w:pPr>
        <w:outlineLvl w:val="3"/>
        <w:rPr>
          <w:b/>
          <w:bCs/>
          <w:i/>
          <w:szCs w:val="26"/>
          <w:highlight w:val="yellow"/>
        </w:rPr>
      </w:pPr>
    </w:p>
    <w:p w:rsidR="00EE627A" w:rsidRPr="00756D04" w:rsidRDefault="00EE627A" w:rsidP="00EE627A">
      <w:pPr>
        <w:rPr>
          <w:b/>
          <w:szCs w:val="26"/>
        </w:rPr>
      </w:pPr>
      <w:r w:rsidRPr="00756D04">
        <w:rPr>
          <w:b/>
          <w:i/>
          <w:szCs w:val="26"/>
        </w:rPr>
        <w:t>Resendiz v. State</w:t>
      </w:r>
      <w:r w:rsidRPr="00756D04">
        <w:rPr>
          <w:b/>
          <w:szCs w:val="26"/>
        </w:rPr>
        <w:t xml:space="preserve">, </w:t>
      </w:r>
      <w:r>
        <w:rPr>
          <w:b/>
          <w:szCs w:val="26"/>
        </w:rPr>
        <w:t>832</w:t>
      </w:r>
      <w:r w:rsidRPr="00756D04">
        <w:rPr>
          <w:b/>
          <w:szCs w:val="26"/>
        </w:rPr>
        <w:t xml:space="preserve"> N.W.2d </w:t>
      </w:r>
      <w:r>
        <w:rPr>
          <w:b/>
          <w:szCs w:val="26"/>
        </w:rPr>
        <w:t>860</w:t>
      </w:r>
      <w:r w:rsidRPr="00756D04">
        <w:rPr>
          <w:b/>
          <w:szCs w:val="26"/>
        </w:rPr>
        <w:t xml:space="preserve"> (Minn. App. June 10, 2013)</w:t>
      </w:r>
      <w:r>
        <w:rPr>
          <w:b/>
          <w:szCs w:val="26"/>
        </w:rPr>
        <w:t xml:space="preserve">, </w:t>
      </w:r>
      <w:r>
        <w:rPr>
          <w:b/>
          <w:i/>
          <w:szCs w:val="26"/>
        </w:rPr>
        <w:t>review denied</w:t>
      </w:r>
      <w:r>
        <w:rPr>
          <w:b/>
          <w:szCs w:val="26"/>
        </w:rPr>
        <w:t xml:space="preserve"> (Minn. Aug. 20, 2013)</w:t>
      </w:r>
      <w:r w:rsidRPr="00756D04">
        <w:rPr>
          <w:b/>
          <w:szCs w:val="26"/>
        </w:rPr>
        <w:t xml:space="preserve"> (A12-1733).</w:t>
      </w:r>
    </w:p>
    <w:p w:rsidR="00EE627A" w:rsidRDefault="00EE627A" w:rsidP="00EE627A">
      <w:pPr>
        <w:ind w:firstLine="720"/>
        <w:outlineLvl w:val="0"/>
        <w:rPr>
          <w:szCs w:val="26"/>
        </w:rPr>
      </w:pPr>
      <w:r w:rsidRPr="00756D04">
        <w:rPr>
          <w:szCs w:val="26"/>
        </w:rPr>
        <w:t xml:space="preserve">The Uniform Mandatory Disposition of Detainers Act (UMDDA), Minn. Stat. § 629.292 (2012), imposes a duty on prison officials to promptly send speedy-disposition requests to the correct prosecuting authority, but because the act provides no remedy for the failure to do so, the duty is directory, not mandatory. </w:t>
      </w:r>
    </w:p>
    <w:p w:rsidR="00EE627A" w:rsidRDefault="00EE627A" w:rsidP="003856A1">
      <w:pPr>
        <w:outlineLvl w:val="3"/>
        <w:rPr>
          <w:b/>
          <w:bCs/>
          <w:i/>
          <w:szCs w:val="26"/>
          <w:highlight w:val="yellow"/>
        </w:rPr>
      </w:pPr>
    </w:p>
    <w:p w:rsidR="001167BE" w:rsidRDefault="001167BE" w:rsidP="003856A1">
      <w:pPr>
        <w:outlineLvl w:val="3"/>
        <w:rPr>
          <w:b/>
          <w:bCs/>
          <w:i/>
          <w:szCs w:val="26"/>
          <w:highlight w:val="yellow"/>
        </w:rPr>
      </w:pPr>
    </w:p>
    <w:p w:rsidR="003856A1" w:rsidRDefault="003856A1" w:rsidP="003856A1">
      <w:pPr>
        <w:suppressAutoHyphens w:val="0"/>
        <w:jc w:val="left"/>
      </w:pPr>
      <w:r>
        <w:rPr>
          <w:b/>
          <w:u w:val="single"/>
        </w:rPr>
        <w:t>Search &amp; Seizure</w:t>
      </w:r>
    </w:p>
    <w:p w:rsidR="003856A1" w:rsidRDefault="003856A1" w:rsidP="003856A1">
      <w:pPr>
        <w:suppressAutoHyphens w:val="0"/>
        <w:jc w:val="left"/>
      </w:pPr>
    </w:p>
    <w:p w:rsidR="001167BE" w:rsidRPr="001919F3" w:rsidRDefault="001167BE" w:rsidP="001167BE">
      <w:pPr>
        <w:rPr>
          <w:b/>
          <w:szCs w:val="26"/>
        </w:rPr>
      </w:pPr>
      <w:r w:rsidRPr="001919F3">
        <w:rPr>
          <w:b/>
          <w:i/>
          <w:szCs w:val="26"/>
        </w:rPr>
        <w:t>State v. Dickey</w:t>
      </w:r>
      <w:r w:rsidRPr="001919F3">
        <w:rPr>
          <w:b/>
          <w:szCs w:val="26"/>
        </w:rPr>
        <w:t xml:space="preserve">, </w:t>
      </w:r>
      <w:r>
        <w:rPr>
          <w:b/>
          <w:bCs/>
          <w:szCs w:val="26"/>
        </w:rPr>
        <w:t>827</w:t>
      </w:r>
      <w:r w:rsidRPr="001919F3">
        <w:rPr>
          <w:b/>
          <w:bCs/>
          <w:szCs w:val="26"/>
        </w:rPr>
        <w:t xml:space="preserve"> N.W.2d </w:t>
      </w:r>
      <w:r>
        <w:rPr>
          <w:b/>
          <w:bCs/>
          <w:szCs w:val="26"/>
        </w:rPr>
        <w:t xml:space="preserve">792 </w:t>
      </w:r>
      <w:r w:rsidRPr="001919F3">
        <w:rPr>
          <w:b/>
          <w:bCs/>
          <w:szCs w:val="26"/>
        </w:rPr>
        <w:t>(Minn. App. Mar. 11, 2013) (A12-0516).</w:t>
      </w:r>
      <w:r w:rsidRPr="001919F3">
        <w:rPr>
          <w:b/>
          <w:szCs w:val="26"/>
        </w:rPr>
        <w:t xml:space="preserve">  </w:t>
      </w:r>
    </w:p>
    <w:p w:rsidR="001167BE" w:rsidRPr="001919F3" w:rsidRDefault="001167BE" w:rsidP="001167BE">
      <w:pPr>
        <w:rPr>
          <w:szCs w:val="26"/>
        </w:rPr>
      </w:pPr>
      <w:r w:rsidRPr="001919F3">
        <w:rPr>
          <w:b/>
          <w:szCs w:val="26"/>
        </w:rPr>
        <w:tab/>
      </w:r>
      <w:r w:rsidRPr="001919F3">
        <w:rPr>
          <w:szCs w:val="26"/>
        </w:rPr>
        <w:t>1.</w:t>
      </w:r>
      <w:r w:rsidRPr="001919F3">
        <w:rPr>
          <w:szCs w:val="26"/>
        </w:rPr>
        <w:tab/>
        <w:t>A police officer has probable cause to arrest a suspect for constructive possession of illegal drugs when presented with objective facts that would give rise to an honest and strong suspicion that there is a strong probability that the suspect was exercising or had exercised dominion or control over the illegal drugs.</w:t>
      </w:r>
    </w:p>
    <w:p w:rsidR="001167BE" w:rsidRDefault="001167BE" w:rsidP="001167BE">
      <w:pPr>
        <w:rPr>
          <w:szCs w:val="26"/>
        </w:rPr>
      </w:pPr>
      <w:r w:rsidRPr="001919F3">
        <w:rPr>
          <w:szCs w:val="26"/>
        </w:rPr>
        <w:tab/>
        <w:t>2.</w:t>
      </w:r>
      <w:r w:rsidRPr="001919F3">
        <w:rPr>
          <w:szCs w:val="26"/>
        </w:rPr>
        <w:tab/>
        <w:t>Where a police officer has probable cause to make a warrantless arrest of the driver of a vehicle based on the felony-arrest exception of the Fourth Amendment to the United States Constitution and Minn. Const. art. I, § 10, the officer may stop the vehicle to make the arrest.</w:t>
      </w:r>
    </w:p>
    <w:p w:rsidR="00A51E25" w:rsidRDefault="00A51E25" w:rsidP="001167BE">
      <w:pPr>
        <w:rPr>
          <w:szCs w:val="26"/>
        </w:rPr>
      </w:pPr>
    </w:p>
    <w:p w:rsidR="00A51E25" w:rsidRPr="005E7D92" w:rsidRDefault="00A51E25" w:rsidP="005E7D92">
      <w:pPr>
        <w:suppressAutoHyphens w:val="0"/>
        <w:jc w:val="left"/>
        <w:rPr>
          <w:b/>
          <w:i/>
          <w:szCs w:val="26"/>
        </w:rPr>
      </w:pPr>
      <w:r w:rsidRPr="00756D04">
        <w:rPr>
          <w:b/>
          <w:i/>
          <w:szCs w:val="26"/>
        </w:rPr>
        <w:t>State v. Johnson</w:t>
      </w:r>
      <w:r w:rsidRPr="00756D04">
        <w:rPr>
          <w:b/>
          <w:szCs w:val="26"/>
        </w:rPr>
        <w:t xml:space="preserve">, </w:t>
      </w:r>
      <w:r>
        <w:rPr>
          <w:b/>
          <w:szCs w:val="26"/>
        </w:rPr>
        <w:t>831</w:t>
      </w:r>
      <w:r w:rsidRPr="00756D04">
        <w:rPr>
          <w:b/>
          <w:szCs w:val="26"/>
        </w:rPr>
        <w:t xml:space="preserve"> N.W.2d </w:t>
      </w:r>
      <w:r>
        <w:rPr>
          <w:b/>
          <w:szCs w:val="26"/>
        </w:rPr>
        <w:t>917</w:t>
      </w:r>
      <w:r w:rsidRPr="00756D04">
        <w:rPr>
          <w:b/>
          <w:szCs w:val="26"/>
        </w:rPr>
        <w:t xml:space="preserve"> (Minn. App. June 17, 2013)</w:t>
      </w:r>
      <w:r>
        <w:rPr>
          <w:b/>
          <w:szCs w:val="26"/>
        </w:rPr>
        <w:t>,</w:t>
      </w:r>
      <w:r>
        <w:rPr>
          <w:b/>
          <w:i/>
          <w:szCs w:val="26"/>
        </w:rPr>
        <w:t xml:space="preserve"> review denied</w:t>
      </w:r>
      <w:r>
        <w:rPr>
          <w:b/>
          <w:szCs w:val="26"/>
        </w:rPr>
        <w:t xml:space="preserve"> (Minn. Sept. 17, 2013)</w:t>
      </w:r>
      <w:r w:rsidRPr="00756D04">
        <w:rPr>
          <w:b/>
          <w:szCs w:val="26"/>
        </w:rPr>
        <w:t xml:space="preserve"> (A12-1248).</w:t>
      </w:r>
    </w:p>
    <w:p w:rsidR="00A51E25" w:rsidRPr="00756D04" w:rsidRDefault="00A51E25" w:rsidP="00A51E25">
      <w:pPr>
        <w:ind w:firstLine="720"/>
        <w:outlineLvl w:val="0"/>
        <w:rPr>
          <w:szCs w:val="26"/>
        </w:rPr>
      </w:pPr>
      <w:r w:rsidRPr="00756D04">
        <w:rPr>
          <w:szCs w:val="26"/>
        </w:rPr>
        <w:t>1.</w:t>
      </w:r>
      <w:r w:rsidRPr="00756D04">
        <w:rPr>
          <w:szCs w:val="26"/>
        </w:rPr>
        <w:tab/>
        <w:t>A person does not retain a reasonable expectation of privacy in data on a computer hard drive after seizure of the drive pursuant to a valid search warrant authorizing a search for that data, and thus subsequent forensic analysis of the hard drive to obtain the data identified in the warrant is not a Fourth Amendment search requiring a new warrant.</w:t>
      </w:r>
    </w:p>
    <w:p w:rsidR="00A51E25" w:rsidRDefault="00A51E25" w:rsidP="00A51E25">
      <w:pPr>
        <w:ind w:firstLine="720"/>
        <w:rPr>
          <w:szCs w:val="26"/>
        </w:rPr>
      </w:pPr>
      <w:r w:rsidRPr="00756D04">
        <w:rPr>
          <w:szCs w:val="26"/>
        </w:rPr>
        <w:t>2.</w:t>
      </w:r>
      <w:r w:rsidRPr="00756D04">
        <w:rPr>
          <w:szCs w:val="26"/>
        </w:rPr>
        <w:tab/>
        <w:t>Although not bound by a sentencing agreement made by the state and a defendant before a trial under Minn. R. Crim. P. 26.01, subd. 4, a district court may exercise its discretion to sentence a defendant in accordance with such an agreement.</w:t>
      </w:r>
    </w:p>
    <w:p w:rsidR="001167BE" w:rsidRDefault="001167BE" w:rsidP="001167BE">
      <w:pPr>
        <w:rPr>
          <w:szCs w:val="26"/>
        </w:rPr>
      </w:pPr>
    </w:p>
    <w:p w:rsidR="001167BE" w:rsidRPr="006400C5" w:rsidRDefault="001167BE" w:rsidP="001167BE">
      <w:pPr>
        <w:outlineLvl w:val="3"/>
        <w:rPr>
          <w:b/>
          <w:bCs/>
          <w:szCs w:val="26"/>
        </w:rPr>
      </w:pPr>
      <w:r w:rsidRPr="006400C5">
        <w:rPr>
          <w:b/>
          <w:bCs/>
          <w:i/>
          <w:szCs w:val="26"/>
        </w:rPr>
        <w:t>State v. Klamar</w:t>
      </w:r>
      <w:r w:rsidRPr="006400C5">
        <w:rPr>
          <w:b/>
          <w:bCs/>
          <w:szCs w:val="26"/>
        </w:rPr>
        <w:t xml:space="preserve">, </w:t>
      </w:r>
      <w:r>
        <w:rPr>
          <w:b/>
          <w:bCs/>
          <w:szCs w:val="26"/>
        </w:rPr>
        <w:t xml:space="preserve">823 </w:t>
      </w:r>
      <w:r w:rsidRPr="006400C5">
        <w:rPr>
          <w:b/>
          <w:bCs/>
          <w:szCs w:val="26"/>
        </w:rPr>
        <w:t xml:space="preserve">N.W.2d </w:t>
      </w:r>
      <w:r>
        <w:rPr>
          <w:b/>
          <w:bCs/>
          <w:szCs w:val="26"/>
        </w:rPr>
        <w:t xml:space="preserve">687 </w:t>
      </w:r>
      <w:r w:rsidRPr="006400C5">
        <w:rPr>
          <w:b/>
          <w:bCs/>
          <w:szCs w:val="26"/>
        </w:rPr>
        <w:t>(Minn. App. Dec. 10, 2012) (A12-1196).</w:t>
      </w:r>
    </w:p>
    <w:p w:rsidR="001167BE" w:rsidRDefault="001167BE" w:rsidP="001167BE">
      <w:pPr>
        <w:ind w:firstLine="720"/>
        <w:rPr>
          <w:szCs w:val="26"/>
        </w:rPr>
      </w:pPr>
      <w:r w:rsidRPr="006400C5">
        <w:rPr>
          <w:szCs w:val="26"/>
        </w:rPr>
        <w:t>An officer may order a driver to exit his or her vehicle for investigative purposes, without violating the protections of the United States and Minnesota Constitutions, when the officer has reasonable articulable suspicion that the person was driving while impaired.</w:t>
      </w:r>
    </w:p>
    <w:p w:rsidR="005040B7" w:rsidRDefault="005040B7" w:rsidP="001167BE">
      <w:pPr>
        <w:ind w:firstLine="720"/>
        <w:rPr>
          <w:szCs w:val="26"/>
        </w:rPr>
      </w:pPr>
    </w:p>
    <w:p w:rsidR="005040B7" w:rsidRPr="00756D04" w:rsidRDefault="005040B7" w:rsidP="005040B7">
      <w:pPr>
        <w:rPr>
          <w:b/>
          <w:bCs/>
          <w:szCs w:val="26"/>
        </w:rPr>
      </w:pPr>
      <w:r w:rsidRPr="00756D04">
        <w:rPr>
          <w:b/>
          <w:i/>
          <w:szCs w:val="26"/>
        </w:rPr>
        <w:t>State v. Lemert</w:t>
      </w:r>
      <w:r w:rsidRPr="00756D04">
        <w:rPr>
          <w:b/>
          <w:szCs w:val="26"/>
        </w:rPr>
        <w:t xml:space="preserve">, </w:t>
      </w:r>
      <w:r>
        <w:rPr>
          <w:b/>
          <w:bCs/>
          <w:szCs w:val="26"/>
        </w:rPr>
        <w:t>829</w:t>
      </w:r>
      <w:r w:rsidRPr="00756D04">
        <w:rPr>
          <w:b/>
          <w:bCs/>
          <w:szCs w:val="26"/>
        </w:rPr>
        <w:t xml:space="preserve"> N.W.2d </w:t>
      </w:r>
      <w:r>
        <w:rPr>
          <w:b/>
          <w:bCs/>
          <w:szCs w:val="26"/>
        </w:rPr>
        <w:t>421</w:t>
      </w:r>
      <w:r w:rsidRPr="00756D04">
        <w:rPr>
          <w:b/>
          <w:bCs/>
          <w:szCs w:val="26"/>
        </w:rPr>
        <w:t xml:space="preserve"> (Minn. App. Mar. 25, 2013)</w:t>
      </w:r>
      <w:r>
        <w:rPr>
          <w:b/>
          <w:bCs/>
          <w:szCs w:val="26"/>
        </w:rPr>
        <w:t xml:space="preserve">, </w:t>
      </w:r>
      <w:r>
        <w:rPr>
          <w:b/>
          <w:bCs/>
          <w:i/>
          <w:szCs w:val="26"/>
        </w:rPr>
        <w:t>review granted</w:t>
      </w:r>
      <w:r>
        <w:rPr>
          <w:b/>
          <w:bCs/>
          <w:szCs w:val="26"/>
        </w:rPr>
        <w:t>, (Minn. June 18, 2013)</w:t>
      </w:r>
      <w:r w:rsidRPr="00756D04">
        <w:rPr>
          <w:b/>
          <w:bCs/>
          <w:szCs w:val="26"/>
        </w:rPr>
        <w:t xml:space="preserve"> (A12-0050).  </w:t>
      </w:r>
    </w:p>
    <w:p w:rsidR="005040B7" w:rsidRPr="005040B7" w:rsidRDefault="005040B7" w:rsidP="005040B7">
      <w:pPr>
        <w:rPr>
          <w:b/>
          <w:szCs w:val="26"/>
        </w:rPr>
      </w:pPr>
      <w:r w:rsidRPr="00756D04">
        <w:rPr>
          <w:b/>
          <w:bCs/>
          <w:szCs w:val="26"/>
        </w:rPr>
        <w:tab/>
      </w:r>
      <w:r w:rsidRPr="00756D04">
        <w:rPr>
          <w:szCs w:val="26"/>
        </w:rPr>
        <w:t xml:space="preserve">Reasonable suspicion that a driver of a stopped vehicle is involved in large-scale drug activity, including recent drug activity involving the vehicle, supports a pat search of a passenger in the vehicle based on an officer’s reasonable belief that the passenger may be armed and dangerous.   </w:t>
      </w:r>
    </w:p>
    <w:p w:rsidR="001167BE" w:rsidRDefault="001167BE" w:rsidP="003856A1">
      <w:pPr>
        <w:outlineLvl w:val="3"/>
        <w:rPr>
          <w:b/>
          <w:bCs/>
          <w:i/>
          <w:szCs w:val="26"/>
        </w:rPr>
      </w:pPr>
    </w:p>
    <w:p w:rsidR="003856A1" w:rsidRPr="006400C5" w:rsidRDefault="003856A1" w:rsidP="003856A1">
      <w:pPr>
        <w:outlineLvl w:val="3"/>
        <w:rPr>
          <w:b/>
          <w:bCs/>
          <w:szCs w:val="26"/>
        </w:rPr>
      </w:pPr>
      <w:r w:rsidRPr="006400C5">
        <w:rPr>
          <w:b/>
          <w:bCs/>
          <w:i/>
          <w:szCs w:val="26"/>
        </w:rPr>
        <w:t>State v. Setinich</w:t>
      </w:r>
      <w:r>
        <w:rPr>
          <w:b/>
          <w:bCs/>
          <w:szCs w:val="26"/>
        </w:rPr>
        <w:t>, 822</w:t>
      </w:r>
      <w:r w:rsidRPr="006400C5">
        <w:rPr>
          <w:b/>
          <w:bCs/>
          <w:szCs w:val="26"/>
        </w:rPr>
        <w:t xml:space="preserve"> N.W.2d </w:t>
      </w:r>
      <w:r>
        <w:rPr>
          <w:b/>
          <w:bCs/>
          <w:szCs w:val="26"/>
        </w:rPr>
        <w:t>9</w:t>
      </w:r>
      <w:r w:rsidRPr="006400C5">
        <w:rPr>
          <w:b/>
          <w:bCs/>
          <w:szCs w:val="26"/>
        </w:rPr>
        <w:t xml:space="preserve"> (Minn. App. Oct. 22, 2012) (A11-2303).  </w:t>
      </w:r>
    </w:p>
    <w:p w:rsidR="003856A1" w:rsidRDefault="003856A1" w:rsidP="003856A1">
      <w:pPr>
        <w:outlineLvl w:val="3"/>
        <w:rPr>
          <w:szCs w:val="26"/>
        </w:rPr>
      </w:pPr>
      <w:r w:rsidRPr="006400C5">
        <w:rPr>
          <w:b/>
          <w:bCs/>
          <w:szCs w:val="26"/>
        </w:rPr>
        <w:tab/>
      </w:r>
      <w:r w:rsidRPr="006400C5">
        <w:rPr>
          <w:szCs w:val="26"/>
        </w:rPr>
        <w:t>A computerized license-plate check performed by law enforcement does not constitute a search under the Minnesota or United States Constitutions.</w:t>
      </w:r>
    </w:p>
    <w:p w:rsidR="00716E83" w:rsidRDefault="00716E83" w:rsidP="003856A1">
      <w:pPr>
        <w:outlineLvl w:val="3"/>
        <w:rPr>
          <w:szCs w:val="26"/>
        </w:rPr>
      </w:pPr>
    </w:p>
    <w:p w:rsidR="00716E83" w:rsidRPr="00756D04" w:rsidRDefault="00716E83" w:rsidP="00716E83">
      <w:pPr>
        <w:rPr>
          <w:b/>
          <w:szCs w:val="26"/>
        </w:rPr>
      </w:pPr>
      <w:r w:rsidRPr="00756D04">
        <w:rPr>
          <w:b/>
          <w:i/>
          <w:szCs w:val="26"/>
        </w:rPr>
        <w:t>State v. Yarbrough</w:t>
      </w:r>
      <w:r w:rsidRPr="00756D04">
        <w:rPr>
          <w:b/>
          <w:szCs w:val="26"/>
        </w:rPr>
        <w:t xml:space="preserve">, </w:t>
      </w:r>
      <w:r>
        <w:rPr>
          <w:b/>
          <w:szCs w:val="26"/>
        </w:rPr>
        <w:t>828</w:t>
      </w:r>
      <w:r w:rsidRPr="00756D04">
        <w:rPr>
          <w:b/>
          <w:szCs w:val="26"/>
        </w:rPr>
        <w:t xml:space="preserve"> N.W.2d </w:t>
      </w:r>
      <w:r>
        <w:rPr>
          <w:b/>
          <w:szCs w:val="26"/>
        </w:rPr>
        <w:t>489</w:t>
      </w:r>
      <w:r w:rsidRPr="00756D04">
        <w:rPr>
          <w:b/>
          <w:szCs w:val="26"/>
        </w:rPr>
        <w:t xml:space="preserve"> (Minn. App. Apr. 8, 2013)</w:t>
      </w:r>
      <w:r>
        <w:rPr>
          <w:b/>
          <w:szCs w:val="26"/>
        </w:rPr>
        <w:t xml:space="preserve">, </w:t>
      </w:r>
      <w:r>
        <w:rPr>
          <w:b/>
          <w:i/>
          <w:szCs w:val="26"/>
        </w:rPr>
        <w:t>review granted</w:t>
      </w:r>
      <w:r>
        <w:rPr>
          <w:b/>
          <w:szCs w:val="26"/>
        </w:rPr>
        <w:t xml:space="preserve"> (Minn. June 26, 2013)</w:t>
      </w:r>
      <w:r w:rsidRPr="00756D04">
        <w:rPr>
          <w:b/>
          <w:szCs w:val="26"/>
        </w:rPr>
        <w:t xml:space="preserve"> (A12-1872).</w:t>
      </w:r>
    </w:p>
    <w:p w:rsidR="00716E83" w:rsidRPr="00756D04" w:rsidRDefault="00716E83" w:rsidP="00716E83">
      <w:pPr>
        <w:rPr>
          <w:szCs w:val="26"/>
        </w:rPr>
      </w:pPr>
      <w:r w:rsidRPr="00756D04">
        <w:rPr>
          <w:b/>
          <w:szCs w:val="26"/>
        </w:rPr>
        <w:tab/>
      </w:r>
      <w:r w:rsidRPr="00756D04">
        <w:rPr>
          <w:szCs w:val="26"/>
        </w:rPr>
        <w:t>Where the evidence in the search-warrant affidavit demonstrates that a suspect possessed a gun, it is common sense and reasonable to infer that the suspect would keep that gun at his residence.</w:t>
      </w:r>
    </w:p>
    <w:p w:rsidR="003856A1" w:rsidRDefault="003856A1" w:rsidP="003856A1">
      <w:pPr>
        <w:rPr>
          <w:szCs w:val="26"/>
        </w:rPr>
      </w:pPr>
    </w:p>
    <w:p w:rsidR="005E7D92" w:rsidRDefault="005E7D92" w:rsidP="005E7D92">
      <w:pPr>
        <w:suppressAutoHyphens w:val="0"/>
        <w:jc w:val="left"/>
        <w:rPr>
          <w:szCs w:val="26"/>
        </w:rPr>
      </w:pPr>
    </w:p>
    <w:p w:rsidR="003856A1" w:rsidRPr="00897F6D" w:rsidRDefault="003856A1" w:rsidP="005E7D92">
      <w:pPr>
        <w:suppressAutoHyphens w:val="0"/>
        <w:jc w:val="left"/>
        <w:rPr>
          <w:b/>
          <w:u w:val="single"/>
        </w:rPr>
      </w:pPr>
      <w:r>
        <w:rPr>
          <w:b/>
          <w:u w:val="single"/>
        </w:rPr>
        <w:t>Sentencing</w:t>
      </w:r>
    </w:p>
    <w:p w:rsidR="003856A1" w:rsidRDefault="003856A1" w:rsidP="003856A1"/>
    <w:p w:rsidR="001167BE" w:rsidRPr="006C55B4" w:rsidRDefault="001167BE" w:rsidP="001167BE">
      <w:pPr>
        <w:rPr>
          <w:b/>
          <w:szCs w:val="26"/>
        </w:rPr>
      </w:pPr>
      <w:r w:rsidRPr="006C55B4">
        <w:rPr>
          <w:b/>
          <w:i/>
          <w:szCs w:val="26"/>
        </w:rPr>
        <w:t>State v. Amundson</w:t>
      </w:r>
      <w:r w:rsidRPr="006C55B4">
        <w:rPr>
          <w:b/>
          <w:szCs w:val="26"/>
        </w:rPr>
        <w:t>,</w:t>
      </w:r>
      <w:r w:rsidRPr="006C55B4">
        <w:rPr>
          <w:szCs w:val="26"/>
        </w:rPr>
        <w:t xml:space="preserve"> </w:t>
      </w:r>
      <w:r w:rsidRPr="006C55B4">
        <w:rPr>
          <w:b/>
          <w:szCs w:val="26"/>
        </w:rPr>
        <w:t xml:space="preserve">828 N.W.2d 747 (Minn. App. Apr. 15, 2013) (A12-2095).  </w:t>
      </w:r>
    </w:p>
    <w:p w:rsidR="001167BE" w:rsidRPr="006C55B4" w:rsidRDefault="001167BE" w:rsidP="001167BE">
      <w:pPr>
        <w:rPr>
          <w:szCs w:val="26"/>
        </w:rPr>
      </w:pPr>
      <w:r w:rsidRPr="006C55B4">
        <w:rPr>
          <w:b/>
          <w:szCs w:val="26"/>
        </w:rPr>
        <w:tab/>
      </w:r>
      <w:r w:rsidRPr="006C55B4">
        <w:rPr>
          <w:szCs w:val="26"/>
        </w:rPr>
        <w:t>1.</w:t>
      </w:r>
      <w:r w:rsidRPr="006C55B4">
        <w:rPr>
          <w:b/>
          <w:szCs w:val="26"/>
        </w:rPr>
        <w:tab/>
      </w:r>
      <w:r w:rsidRPr="006C55B4">
        <w:rPr>
          <w:szCs w:val="26"/>
        </w:rPr>
        <w:t xml:space="preserve">A motion to correct an unauthorized upward sentencing departure that is based solely on the claim that the sentence is not authorized by the sentencing guidelines is properly filed under Minn. R. Crim. P. 27.03, subd. 9, and is not subject to summary denial as a second or successive petition for postconviction relief under Minn. Stat. § 590.04, subd. 3 (2012), or the two-year time limit set forth in Minn. Stat § 590.01, subd. 4(c) (2012).  </w:t>
      </w:r>
    </w:p>
    <w:p w:rsidR="001167BE" w:rsidRPr="006C55B4" w:rsidRDefault="001167BE" w:rsidP="001167BE">
      <w:pPr>
        <w:rPr>
          <w:szCs w:val="26"/>
        </w:rPr>
      </w:pPr>
      <w:r w:rsidRPr="006C55B4">
        <w:rPr>
          <w:szCs w:val="26"/>
        </w:rPr>
        <w:tab/>
        <w:t>2.</w:t>
      </w:r>
      <w:r w:rsidRPr="006C55B4">
        <w:rPr>
          <w:szCs w:val="26"/>
        </w:rPr>
        <w:tab/>
        <w:t xml:space="preserve">The holding in </w:t>
      </w:r>
      <w:r w:rsidRPr="006C55B4">
        <w:rPr>
          <w:i/>
          <w:szCs w:val="26"/>
        </w:rPr>
        <w:t>State v. Misquadace</w:t>
      </w:r>
      <w:r w:rsidRPr="006C55B4">
        <w:rPr>
          <w:szCs w:val="26"/>
        </w:rPr>
        <w:t xml:space="preserve">, 644 N.W.2d 65, 72 (Minn. 2002), that a plea agreement alone is not a sufficient basis to depart from the sentencing guidelines, applies to appellant’s 2005 sentence for a 2001 offense that was not charged until 2004.  </w:t>
      </w:r>
    </w:p>
    <w:p w:rsidR="001167BE" w:rsidRDefault="001167BE" w:rsidP="001167BE">
      <w:pPr>
        <w:rPr>
          <w:szCs w:val="26"/>
        </w:rPr>
      </w:pPr>
      <w:r w:rsidRPr="006C55B4">
        <w:rPr>
          <w:szCs w:val="26"/>
        </w:rPr>
        <w:tab/>
        <w:t>3.</w:t>
      </w:r>
      <w:r w:rsidRPr="006C55B4">
        <w:rPr>
          <w:szCs w:val="26"/>
        </w:rPr>
        <w:tab/>
        <w:t>When no reasons for a consecutive-sentencing departure are placed on the record at the time of sentencing, the defendant is entitled to a corrected concurrent sentence.</w:t>
      </w:r>
    </w:p>
    <w:p w:rsidR="005040B7" w:rsidRDefault="005040B7" w:rsidP="001167BE">
      <w:pPr>
        <w:rPr>
          <w:szCs w:val="26"/>
        </w:rPr>
      </w:pPr>
    </w:p>
    <w:p w:rsidR="005040B7" w:rsidRPr="00756D04" w:rsidRDefault="005040B7" w:rsidP="005040B7">
      <w:pPr>
        <w:outlineLvl w:val="3"/>
        <w:rPr>
          <w:b/>
          <w:bCs/>
          <w:szCs w:val="26"/>
        </w:rPr>
      </w:pPr>
      <w:r w:rsidRPr="00756D04">
        <w:rPr>
          <w:b/>
          <w:bCs/>
          <w:i/>
          <w:szCs w:val="26"/>
        </w:rPr>
        <w:t>State v. Borg</w:t>
      </w:r>
      <w:r w:rsidRPr="00756D04">
        <w:rPr>
          <w:b/>
          <w:bCs/>
          <w:szCs w:val="26"/>
        </w:rPr>
        <w:t xml:space="preserve">, 823 N.W.2d 352 (Minn. App. Nov. 5, 2012), </w:t>
      </w:r>
      <w:r>
        <w:rPr>
          <w:b/>
          <w:bCs/>
          <w:i/>
          <w:szCs w:val="26"/>
        </w:rPr>
        <w:t>rev’d</w:t>
      </w:r>
      <w:r>
        <w:rPr>
          <w:b/>
          <w:bCs/>
          <w:szCs w:val="26"/>
        </w:rPr>
        <w:t>, 834 N.W.2d 194 (Minn. July 31, 2013)</w:t>
      </w:r>
      <w:r w:rsidRPr="00756D04">
        <w:rPr>
          <w:b/>
          <w:bCs/>
          <w:szCs w:val="26"/>
        </w:rPr>
        <w:t xml:space="preserve"> (A09-1921).  </w:t>
      </w:r>
    </w:p>
    <w:p w:rsidR="005040B7" w:rsidRPr="005040B7" w:rsidRDefault="005040B7" w:rsidP="005040B7">
      <w:pPr>
        <w:outlineLvl w:val="3"/>
        <w:rPr>
          <w:b/>
          <w:bCs/>
          <w:szCs w:val="26"/>
        </w:rPr>
      </w:pPr>
      <w:r w:rsidRPr="00756D04">
        <w:rPr>
          <w:b/>
          <w:bCs/>
          <w:szCs w:val="26"/>
        </w:rPr>
        <w:tab/>
      </w:r>
      <w:r w:rsidRPr="00756D04">
        <w:rPr>
          <w:szCs w:val="26"/>
        </w:rPr>
        <w:t>A restitution order issued more than 90 days after sentencing is not part of the sentencing order and, therefore, may not be appealed by the state because the rules of criminal procedure do not specifically allow appellate review by the state of a later-issued restitution order.</w:t>
      </w:r>
    </w:p>
    <w:p w:rsidR="00322313" w:rsidRDefault="00322313" w:rsidP="001167BE">
      <w:pPr>
        <w:rPr>
          <w:szCs w:val="26"/>
        </w:rPr>
      </w:pPr>
    </w:p>
    <w:p w:rsidR="00322313" w:rsidRPr="00756D04" w:rsidRDefault="00322313" w:rsidP="00322313">
      <w:pPr>
        <w:rPr>
          <w:b/>
          <w:szCs w:val="26"/>
        </w:rPr>
      </w:pPr>
      <w:r w:rsidRPr="00756D04">
        <w:rPr>
          <w:b/>
          <w:i/>
          <w:szCs w:val="26"/>
        </w:rPr>
        <w:t>State v. Brown</w:t>
      </w:r>
      <w:r>
        <w:rPr>
          <w:b/>
          <w:szCs w:val="26"/>
        </w:rPr>
        <w:t>, 835 N.W.2d 24</w:t>
      </w:r>
      <w:r w:rsidRPr="00756D04">
        <w:rPr>
          <w:b/>
          <w:szCs w:val="26"/>
        </w:rPr>
        <w:t xml:space="preserve"> (Minn. App. Aug. 12, 2013)</w:t>
      </w:r>
      <w:r>
        <w:rPr>
          <w:b/>
          <w:szCs w:val="26"/>
        </w:rPr>
        <w:t xml:space="preserve">, </w:t>
      </w:r>
      <w:r>
        <w:rPr>
          <w:b/>
          <w:i/>
          <w:szCs w:val="26"/>
        </w:rPr>
        <w:t xml:space="preserve">review denied </w:t>
      </w:r>
      <w:r>
        <w:rPr>
          <w:b/>
          <w:szCs w:val="26"/>
        </w:rPr>
        <w:t>(Minn. Oct. 15, 2013)</w:t>
      </w:r>
      <w:r w:rsidRPr="00756D04">
        <w:rPr>
          <w:b/>
          <w:szCs w:val="26"/>
        </w:rPr>
        <w:t xml:space="preserve"> (A12-1276).</w:t>
      </w:r>
    </w:p>
    <w:p w:rsidR="00322313" w:rsidRPr="001167BE" w:rsidRDefault="00322313" w:rsidP="00322313">
      <w:pPr>
        <w:ind w:firstLine="720"/>
        <w:outlineLvl w:val="0"/>
        <w:rPr>
          <w:szCs w:val="26"/>
        </w:rPr>
      </w:pPr>
      <w:r w:rsidRPr="00756D04">
        <w:rPr>
          <w:szCs w:val="26"/>
        </w:rPr>
        <w:t>A defendant who has been found guilty of a crime but has not yet been sentenced may not obtain dismissal of the complaint under the Uniform Mandatory Disposition of Detainers Act, Minn. Stat. § 629.292 (2012), on the ground that a sentencing hearing did not occur within six months of the defendant’s request for a sentencing hearing.</w:t>
      </w:r>
    </w:p>
    <w:p w:rsidR="001167BE" w:rsidRDefault="001167BE" w:rsidP="001167BE">
      <w:pPr>
        <w:rPr>
          <w:b/>
          <w:i/>
          <w:szCs w:val="26"/>
        </w:rPr>
      </w:pPr>
    </w:p>
    <w:p w:rsidR="001167BE" w:rsidRPr="006C55B4" w:rsidRDefault="001167BE" w:rsidP="001167BE">
      <w:pPr>
        <w:rPr>
          <w:b/>
          <w:szCs w:val="26"/>
        </w:rPr>
      </w:pPr>
      <w:r w:rsidRPr="006C55B4">
        <w:rPr>
          <w:b/>
          <w:i/>
          <w:szCs w:val="26"/>
        </w:rPr>
        <w:t>State v. Knutson</w:t>
      </w:r>
      <w:r w:rsidRPr="006C55B4">
        <w:rPr>
          <w:b/>
          <w:szCs w:val="26"/>
        </w:rPr>
        <w:t xml:space="preserve">, 828 N.W.2d 485 (Minn. App. Apr. 8, 2013) (A12-0955).  </w:t>
      </w:r>
    </w:p>
    <w:p w:rsidR="001167BE" w:rsidRDefault="001167BE" w:rsidP="001167BE">
      <w:pPr>
        <w:rPr>
          <w:szCs w:val="26"/>
        </w:rPr>
      </w:pPr>
      <w:r w:rsidRPr="006C55B4">
        <w:rPr>
          <w:szCs w:val="26"/>
        </w:rPr>
        <w:tab/>
        <w:t>If a defendant’s sentence includes both a fine and restitution, and if the defendant makes one or more payments to the district court administrator, the district court may not apply the defendant’s payments to the restitution obligation before the fine unless the district court previously issued an order that so specified, as required by Minnesota Statutes section 611A.04, subdivision 4 (2012).</w:t>
      </w:r>
    </w:p>
    <w:p w:rsidR="001167BE" w:rsidRDefault="001167BE" w:rsidP="001167BE">
      <w:pPr>
        <w:rPr>
          <w:szCs w:val="26"/>
        </w:rPr>
      </w:pPr>
    </w:p>
    <w:p w:rsidR="001167BE" w:rsidRPr="005E7D92" w:rsidRDefault="001167BE" w:rsidP="00ED63BC">
      <w:pPr>
        <w:suppressAutoHyphens w:val="0"/>
        <w:rPr>
          <w:b/>
          <w:i/>
          <w:szCs w:val="26"/>
        </w:rPr>
      </w:pPr>
      <w:r w:rsidRPr="00D173EF">
        <w:rPr>
          <w:b/>
          <w:i/>
          <w:szCs w:val="26"/>
        </w:rPr>
        <w:t>State v. Mayl</w:t>
      </w:r>
      <w:r w:rsidRPr="00D173EF">
        <w:rPr>
          <w:b/>
          <w:szCs w:val="26"/>
        </w:rPr>
        <w:t xml:space="preserve">, </w:t>
      </w:r>
      <w:r>
        <w:rPr>
          <w:b/>
          <w:szCs w:val="26"/>
        </w:rPr>
        <w:t>836 N.W.2d 368</w:t>
      </w:r>
      <w:r w:rsidRPr="00D173EF">
        <w:rPr>
          <w:b/>
          <w:szCs w:val="26"/>
        </w:rPr>
        <w:t xml:space="preserve"> (Minn. App. Aug. 26, 2013)</w:t>
      </w:r>
      <w:r>
        <w:rPr>
          <w:b/>
          <w:szCs w:val="26"/>
        </w:rPr>
        <w:t xml:space="preserve">, </w:t>
      </w:r>
      <w:r>
        <w:rPr>
          <w:b/>
          <w:i/>
          <w:szCs w:val="26"/>
        </w:rPr>
        <w:t>review denied</w:t>
      </w:r>
      <w:r>
        <w:rPr>
          <w:b/>
          <w:szCs w:val="26"/>
        </w:rPr>
        <w:t xml:space="preserve"> (Minn. Nov. 12, 2013)</w:t>
      </w:r>
      <w:r w:rsidRPr="00D173EF">
        <w:rPr>
          <w:b/>
          <w:szCs w:val="26"/>
        </w:rPr>
        <w:t xml:space="preserve"> (A13-0083).</w:t>
      </w:r>
    </w:p>
    <w:p w:rsidR="001167BE" w:rsidRPr="001167BE" w:rsidRDefault="001167BE" w:rsidP="001167BE">
      <w:pPr>
        <w:pStyle w:val="Heading1"/>
        <w:keepNext w:val="0"/>
        <w:rPr>
          <w:b w:val="0"/>
          <w:szCs w:val="26"/>
        </w:rPr>
      </w:pPr>
      <w:r w:rsidRPr="00D173EF">
        <w:rPr>
          <w:b w:val="0"/>
          <w:szCs w:val="26"/>
        </w:rPr>
        <w:tab/>
        <w:t>The district court does not have discretion under Minn. Stat. § 609.1055 (2010) to grant a downward dispositional departure to a defendant with severe and persistent mental illness when an executed sentence of imprisonment is mandatory under Minn. Stat. § 609.11, subd. 8(b) (2010).</w:t>
      </w:r>
    </w:p>
    <w:p w:rsidR="001167BE" w:rsidRDefault="001167BE" w:rsidP="003856A1">
      <w:pPr>
        <w:outlineLvl w:val="3"/>
        <w:rPr>
          <w:b/>
          <w:bCs/>
          <w:i/>
          <w:szCs w:val="26"/>
        </w:rPr>
      </w:pPr>
    </w:p>
    <w:p w:rsidR="003856A1" w:rsidRPr="006400C5" w:rsidRDefault="003856A1" w:rsidP="003856A1">
      <w:pPr>
        <w:outlineLvl w:val="3"/>
        <w:rPr>
          <w:b/>
          <w:bCs/>
          <w:szCs w:val="26"/>
        </w:rPr>
      </w:pPr>
      <w:r w:rsidRPr="006400C5">
        <w:rPr>
          <w:b/>
          <w:bCs/>
          <w:i/>
          <w:szCs w:val="26"/>
        </w:rPr>
        <w:t>Pageau v. State</w:t>
      </w:r>
      <w:r>
        <w:rPr>
          <w:b/>
          <w:bCs/>
          <w:szCs w:val="26"/>
        </w:rPr>
        <w:t>, 820</w:t>
      </w:r>
      <w:r w:rsidRPr="006400C5">
        <w:rPr>
          <w:b/>
          <w:bCs/>
          <w:szCs w:val="26"/>
        </w:rPr>
        <w:t xml:space="preserve"> N.W.2d </w:t>
      </w:r>
      <w:r>
        <w:rPr>
          <w:b/>
          <w:bCs/>
          <w:szCs w:val="26"/>
        </w:rPr>
        <w:t>271</w:t>
      </w:r>
      <w:r w:rsidRPr="006400C5">
        <w:rPr>
          <w:b/>
          <w:bCs/>
          <w:szCs w:val="26"/>
        </w:rPr>
        <w:t xml:space="preserve"> (Minn. App. Sept. 10, 2012) (A12-0158).</w:t>
      </w:r>
    </w:p>
    <w:p w:rsidR="003856A1" w:rsidRDefault="003856A1" w:rsidP="003856A1">
      <w:pPr>
        <w:rPr>
          <w:szCs w:val="26"/>
        </w:rPr>
      </w:pPr>
      <w:r w:rsidRPr="006400C5">
        <w:rPr>
          <w:szCs w:val="26"/>
        </w:rPr>
        <w:tab/>
        <w:t xml:space="preserve">To impose stacked probationary periods when pronouncing a stayed sentence consecutively to another stayed sentence, a district court must specify that the probationary periods are to be stacked.  In the absence of such a directive, the probationary periods run simultaneously.  </w:t>
      </w:r>
    </w:p>
    <w:p w:rsidR="001167BE" w:rsidRDefault="001167BE" w:rsidP="003856A1">
      <w:pPr>
        <w:rPr>
          <w:szCs w:val="26"/>
        </w:rPr>
      </w:pPr>
    </w:p>
    <w:p w:rsidR="005E7D92" w:rsidRDefault="005E7D92" w:rsidP="001167BE">
      <w:pPr>
        <w:outlineLvl w:val="3"/>
        <w:rPr>
          <w:b/>
          <w:bCs/>
          <w:i/>
          <w:szCs w:val="26"/>
        </w:rPr>
      </w:pPr>
    </w:p>
    <w:p w:rsidR="005E7D92" w:rsidRDefault="005E7D92" w:rsidP="001167BE">
      <w:pPr>
        <w:outlineLvl w:val="3"/>
        <w:rPr>
          <w:b/>
          <w:bCs/>
          <w:i/>
          <w:szCs w:val="26"/>
        </w:rPr>
      </w:pPr>
    </w:p>
    <w:p w:rsidR="001167BE" w:rsidRPr="006400C5" w:rsidRDefault="001167BE" w:rsidP="001167BE">
      <w:pPr>
        <w:outlineLvl w:val="3"/>
        <w:rPr>
          <w:b/>
          <w:bCs/>
          <w:szCs w:val="26"/>
        </w:rPr>
      </w:pPr>
      <w:r w:rsidRPr="006400C5">
        <w:rPr>
          <w:b/>
          <w:bCs/>
          <w:i/>
          <w:szCs w:val="26"/>
        </w:rPr>
        <w:t>State v. Peter</w:t>
      </w:r>
      <w:r w:rsidRPr="006400C5">
        <w:rPr>
          <w:b/>
          <w:bCs/>
          <w:szCs w:val="26"/>
        </w:rPr>
        <w:t xml:space="preserve">, </w:t>
      </w:r>
      <w:r>
        <w:rPr>
          <w:b/>
          <w:bCs/>
          <w:szCs w:val="26"/>
        </w:rPr>
        <w:t>825</w:t>
      </w:r>
      <w:r w:rsidRPr="006400C5">
        <w:rPr>
          <w:b/>
          <w:bCs/>
          <w:szCs w:val="26"/>
        </w:rPr>
        <w:t xml:space="preserve"> N.W.2d </w:t>
      </w:r>
      <w:r>
        <w:rPr>
          <w:b/>
          <w:bCs/>
          <w:szCs w:val="26"/>
        </w:rPr>
        <w:t xml:space="preserve">126 </w:t>
      </w:r>
      <w:r w:rsidRPr="006400C5">
        <w:rPr>
          <w:b/>
          <w:bCs/>
          <w:szCs w:val="26"/>
        </w:rPr>
        <w:t>(Minn. App. Dec. 17, 2012)</w:t>
      </w:r>
      <w:r>
        <w:rPr>
          <w:b/>
          <w:bCs/>
          <w:szCs w:val="26"/>
        </w:rPr>
        <w:t xml:space="preserve">, </w:t>
      </w:r>
      <w:r>
        <w:rPr>
          <w:b/>
          <w:bCs/>
          <w:i/>
          <w:szCs w:val="26"/>
        </w:rPr>
        <w:t xml:space="preserve">review denied </w:t>
      </w:r>
      <w:r>
        <w:rPr>
          <w:b/>
          <w:bCs/>
          <w:szCs w:val="26"/>
        </w:rPr>
        <w:t>(Minn. Feb. 27, 2013)</w:t>
      </w:r>
      <w:r w:rsidRPr="006400C5">
        <w:rPr>
          <w:b/>
          <w:bCs/>
          <w:szCs w:val="26"/>
        </w:rPr>
        <w:t xml:space="preserve"> (A12-0835).</w:t>
      </w:r>
    </w:p>
    <w:p w:rsidR="001167BE" w:rsidRPr="006400C5" w:rsidRDefault="001167BE" w:rsidP="001167BE">
      <w:pPr>
        <w:pStyle w:val="ListBullet"/>
        <w:ind w:firstLine="720"/>
        <w:rPr>
          <w:szCs w:val="26"/>
        </w:rPr>
      </w:pPr>
      <w:r w:rsidRPr="006400C5">
        <w:rPr>
          <w:szCs w:val="26"/>
        </w:rPr>
        <w:t>The district court abuses its discretion by departing downward durationally from the presumptive felony sentence under the guidelines to impose a misdemeanor sentence in order to protect the defendant from the possible effect of the federal government’s policy to deport noncitizen felons.</w:t>
      </w:r>
    </w:p>
    <w:p w:rsidR="003856A1" w:rsidRPr="006400C5" w:rsidRDefault="003856A1" w:rsidP="003856A1">
      <w:pPr>
        <w:outlineLvl w:val="3"/>
        <w:rPr>
          <w:b/>
          <w:bCs/>
          <w:szCs w:val="26"/>
        </w:rPr>
      </w:pPr>
    </w:p>
    <w:p w:rsidR="003856A1" w:rsidRPr="006400C5" w:rsidRDefault="003856A1" w:rsidP="003856A1">
      <w:pPr>
        <w:outlineLvl w:val="3"/>
        <w:rPr>
          <w:b/>
          <w:bCs/>
          <w:szCs w:val="26"/>
        </w:rPr>
      </w:pPr>
      <w:r w:rsidRPr="006400C5">
        <w:rPr>
          <w:b/>
          <w:bCs/>
          <w:i/>
          <w:szCs w:val="26"/>
        </w:rPr>
        <w:t>State v. Rushton</w:t>
      </w:r>
      <w:r>
        <w:rPr>
          <w:b/>
          <w:bCs/>
          <w:szCs w:val="26"/>
        </w:rPr>
        <w:t>, 820</w:t>
      </w:r>
      <w:r w:rsidRPr="006400C5">
        <w:rPr>
          <w:b/>
          <w:bCs/>
          <w:szCs w:val="26"/>
        </w:rPr>
        <w:t xml:space="preserve"> N.W.2d </w:t>
      </w:r>
      <w:r>
        <w:rPr>
          <w:b/>
          <w:bCs/>
          <w:szCs w:val="26"/>
        </w:rPr>
        <w:t>287</w:t>
      </w:r>
      <w:r w:rsidRPr="006400C5">
        <w:rPr>
          <w:b/>
          <w:bCs/>
          <w:szCs w:val="26"/>
        </w:rPr>
        <w:t xml:space="preserve"> (Minn. App. Sept. 17, 2012) (A11-1734).  </w:t>
      </w:r>
    </w:p>
    <w:p w:rsidR="003856A1" w:rsidRDefault="003856A1" w:rsidP="003856A1">
      <w:pPr>
        <w:outlineLvl w:val="3"/>
        <w:rPr>
          <w:szCs w:val="26"/>
        </w:rPr>
      </w:pPr>
      <w:r w:rsidRPr="006400C5">
        <w:rPr>
          <w:b/>
          <w:bCs/>
          <w:szCs w:val="26"/>
        </w:rPr>
        <w:tab/>
      </w:r>
      <w:r w:rsidRPr="006400C5">
        <w:rPr>
          <w:szCs w:val="26"/>
        </w:rPr>
        <w:t>When imposing a life sentence pursuant to Minn. Stat. § 609.3455, subd. 4 (2010), a district court departs from the Minnesota Sentencing Guidelines when it sets a minimum term of imprisonment that is outside the presumptive sentencing-guidelines range.</w:t>
      </w:r>
    </w:p>
    <w:p w:rsidR="00625402" w:rsidRDefault="00625402" w:rsidP="003856A1">
      <w:pPr>
        <w:outlineLvl w:val="3"/>
        <w:rPr>
          <w:szCs w:val="26"/>
        </w:rPr>
      </w:pPr>
    </w:p>
    <w:p w:rsidR="00625402" w:rsidRPr="00756D04" w:rsidRDefault="00625402" w:rsidP="00625402">
      <w:pPr>
        <w:rPr>
          <w:b/>
          <w:szCs w:val="26"/>
        </w:rPr>
      </w:pPr>
      <w:r w:rsidRPr="00756D04">
        <w:rPr>
          <w:b/>
          <w:i/>
          <w:szCs w:val="26"/>
        </w:rPr>
        <w:t>State v. Turrubiates</w:t>
      </w:r>
      <w:r w:rsidRPr="00756D04">
        <w:rPr>
          <w:b/>
          <w:szCs w:val="26"/>
        </w:rPr>
        <w:t xml:space="preserve">, </w:t>
      </w:r>
      <w:r>
        <w:rPr>
          <w:b/>
          <w:szCs w:val="26"/>
        </w:rPr>
        <w:t>830</w:t>
      </w:r>
      <w:r w:rsidRPr="00756D04">
        <w:rPr>
          <w:b/>
          <w:szCs w:val="26"/>
        </w:rPr>
        <w:t xml:space="preserve"> N.W.2d </w:t>
      </w:r>
      <w:r>
        <w:rPr>
          <w:b/>
          <w:szCs w:val="26"/>
        </w:rPr>
        <w:t>173</w:t>
      </w:r>
      <w:r w:rsidRPr="00756D04">
        <w:rPr>
          <w:b/>
          <w:szCs w:val="26"/>
        </w:rPr>
        <w:t xml:space="preserve"> (Minn. App. May 6, 2013)</w:t>
      </w:r>
      <w:r>
        <w:rPr>
          <w:b/>
          <w:szCs w:val="26"/>
        </w:rPr>
        <w:t xml:space="preserve">, </w:t>
      </w:r>
      <w:r>
        <w:rPr>
          <w:b/>
          <w:i/>
          <w:szCs w:val="26"/>
        </w:rPr>
        <w:t>review denied</w:t>
      </w:r>
      <w:r>
        <w:rPr>
          <w:b/>
          <w:szCs w:val="26"/>
        </w:rPr>
        <w:t xml:space="preserve"> (Minn. July 16, 2013)</w:t>
      </w:r>
      <w:r w:rsidRPr="00756D04">
        <w:rPr>
          <w:b/>
          <w:szCs w:val="26"/>
        </w:rPr>
        <w:t xml:space="preserve"> (A12-1109).</w:t>
      </w:r>
    </w:p>
    <w:p w:rsidR="00625402" w:rsidRDefault="00625402" w:rsidP="00625402">
      <w:pPr>
        <w:outlineLvl w:val="0"/>
        <w:rPr>
          <w:szCs w:val="26"/>
        </w:rPr>
      </w:pPr>
      <w:r w:rsidRPr="00756D04">
        <w:rPr>
          <w:szCs w:val="26"/>
        </w:rPr>
        <w:tab/>
        <w:t>When departing upward from the presumptive guidelines sentence for second-degree unintentional felony murder, Minn. Stat. § 609.19, subd. 2(1) (2010), while committing child endangerment resulting in substantial harm to the child’s physical, mental, or emotional health, Minn. Stat. § 609.378, subd. 1(b)(1) (2010), a district court may rely on the aggravating factor of particular vulnerability of the victim based on the victim’s infancy.</w:t>
      </w:r>
    </w:p>
    <w:p w:rsidR="00716E83" w:rsidRDefault="00716E83" w:rsidP="003856A1">
      <w:pPr>
        <w:outlineLvl w:val="3"/>
        <w:rPr>
          <w:szCs w:val="26"/>
        </w:rPr>
      </w:pPr>
    </w:p>
    <w:p w:rsidR="00716E83" w:rsidRPr="005E7D92" w:rsidRDefault="00716E83" w:rsidP="00ED63BC">
      <w:pPr>
        <w:suppressAutoHyphens w:val="0"/>
        <w:rPr>
          <w:b/>
          <w:i/>
          <w:szCs w:val="26"/>
        </w:rPr>
      </w:pPr>
      <w:r w:rsidRPr="00756D04">
        <w:rPr>
          <w:b/>
          <w:i/>
          <w:szCs w:val="26"/>
        </w:rPr>
        <w:t>State v. Watson</w:t>
      </w:r>
      <w:r w:rsidRPr="00756D04">
        <w:rPr>
          <w:b/>
          <w:szCs w:val="26"/>
        </w:rPr>
        <w:t xml:space="preserve">, </w:t>
      </w:r>
      <w:r>
        <w:rPr>
          <w:b/>
          <w:szCs w:val="26"/>
        </w:rPr>
        <w:t>829</w:t>
      </w:r>
      <w:r w:rsidRPr="00756D04">
        <w:rPr>
          <w:b/>
          <w:szCs w:val="26"/>
        </w:rPr>
        <w:t xml:space="preserve"> N.W.2d </w:t>
      </w:r>
      <w:r>
        <w:rPr>
          <w:b/>
          <w:szCs w:val="26"/>
        </w:rPr>
        <w:t>626</w:t>
      </w:r>
      <w:r w:rsidRPr="00756D04">
        <w:rPr>
          <w:b/>
          <w:szCs w:val="26"/>
        </w:rPr>
        <w:t xml:space="preserve"> (Minn. App. Apr. 15, 2013)</w:t>
      </w:r>
      <w:r>
        <w:rPr>
          <w:b/>
          <w:szCs w:val="26"/>
        </w:rPr>
        <w:t xml:space="preserve">, </w:t>
      </w:r>
      <w:r>
        <w:rPr>
          <w:b/>
          <w:i/>
          <w:szCs w:val="26"/>
        </w:rPr>
        <w:t>review denied</w:t>
      </w:r>
      <w:r>
        <w:rPr>
          <w:b/>
          <w:szCs w:val="26"/>
        </w:rPr>
        <w:t xml:space="preserve"> (Minn. June 26, 2013)</w:t>
      </w:r>
      <w:r w:rsidRPr="00756D04">
        <w:rPr>
          <w:b/>
          <w:szCs w:val="26"/>
        </w:rPr>
        <w:t xml:space="preserve"> (A12-0904).  </w:t>
      </w:r>
    </w:p>
    <w:p w:rsidR="00716E83" w:rsidRPr="00716E83" w:rsidRDefault="00716E83" w:rsidP="00716E83">
      <w:pPr>
        <w:rPr>
          <w:szCs w:val="26"/>
        </w:rPr>
      </w:pPr>
      <w:r w:rsidRPr="00756D04">
        <w:rPr>
          <w:b/>
          <w:szCs w:val="26"/>
        </w:rPr>
        <w:tab/>
      </w:r>
      <w:r w:rsidRPr="00756D04">
        <w:rPr>
          <w:szCs w:val="26"/>
        </w:rPr>
        <w:t>Under Minn. Stat. § 609.035, subd. 3 (2010), a district court may separately sentence a defendant for the offenses of certain persons not to possess firearms in violation of Minn. Stat. § 624.713, subd. 1(2) (2010), i.e., a felon-in-possession-of-a-firearm offense, and receiving or possessing a firearm, the serial number or other identification of which has been obliterated, removed, changed, or altered in violation of Minn. Stat. § 609.667(2) (2010), notwithstanding that both offenses were committed as part of the same conduct.</w:t>
      </w:r>
    </w:p>
    <w:p w:rsidR="003856A1" w:rsidRDefault="003856A1" w:rsidP="003856A1">
      <w:pPr>
        <w:outlineLvl w:val="0"/>
      </w:pPr>
    </w:p>
    <w:p w:rsidR="003856A1" w:rsidRPr="006400C5" w:rsidRDefault="003856A1" w:rsidP="003856A1">
      <w:pPr>
        <w:outlineLvl w:val="3"/>
        <w:rPr>
          <w:b/>
          <w:bCs/>
          <w:szCs w:val="26"/>
        </w:rPr>
      </w:pPr>
      <w:r w:rsidRPr="006400C5">
        <w:rPr>
          <w:b/>
          <w:bCs/>
          <w:i/>
          <w:szCs w:val="26"/>
        </w:rPr>
        <w:t>Vazquez v. State</w:t>
      </w:r>
      <w:r>
        <w:rPr>
          <w:b/>
          <w:bCs/>
          <w:szCs w:val="26"/>
        </w:rPr>
        <w:t>, 822 N.W.2d 313</w:t>
      </w:r>
      <w:r w:rsidRPr="006400C5">
        <w:rPr>
          <w:b/>
          <w:bCs/>
          <w:szCs w:val="26"/>
        </w:rPr>
        <w:t xml:space="preserve"> (Minn. App. Oct. 29, 2012) (A12-0204).</w:t>
      </w:r>
    </w:p>
    <w:p w:rsidR="003856A1" w:rsidRDefault="003856A1" w:rsidP="003856A1">
      <w:pPr>
        <w:ind w:firstLine="720"/>
        <w:outlineLvl w:val="0"/>
        <w:rPr>
          <w:snapToGrid w:val="0"/>
          <w:szCs w:val="26"/>
        </w:rPr>
      </w:pPr>
      <w:r w:rsidRPr="00B55E43">
        <w:rPr>
          <w:snapToGrid w:val="0"/>
          <w:szCs w:val="26"/>
        </w:rPr>
        <w:t>A motion for correction or reduction of sentence based solely on a challenge to the accuracy of the criminal-history score is properly brought under Minn. R. Crim. P. 27.03, subd. 9, and is not subject to the two-year postconviction statute of limitations.</w:t>
      </w:r>
    </w:p>
    <w:p w:rsidR="007E0313" w:rsidRPr="006C55B4" w:rsidRDefault="007E0313" w:rsidP="003856A1">
      <w:pPr>
        <w:rPr>
          <w:b/>
          <w:szCs w:val="26"/>
        </w:rPr>
      </w:pPr>
    </w:p>
    <w:p w:rsidR="003856A1" w:rsidRPr="004650C7" w:rsidRDefault="003856A1" w:rsidP="003856A1">
      <w:pPr>
        <w:rPr>
          <w:b/>
          <w:szCs w:val="26"/>
          <w:highlight w:val="yellow"/>
        </w:rPr>
      </w:pPr>
    </w:p>
    <w:p w:rsidR="005E7D92" w:rsidRDefault="005E7D92" w:rsidP="003856A1">
      <w:pPr>
        <w:outlineLvl w:val="0"/>
        <w:rPr>
          <w:b/>
          <w:snapToGrid w:val="0"/>
          <w:u w:val="single"/>
        </w:rPr>
      </w:pPr>
    </w:p>
    <w:p w:rsidR="005E7D92" w:rsidRDefault="005E7D92" w:rsidP="003856A1">
      <w:pPr>
        <w:outlineLvl w:val="0"/>
        <w:rPr>
          <w:b/>
          <w:snapToGrid w:val="0"/>
          <w:u w:val="single"/>
        </w:rPr>
      </w:pPr>
    </w:p>
    <w:p w:rsidR="005E7D92" w:rsidRDefault="005E7D92" w:rsidP="003856A1">
      <w:pPr>
        <w:outlineLvl w:val="0"/>
        <w:rPr>
          <w:b/>
          <w:snapToGrid w:val="0"/>
          <w:u w:val="single"/>
        </w:rPr>
      </w:pPr>
    </w:p>
    <w:p w:rsidR="003856A1" w:rsidRPr="009B6C3D" w:rsidRDefault="003856A1" w:rsidP="003856A1">
      <w:pPr>
        <w:outlineLvl w:val="0"/>
        <w:rPr>
          <w:b/>
          <w:snapToGrid w:val="0"/>
          <w:u w:val="single"/>
        </w:rPr>
      </w:pPr>
      <w:r w:rsidRPr="009B6C3D">
        <w:rPr>
          <w:b/>
          <w:snapToGrid w:val="0"/>
          <w:u w:val="single"/>
        </w:rPr>
        <w:t>Sex Offender Commitment</w:t>
      </w:r>
    </w:p>
    <w:p w:rsidR="003856A1" w:rsidRDefault="003856A1" w:rsidP="003856A1">
      <w:pPr>
        <w:outlineLvl w:val="0"/>
        <w:rPr>
          <w:b/>
          <w:snapToGrid w:val="0"/>
        </w:rPr>
      </w:pPr>
    </w:p>
    <w:p w:rsidR="003856A1" w:rsidRPr="004F6C34" w:rsidRDefault="003856A1" w:rsidP="003856A1">
      <w:pPr>
        <w:outlineLvl w:val="3"/>
        <w:rPr>
          <w:b/>
          <w:bCs/>
          <w:szCs w:val="26"/>
        </w:rPr>
      </w:pPr>
      <w:r w:rsidRPr="004F6C34">
        <w:rPr>
          <w:b/>
          <w:bCs/>
          <w:i/>
          <w:szCs w:val="26"/>
        </w:rPr>
        <w:t xml:space="preserve">In re </w:t>
      </w:r>
      <w:r w:rsidR="00795469">
        <w:rPr>
          <w:b/>
          <w:bCs/>
          <w:i/>
          <w:szCs w:val="26"/>
        </w:rPr>
        <w:t xml:space="preserve">Civil </w:t>
      </w:r>
      <w:r w:rsidRPr="004F6C34">
        <w:rPr>
          <w:b/>
          <w:bCs/>
          <w:i/>
          <w:szCs w:val="26"/>
        </w:rPr>
        <w:t>Commitment of Crosby</w:t>
      </w:r>
      <w:r w:rsidRPr="004F6C34">
        <w:rPr>
          <w:b/>
          <w:bCs/>
          <w:szCs w:val="26"/>
        </w:rPr>
        <w:t xml:space="preserve">, </w:t>
      </w:r>
      <w:r>
        <w:rPr>
          <w:b/>
          <w:bCs/>
          <w:szCs w:val="26"/>
        </w:rPr>
        <w:t>824</w:t>
      </w:r>
      <w:r w:rsidRPr="004F6C34">
        <w:rPr>
          <w:b/>
          <w:bCs/>
          <w:szCs w:val="26"/>
        </w:rPr>
        <w:t xml:space="preserve"> N.W.2</w:t>
      </w:r>
      <w:r>
        <w:rPr>
          <w:b/>
          <w:bCs/>
          <w:szCs w:val="26"/>
        </w:rPr>
        <w:t xml:space="preserve">d 351 (Minn. App. Jan. 7, 2013), </w:t>
      </w:r>
      <w:r>
        <w:rPr>
          <w:b/>
          <w:bCs/>
          <w:i/>
          <w:szCs w:val="26"/>
        </w:rPr>
        <w:t xml:space="preserve">review denied </w:t>
      </w:r>
      <w:r>
        <w:rPr>
          <w:b/>
          <w:bCs/>
          <w:szCs w:val="26"/>
        </w:rPr>
        <w:t>(Minn. Mar. 27, 2013)</w:t>
      </w:r>
      <w:r w:rsidRPr="004F6C34">
        <w:rPr>
          <w:b/>
          <w:bCs/>
          <w:szCs w:val="26"/>
        </w:rPr>
        <w:t xml:space="preserve"> (A12-1224).  </w:t>
      </w:r>
    </w:p>
    <w:p w:rsidR="003856A1" w:rsidRDefault="003856A1" w:rsidP="003856A1">
      <w:pPr>
        <w:outlineLvl w:val="3"/>
        <w:rPr>
          <w:szCs w:val="26"/>
        </w:rPr>
      </w:pPr>
      <w:r w:rsidRPr="004F6C34">
        <w:rPr>
          <w:b/>
          <w:bCs/>
          <w:szCs w:val="26"/>
        </w:rPr>
        <w:tab/>
      </w:r>
      <w:r w:rsidRPr="004F6C34">
        <w:rPr>
          <w:szCs w:val="26"/>
        </w:rPr>
        <w:t>Recent sexual conduct that is substantially similar to conduct that a sex offender previously engaged in as a precursor to his violent sex offenses may constitute part of a "course of harmful sexual conduct” for civil commitment of a sexually dangerous person under Minnesota Statutes section 253B.02, subdivision 18(c), and part of a “habitual course of misconduct” for civil commitment of a sexual psychopathic personality under Minnesota Statutes section 253B.02, subdivision 18(b), even if that conduct is not by itself “harmful sexual conduct” under the commitment statute.</w:t>
      </w:r>
    </w:p>
    <w:p w:rsidR="00322313" w:rsidRDefault="00322313" w:rsidP="003856A1">
      <w:pPr>
        <w:outlineLvl w:val="3"/>
        <w:rPr>
          <w:szCs w:val="26"/>
        </w:rPr>
      </w:pPr>
    </w:p>
    <w:p w:rsidR="00322313" w:rsidRPr="005E7D92" w:rsidRDefault="00322313" w:rsidP="000E47CE">
      <w:pPr>
        <w:suppressAutoHyphens w:val="0"/>
        <w:rPr>
          <w:b/>
          <w:i/>
          <w:szCs w:val="26"/>
        </w:rPr>
      </w:pPr>
      <w:r>
        <w:rPr>
          <w:b/>
          <w:i/>
          <w:szCs w:val="26"/>
        </w:rPr>
        <w:t>In re</w:t>
      </w:r>
      <w:r w:rsidRPr="00756D04">
        <w:rPr>
          <w:b/>
          <w:i/>
          <w:szCs w:val="26"/>
        </w:rPr>
        <w:t xml:space="preserve"> Civil Commitment of Moen</w:t>
      </w:r>
      <w:r w:rsidRPr="00756D04">
        <w:rPr>
          <w:b/>
          <w:szCs w:val="26"/>
        </w:rPr>
        <w:t xml:space="preserve">, </w:t>
      </w:r>
      <w:r>
        <w:rPr>
          <w:b/>
          <w:szCs w:val="26"/>
        </w:rPr>
        <w:t>837</w:t>
      </w:r>
      <w:r w:rsidRPr="00756D04">
        <w:rPr>
          <w:b/>
          <w:szCs w:val="26"/>
        </w:rPr>
        <w:t xml:space="preserve"> N.W.2d </w:t>
      </w:r>
      <w:r>
        <w:rPr>
          <w:b/>
          <w:szCs w:val="26"/>
        </w:rPr>
        <w:t>40</w:t>
      </w:r>
      <w:r w:rsidRPr="00756D04">
        <w:rPr>
          <w:b/>
          <w:szCs w:val="26"/>
        </w:rPr>
        <w:t xml:space="preserve"> (Minn. App. Aug. 5, 2013)</w:t>
      </w:r>
      <w:r>
        <w:rPr>
          <w:b/>
          <w:szCs w:val="26"/>
        </w:rPr>
        <w:t xml:space="preserve">, </w:t>
      </w:r>
      <w:r>
        <w:rPr>
          <w:b/>
          <w:i/>
          <w:szCs w:val="26"/>
        </w:rPr>
        <w:t>review denied</w:t>
      </w:r>
      <w:r>
        <w:rPr>
          <w:b/>
          <w:szCs w:val="26"/>
        </w:rPr>
        <w:t xml:space="preserve"> (Minn. Oct. 15, 2013)</w:t>
      </w:r>
      <w:r w:rsidRPr="00756D04">
        <w:rPr>
          <w:b/>
          <w:szCs w:val="26"/>
        </w:rPr>
        <w:t xml:space="preserve"> (A13-0602).</w:t>
      </w:r>
    </w:p>
    <w:p w:rsidR="00322313" w:rsidRPr="00756D04" w:rsidRDefault="00322313" w:rsidP="00322313">
      <w:pPr>
        <w:ind w:firstLine="720"/>
        <w:outlineLvl w:val="0"/>
        <w:rPr>
          <w:szCs w:val="26"/>
        </w:rPr>
      </w:pPr>
      <w:r w:rsidRPr="00756D04">
        <w:rPr>
          <w:szCs w:val="26"/>
        </w:rPr>
        <w:t>1.</w:t>
      </w:r>
      <w:r w:rsidRPr="00756D04">
        <w:rPr>
          <w:szCs w:val="26"/>
        </w:rPr>
        <w:tab/>
        <w:t xml:space="preserve">If a person committed as a sexually dangerous person (SDP) brings a motion for relief from a commitment order pursuant to rule 60.02(e) of the Minnesota Rules of Civil Procedure based on the alleged inadequacy of treatment in the Minnesota Sex Offender Program (MSOP), without specifying the nature of the relief sought, the motion is barred by the exclusive transfer-or-discharge remedies of the Minnesota Commitment Act and the supreme court’s opinion in </w:t>
      </w:r>
      <w:r w:rsidRPr="00756D04">
        <w:rPr>
          <w:i/>
          <w:szCs w:val="26"/>
        </w:rPr>
        <w:t>In re Civil Commitment of Lonergan</w:t>
      </w:r>
      <w:r w:rsidRPr="00756D04">
        <w:rPr>
          <w:szCs w:val="26"/>
        </w:rPr>
        <w:t>, 811 N.W.2d 635 (Minn. 2012).</w:t>
      </w:r>
    </w:p>
    <w:p w:rsidR="00322313" w:rsidRPr="00756D04" w:rsidRDefault="00322313" w:rsidP="00322313">
      <w:pPr>
        <w:ind w:firstLine="720"/>
        <w:outlineLvl w:val="0"/>
        <w:rPr>
          <w:szCs w:val="26"/>
        </w:rPr>
      </w:pPr>
      <w:r w:rsidRPr="00756D04">
        <w:rPr>
          <w:szCs w:val="26"/>
        </w:rPr>
        <w:t>2.</w:t>
      </w:r>
      <w:r w:rsidRPr="00756D04">
        <w:rPr>
          <w:szCs w:val="26"/>
        </w:rPr>
        <w:tab/>
        <w:t>If a person committed as an SDP brings a motion for relief from a commitment order pursuant to rule 60.02(e) of the Minnesota Rules of Civil Procedure based on the alleged inadequacy of treatment in the MSOP, the motion does not state a viable claim for relief under the rule.</w:t>
      </w:r>
    </w:p>
    <w:p w:rsidR="003856A1" w:rsidRDefault="000E47CE" w:rsidP="003856A1">
      <w:pPr>
        <w:outlineLvl w:val="3"/>
        <w:rPr>
          <w:szCs w:val="26"/>
        </w:rPr>
      </w:pPr>
      <w:r>
        <w:rPr>
          <w:szCs w:val="26"/>
        </w:rPr>
        <w:tab/>
      </w:r>
      <w:r w:rsidR="00322313" w:rsidRPr="00756D04">
        <w:rPr>
          <w:szCs w:val="26"/>
        </w:rPr>
        <w:t>3.</w:t>
      </w:r>
      <w:r w:rsidR="00322313" w:rsidRPr="00756D04">
        <w:rPr>
          <w:szCs w:val="26"/>
        </w:rPr>
        <w:tab/>
        <w:t>A person committed as an SDP does not have a statutory right to counsel under section 253B.07, subdivision 2c, of the Minnesota Statutes for purposes of pursuing a motion for relief from a commitment order pursuant to rule 60.02(e) of the Minnesota Rules of Civil Procedure.</w:t>
      </w:r>
    </w:p>
    <w:p w:rsidR="001167BE" w:rsidRDefault="001167BE" w:rsidP="003856A1">
      <w:pPr>
        <w:outlineLvl w:val="3"/>
        <w:rPr>
          <w:szCs w:val="26"/>
        </w:rPr>
      </w:pPr>
    </w:p>
    <w:p w:rsidR="00625402" w:rsidRDefault="00625402" w:rsidP="003856A1">
      <w:pPr>
        <w:outlineLvl w:val="3"/>
        <w:rPr>
          <w:szCs w:val="26"/>
        </w:rPr>
      </w:pPr>
    </w:p>
    <w:p w:rsidR="003856A1" w:rsidRPr="003A0954" w:rsidRDefault="003856A1" w:rsidP="003856A1">
      <w:r>
        <w:rPr>
          <w:b/>
          <w:u w:val="single"/>
        </w:rPr>
        <w:t>Substantive Criminal Law</w:t>
      </w:r>
    </w:p>
    <w:p w:rsidR="003856A1" w:rsidRDefault="003856A1" w:rsidP="003856A1"/>
    <w:p w:rsidR="00235E48" w:rsidRPr="00756D04" w:rsidRDefault="00235E48" w:rsidP="00235E48">
      <w:pPr>
        <w:rPr>
          <w:b/>
          <w:szCs w:val="26"/>
        </w:rPr>
      </w:pPr>
      <w:r w:rsidRPr="00756D04">
        <w:rPr>
          <w:b/>
          <w:i/>
          <w:szCs w:val="26"/>
        </w:rPr>
        <w:t>State v. Bakdash</w:t>
      </w:r>
      <w:r w:rsidRPr="00756D04">
        <w:rPr>
          <w:b/>
          <w:szCs w:val="26"/>
        </w:rPr>
        <w:t xml:space="preserve">, </w:t>
      </w:r>
      <w:r>
        <w:rPr>
          <w:b/>
          <w:szCs w:val="26"/>
        </w:rPr>
        <w:t>830</w:t>
      </w:r>
      <w:r w:rsidRPr="00756D04">
        <w:rPr>
          <w:b/>
          <w:szCs w:val="26"/>
        </w:rPr>
        <w:t xml:space="preserve"> N.W.2d </w:t>
      </w:r>
      <w:r>
        <w:rPr>
          <w:b/>
          <w:szCs w:val="26"/>
        </w:rPr>
        <w:t>906</w:t>
      </w:r>
      <w:r w:rsidRPr="00756D04">
        <w:rPr>
          <w:b/>
          <w:szCs w:val="26"/>
        </w:rPr>
        <w:t xml:space="preserve"> (Minn. App. May 20, 2013)</w:t>
      </w:r>
      <w:r>
        <w:rPr>
          <w:b/>
          <w:szCs w:val="26"/>
        </w:rPr>
        <w:t xml:space="preserve">, </w:t>
      </w:r>
      <w:r>
        <w:rPr>
          <w:b/>
          <w:i/>
          <w:szCs w:val="26"/>
        </w:rPr>
        <w:t>review denied</w:t>
      </w:r>
      <w:r>
        <w:rPr>
          <w:b/>
          <w:szCs w:val="26"/>
        </w:rPr>
        <w:t xml:space="preserve"> (Minn. Aug. 6, 2013)</w:t>
      </w:r>
      <w:r w:rsidRPr="00756D04">
        <w:rPr>
          <w:b/>
          <w:szCs w:val="26"/>
        </w:rPr>
        <w:t xml:space="preserve"> (A12-1133).</w:t>
      </w:r>
      <w:r w:rsidR="00EE627A">
        <w:rPr>
          <w:b/>
          <w:szCs w:val="26"/>
        </w:rPr>
        <w:t xml:space="preserve"> </w:t>
      </w:r>
      <w:r w:rsidR="00EE627A">
        <w:t xml:space="preserve">(See page </w:t>
      </w:r>
      <w:r w:rsidR="005729FA">
        <w:t>24</w:t>
      </w:r>
      <w:r w:rsidR="00EE627A">
        <w:t xml:space="preserve"> for additional syllabus points for this case.)</w:t>
      </w:r>
    </w:p>
    <w:p w:rsidR="00235E48" w:rsidRPr="00756D04" w:rsidRDefault="00235E48" w:rsidP="00235E48">
      <w:pPr>
        <w:ind w:firstLine="720"/>
        <w:outlineLvl w:val="0"/>
        <w:rPr>
          <w:szCs w:val="26"/>
        </w:rPr>
      </w:pPr>
      <w:r w:rsidRPr="00756D04">
        <w:rPr>
          <w:szCs w:val="26"/>
        </w:rPr>
        <w:t xml:space="preserve">1.  Under the doctrine of transferred intent, when a defendant acts with the intent to cause the death of a specific victim, but instead contemporaneously causes death or injury to unintended victims, the defendant is guilty of specific-intent crimes relating to the death or injury of the unintended victims.  So long as the state proves that the defendant intended to cause the death of a person, the doctrine of transferred intent applies regardless of whether the defendant succeeds in causing death or harm to the intended victim, the intended victim is specifically identified, or the state brings charges against the defendant relating to the intended victim. </w:t>
      </w:r>
    </w:p>
    <w:p w:rsidR="00235E48" w:rsidRPr="00EE627A" w:rsidRDefault="00235E48" w:rsidP="00EE627A">
      <w:pPr>
        <w:ind w:firstLine="720"/>
        <w:outlineLvl w:val="0"/>
        <w:rPr>
          <w:szCs w:val="26"/>
        </w:rPr>
      </w:pPr>
      <w:r w:rsidRPr="00756D04">
        <w:rPr>
          <w:szCs w:val="26"/>
        </w:rPr>
        <w:t xml:space="preserve">2.  Because transferred intent is incorporated into the statutory charges of first-degree murder and attempted first-degree murder, an indictment is not constructively amended when the state advances transferred intent as a theory at trial but not before the grand jury.  </w:t>
      </w:r>
    </w:p>
    <w:p w:rsidR="00235E48" w:rsidRDefault="00235E48" w:rsidP="003856A1"/>
    <w:p w:rsidR="00697E49" w:rsidRDefault="00697E49" w:rsidP="001167BE">
      <w:pPr>
        <w:outlineLvl w:val="3"/>
        <w:rPr>
          <w:b/>
          <w:bCs/>
          <w:szCs w:val="26"/>
        </w:rPr>
      </w:pPr>
      <w:r>
        <w:rPr>
          <w:b/>
          <w:bCs/>
          <w:i/>
          <w:szCs w:val="26"/>
        </w:rPr>
        <w:t>State v. Broten</w:t>
      </w:r>
      <w:r>
        <w:rPr>
          <w:b/>
          <w:bCs/>
          <w:szCs w:val="26"/>
        </w:rPr>
        <w:t xml:space="preserve">, 836 N.W.2d 573 (Minn. App. Sept. 3, 2013), </w:t>
      </w:r>
      <w:r>
        <w:rPr>
          <w:b/>
          <w:bCs/>
          <w:i/>
          <w:szCs w:val="26"/>
        </w:rPr>
        <w:t>review denied</w:t>
      </w:r>
      <w:r>
        <w:rPr>
          <w:b/>
          <w:bCs/>
          <w:szCs w:val="26"/>
        </w:rPr>
        <w:t xml:space="preserve"> (Minn. Nov. 12, 2013) (A13-0192).</w:t>
      </w:r>
    </w:p>
    <w:p w:rsidR="00697E49" w:rsidRDefault="00697E49" w:rsidP="00697E49">
      <w:pPr>
        <w:pStyle w:val="Heading1"/>
        <w:keepNext w:val="0"/>
        <w:ind w:firstLine="720"/>
        <w:rPr>
          <w:b w:val="0"/>
          <w:szCs w:val="26"/>
        </w:rPr>
      </w:pPr>
      <w:r>
        <w:rPr>
          <w:b w:val="0"/>
          <w:szCs w:val="26"/>
        </w:rPr>
        <w:t>Proof of bodily harm is not required for a conviction of malicious punishment of a child under Minn. Stat. § 609.377, subd. 1 (2010).  Minn. Stat. § 609.377 (2010) is not unconstitutionally vague.</w:t>
      </w:r>
    </w:p>
    <w:p w:rsidR="00235E48" w:rsidRDefault="00235E48" w:rsidP="00235E48"/>
    <w:p w:rsidR="00235E48" w:rsidRPr="00756D04" w:rsidRDefault="00235E48" w:rsidP="00235E48">
      <w:pPr>
        <w:rPr>
          <w:b/>
          <w:szCs w:val="26"/>
        </w:rPr>
      </w:pPr>
      <w:r w:rsidRPr="00756D04">
        <w:rPr>
          <w:b/>
          <w:i/>
          <w:szCs w:val="26"/>
        </w:rPr>
        <w:t>State v. Garcia-Gutierrez</w:t>
      </w:r>
      <w:r w:rsidRPr="00756D04">
        <w:rPr>
          <w:b/>
          <w:szCs w:val="26"/>
        </w:rPr>
        <w:t xml:space="preserve">, </w:t>
      </w:r>
      <w:r>
        <w:rPr>
          <w:b/>
          <w:szCs w:val="26"/>
        </w:rPr>
        <w:t>830</w:t>
      </w:r>
      <w:r w:rsidRPr="00756D04">
        <w:rPr>
          <w:b/>
          <w:szCs w:val="26"/>
        </w:rPr>
        <w:t xml:space="preserve"> N.W.2d </w:t>
      </w:r>
      <w:r>
        <w:rPr>
          <w:b/>
          <w:szCs w:val="26"/>
        </w:rPr>
        <w:t>919</w:t>
      </w:r>
      <w:r w:rsidRPr="00756D04">
        <w:rPr>
          <w:b/>
          <w:szCs w:val="26"/>
        </w:rPr>
        <w:t xml:space="preserve"> (Minn. App. May 20, 2013)</w:t>
      </w:r>
      <w:r>
        <w:rPr>
          <w:b/>
          <w:szCs w:val="26"/>
        </w:rPr>
        <w:t xml:space="preserve">, </w:t>
      </w:r>
      <w:r>
        <w:rPr>
          <w:b/>
          <w:i/>
          <w:szCs w:val="26"/>
        </w:rPr>
        <w:t>review granted</w:t>
      </w:r>
      <w:r>
        <w:rPr>
          <w:b/>
          <w:szCs w:val="26"/>
        </w:rPr>
        <w:t xml:space="preserve"> (Minn. Aug. 6, 2013)</w:t>
      </w:r>
      <w:r w:rsidRPr="00756D04">
        <w:rPr>
          <w:b/>
          <w:szCs w:val="26"/>
        </w:rPr>
        <w:t xml:space="preserve"> (A12-2012).</w:t>
      </w:r>
    </w:p>
    <w:p w:rsidR="00235E48" w:rsidRPr="00235E48" w:rsidRDefault="00235E48" w:rsidP="00235E48">
      <w:pPr>
        <w:ind w:firstLine="720"/>
        <w:outlineLvl w:val="0"/>
        <w:rPr>
          <w:szCs w:val="26"/>
        </w:rPr>
      </w:pPr>
      <w:r w:rsidRPr="00756D04">
        <w:rPr>
          <w:szCs w:val="26"/>
        </w:rPr>
        <w:t xml:space="preserve">To prove the crime of first-degree burglary—possession of a dangerous weapon under Minnesota Statutes section 609.582, subdivision 1(b) (2012), the state must prove that a defendant knowingly possessed a dangerous weapon.  </w:t>
      </w:r>
    </w:p>
    <w:p w:rsidR="00697E49" w:rsidRDefault="00697E49" w:rsidP="001167BE">
      <w:pPr>
        <w:outlineLvl w:val="3"/>
        <w:rPr>
          <w:b/>
          <w:bCs/>
          <w:i/>
          <w:szCs w:val="26"/>
        </w:rPr>
      </w:pPr>
    </w:p>
    <w:p w:rsidR="00EE627A" w:rsidRPr="00756D04" w:rsidRDefault="00EE627A" w:rsidP="00EE627A">
      <w:pPr>
        <w:rPr>
          <w:b/>
          <w:szCs w:val="26"/>
        </w:rPr>
      </w:pPr>
      <w:r w:rsidRPr="00756D04">
        <w:rPr>
          <w:b/>
          <w:i/>
          <w:szCs w:val="26"/>
        </w:rPr>
        <w:t>State v. Gerard</w:t>
      </w:r>
      <w:r w:rsidRPr="00756D04">
        <w:rPr>
          <w:b/>
          <w:szCs w:val="26"/>
        </w:rPr>
        <w:t xml:space="preserve">, </w:t>
      </w:r>
      <w:r>
        <w:rPr>
          <w:b/>
          <w:szCs w:val="26"/>
        </w:rPr>
        <w:t>832</w:t>
      </w:r>
      <w:r w:rsidRPr="00756D04">
        <w:rPr>
          <w:b/>
          <w:szCs w:val="26"/>
        </w:rPr>
        <w:t xml:space="preserve"> N.W.2d </w:t>
      </w:r>
      <w:r>
        <w:rPr>
          <w:b/>
          <w:szCs w:val="26"/>
        </w:rPr>
        <w:t>314</w:t>
      </w:r>
      <w:r w:rsidRPr="00756D04">
        <w:rPr>
          <w:b/>
          <w:i/>
          <w:szCs w:val="26"/>
        </w:rPr>
        <w:t xml:space="preserve"> </w:t>
      </w:r>
      <w:r w:rsidRPr="00756D04">
        <w:rPr>
          <w:b/>
          <w:szCs w:val="26"/>
        </w:rPr>
        <w:t>(Minn. App. June 24, 2013)</w:t>
      </w:r>
      <w:r>
        <w:rPr>
          <w:b/>
          <w:szCs w:val="26"/>
        </w:rPr>
        <w:t xml:space="preserve">, </w:t>
      </w:r>
      <w:r>
        <w:rPr>
          <w:b/>
          <w:i/>
          <w:szCs w:val="26"/>
        </w:rPr>
        <w:t>review denied</w:t>
      </w:r>
      <w:r>
        <w:rPr>
          <w:b/>
          <w:szCs w:val="26"/>
        </w:rPr>
        <w:t xml:space="preserve"> (Minn. Sept. 17, 2013)</w:t>
      </w:r>
      <w:r w:rsidRPr="00756D04">
        <w:rPr>
          <w:b/>
          <w:szCs w:val="26"/>
        </w:rPr>
        <w:t xml:space="preserve"> (A13-0043).</w:t>
      </w:r>
    </w:p>
    <w:p w:rsidR="00EE627A" w:rsidRPr="00EE627A" w:rsidRDefault="00EE627A" w:rsidP="00EE627A">
      <w:pPr>
        <w:ind w:firstLine="720"/>
        <w:outlineLvl w:val="0"/>
        <w:rPr>
          <w:szCs w:val="26"/>
        </w:rPr>
      </w:pPr>
      <w:r w:rsidRPr="00756D04">
        <w:rPr>
          <w:szCs w:val="26"/>
        </w:rPr>
        <w:t>A determination of whether a person “unjustifiably” injured, maimed, mutilated, or killed an animal pursuant to Minn. Stat. § 343.21, subd. 1 (2010), is a fact issue for the jury.</w:t>
      </w:r>
    </w:p>
    <w:p w:rsidR="00EE627A" w:rsidRDefault="00EE627A" w:rsidP="001167BE">
      <w:pPr>
        <w:outlineLvl w:val="3"/>
        <w:rPr>
          <w:b/>
          <w:bCs/>
          <w:i/>
          <w:szCs w:val="26"/>
        </w:rPr>
      </w:pPr>
    </w:p>
    <w:p w:rsidR="001167BE" w:rsidRPr="00C141AF" w:rsidRDefault="001167BE" w:rsidP="001167BE">
      <w:pPr>
        <w:outlineLvl w:val="3"/>
        <w:rPr>
          <w:b/>
          <w:bCs/>
          <w:szCs w:val="26"/>
        </w:rPr>
      </w:pPr>
      <w:r w:rsidRPr="00C141AF">
        <w:rPr>
          <w:b/>
          <w:bCs/>
          <w:i/>
          <w:szCs w:val="26"/>
        </w:rPr>
        <w:t>State v. Greenman</w:t>
      </w:r>
      <w:r w:rsidRPr="00C141AF">
        <w:rPr>
          <w:b/>
          <w:bCs/>
          <w:szCs w:val="26"/>
        </w:rPr>
        <w:t xml:space="preserve">, </w:t>
      </w:r>
      <w:r>
        <w:rPr>
          <w:b/>
          <w:bCs/>
          <w:szCs w:val="26"/>
        </w:rPr>
        <w:t>825</w:t>
      </w:r>
      <w:r w:rsidRPr="00C141AF">
        <w:rPr>
          <w:b/>
          <w:bCs/>
          <w:szCs w:val="26"/>
        </w:rPr>
        <w:t xml:space="preserve"> N.W.2d </w:t>
      </w:r>
      <w:r>
        <w:rPr>
          <w:b/>
          <w:bCs/>
          <w:szCs w:val="26"/>
        </w:rPr>
        <w:t xml:space="preserve">387 </w:t>
      </w:r>
      <w:r w:rsidRPr="00C141AF">
        <w:rPr>
          <w:b/>
          <w:bCs/>
          <w:szCs w:val="26"/>
        </w:rPr>
        <w:t>(Minn. App. Jan. 22, 2013) (A12-1605).</w:t>
      </w:r>
    </w:p>
    <w:p w:rsidR="001167BE" w:rsidRPr="00C141AF" w:rsidRDefault="001167BE" w:rsidP="001167BE">
      <w:pPr>
        <w:ind w:firstLine="720"/>
        <w:rPr>
          <w:szCs w:val="26"/>
        </w:rPr>
      </w:pPr>
      <w:r w:rsidRPr="00C141AF">
        <w:rPr>
          <w:szCs w:val="26"/>
        </w:rPr>
        <w:t xml:space="preserve">A person operating a “Segway” electric personal assistive mobility device is not a driver of a motor vehicle and is not, therefore, subject to the prohibitions of the Minnesota Impaired Driving Code, Minn. Stat. ch. 169A (2010). </w:t>
      </w:r>
    </w:p>
    <w:p w:rsidR="001167BE" w:rsidRDefault="001167BE" w:rsidP="003856A1">
      <w:pPr>
        <w:outlineLvl w:val="3"/>
        <w:rPr>
          <w:b/>
          <w:bCs/>
          <w:i/>
          <w:szCs w:val="26"/>
        </w:rPr>
      </w:pPr>
    </w:p>
    <w:p w:rsidR="003856A1" w:rsidRPr="006400C5" w:rsidRDefault="003856A1" w:rsidP="003856A1">
      <w:pPr>
        <w:outlineLvl w:val="3"/>
        <w:rPr>
          <w:b/>
          <w:bCs/>
          <w:szCs w:val="26"/>
        </w:rPr>
      </w:pPr>
      <w:r w:rsidRPr="006400C5">
        <w:rPr>
          <w:b/>
          <w:bCs/>
          <w:i/>
          <w:szCs w:val="26"/>
        </w:rPr>
        <w:t>State v. McCauley</w:t>
      </w:r>
      <w:r>
        <w:rPr>
          <w:b/>
          <w:bCs/>
          <w:szCs w:val="26"/>
        </w:rPr>
        <w:t>, 820</w:t>
      </w:r>
      <w:r w:rsidRPr="006400C5">
        <w:rPr>
          <w:b/>
          <w:bCs/>
          <w:szCs w:val="26"/>
        </w:rPr>
        <w:t xml:space="preserve"> N.W.2d </w:t>
      </w:r>
      <w:r>
        <w:rPr>
          <w:b/>
          <w:bCs/>
          <w:szCs w:val="26"/>
        </w:rPr>
        <w:t>577</w:t>
      </w:r>
      <w:r w:rsidRPr="006400C5">
        <w:rPr>
          <w:b/>
          <w:bCs/>
          <w:szCs w:val="26"/>
        </w:rPr>
        <w:t xml:space="preserve"> (Minn. App. Sept. 4, 2012)</w:t>
      </w:r>
      <w:r>
        <w:rPr>
          <w:b/>
          <w:bCs/>
          <w:szCs w:val="26"/>
        </w:rPr>
        <w:t xml:space="preserve">, </w:t>
      </w:r>
      <w:r>
        <w:rPr>
          <w:b/>
          <w:bCs/>
          <w:i/>
          <w:szCs w:val="26"/>
        </w:rPr>
        <w:t>review denied</w:t>
      </w:r>
      <w:r>
        <w:rPr>
          <w:b/>
          <w:bCs/>
          <w:szCs w:val="26"/>
        </w:rPr>
        <w:t xml:space="preserve"> (Minn. Oct. 24, 2012)</w:t>
      </w:r>
      <w:r w:rsidRPr="006400C5">
        <w:rPr>
          <w:b/>
          <w:bCs/>
          <w:szCs w:val="26"/>
        </w:rPr>
        <w:t xml:space="preserve"> (A11-0606).</w:t>
      </w:r>
    </w:p>
    <w:p w:rsidR="003856A1" w:rsidRDefault="003856A1" w:rsidP="003856A1">
      <w:pPr>
        <w:outlineLvl w:val="3"/>
        <w:rPr>
          <w:szCs w:val="26"/>
        </w:rPr>
      </w:pPr>
      <w:r w:rsidRPr="006400C5">
        <w:rPr>
          <w:szCs w:val="26"/>
        </w:rPr>
        <w:tab/>
        <w:t>Under Minn. Stat. § 617.247, subd. 3(a) (2010), the state must prove that a defendant knowingly disseminated a porno</w:t>
      </w:r>
      <w:r w:rsidR="005040B7">
        <w:rPr>
          <w:szCs w:val="26"/>
        </w:rPr>
        <w:t>graphic work involving a minor.</w:t>
      </w:r>
    </w:p>
    <w:p w:rsidR="005040B7" w:rsidRDefault="005040B7" w:rsidP="003856A1">
      <w:pPr>
        <w:outlineLvl w:val="3"/>
        <w:rPr>
          <w:szCs w:val="26"/>
        </w:rPr>
      </w:pPr>
    </w:p>
    <w:p w:rsidR="005040B7" w:rsidRPr="00756D04" w:rsidRDefault="005040B7" w:rsidP="005040B7">
      <w:pPr>
        <w:outlineLvl w:val="3"/>
        <w:rPr>
          <w:b/>
          <w:bCs/>
          <w:szCs w:val="26"/>
        </w:rPr>
      </w:pPr>
      <w:r w:rsidRPr="00756D04">
        <w:rPr>
          <w:b/>
          <w:bCs/>
          <w:i/>
          <w:szCs w:val="26"/>
        </w:rPr>
        <w:t>State v. Nelson</w:t>
      </w:r>
      <w:r w:rsidRPr="00756D04">
        <w:rPr>
          <w:b/>
          <w:bCs/>
          <w:szCs w:val="26"/>
        </w:rPr>
        <w:t xml:space="preserve">, 823 N.W.2d 908 (Minn. App. Dec. 10, 2012), </w:t>
      </w:r>
      <w:r w:rsidRPr="00756D04">
        <w:rPr>
          <w:b/>
          <w:bCs/>
          <w:i/>
          <w:szCs w:val="26"/>
        </w:rPr>
        <w:t xml:space="preserve">review granted </w:t>
      </w:r>
      <w:r w:rsidRPr="00756D04">
        <w:rPr>
          <w:b/>
          <w:bCs/>
          <w:szCs w:val="26"/>
        </w:rPr>
        <w:t xml:space="preserve">(Minn. Feb. 27, 2013) (A12-0071).  </w:t>
      </w:r>
    </w:p>
    <w:p w:rsidR="005040B7" w:rsidRPr="00756D04" w:rsidRDefault="005040B7" w:rsidP="005040B7">
      <w:pPr>
        <w:outlineLvl w:val="3"/>
        <w:rPr>
          <w:szCs w:val="26"/>
        </w:rPr>
      </w:pPr>
      <w:r w:rsidRPr="00756D04">
        <w:rPr>
          <w:b/>
          <w:bCs/>
          <w:szCs w:val="26"/>
        </w:rPr>
        <w:tab/>
      </w:r>
      <w:r w:rsidRPr="00756D04">
        <w:rPr>
          <w:szCs w:val="26"/>
        </w:rPr>
        <w:t>1.</w:t>
      </w:r>
      <w:r w:rsidRPr="00756D04">
        <w:rPr>
          <w:szCs w:val="26"/>
        </w:rPr>
        <w:tab/>
        <w:t xml:space="preserve">As used in Minn. Stat. § 609.375 (2006), the phrase “care and support” refers exclusively to an obligor’s financial obligation toward a spouse or child.    </w:t>
      </w:r>
    </w:p>
    <w:p w:rsidR="005040B7" w:rsidRPr="006400C5" w:rsidRDefault="005040B7" w:rsidP="003856A1">
      <w:pPr>
        <w:outlineLvl w:val="3"/>
        <w:rPr>
          <w:b/>
          <w:bCs/>
          <w:szCs w:val="26"/>
        </w:rPr>
      </w:pPr>
      <w:r w:rsidRPr="00756D04">
        <w:rPr>
          <w:szCs w:val="26"/>
        </w:rPr>
        <w:tab/>
        <w:t>2.</w:t>
      </w:r>
      <w:r w:rsidRPr="00756D04">
        <w:rPr>
          <w:szCs w:val="26"/>
        </w:rPr>
        <w:tab/>
        <w:t>Evidence that an obligor provided nonmonetary care to a spouse or child is not relevant to the state’s burden in obtaining a conviction under Minn. Stat. § 609.375.</w:t>
      </w:r>
    </w:p>
    <w:p w:rsidR="003856A1" w:rsidRDefault="003856A1" w:rsidP="003856A1">
      <w:pPr>
        <w:outlineLvl w:val="3"/>
        <w:rPr>
          <w:b/>
          <w:bCs/>
          <w:szCs w:val="26"/>
        </w:rPr>
      </w:pPr>
    </w:p>
    <w:p w:rsidR="005040B7" w:rsidRPr="00756D04" w:rsidRDefault="005040B7" w:rsidP="005040B7">
      <w:pPr>
        <w:outlineLvl w:val="3"/>
        <w:rPr>
          <w:b/>
          <w:bCs/>
          <w:szCs w:val="26"/>
        </w:rPr>
      </w:pPr>
      <w:r w:rsidRPr="00756D04">
        <w:rPr>
          <w:b/>
          <w:bCs/>
          <w:i/>
          <w:szCs w:val="26"/>
        </w:rPr>
        <w:t>State v. Rick</w:t>
      </w:r>
      <w:r w:rsidRPr="00756D04">
        <w:rPr>
          <w:b/>
          <w:bCs/>
          <w:szCs w:val="26"/>
        </w:rPr>
        <w:t xml:space="preserve">, 821 N.W.2d 610 (Minn. App. Sept. 24, 2012), </w:t>
      </w:r>
      <w:r>
        <w:rPr>
          <w:b/>
          <w:bCs/>
          <w:i/>
          <w:szCs w:val="26"/>
        </w:rPr>
        <w:t>aff’d</w:t>
      </w:r>
      <w:r>
        <w:rPr>
          <w:b/>
          <w:bCs/>
          <w:szCs w:val="26"/>
        </w:rPr>
        <w:t>, 835 N.W.2d 478 (Minn. Aug. 21, 2013)</w:t>
      </w:r>
      <w:r w:rsidRPr="00756D04">
        <w:rPr>
          <w:b/>
          <w:bCs/>
          <w:szCs w:val="26"/>
        </w:rPr>
        <w:t xml:space="preserve"> (A12-0058).</w:t>
      </w:r>
    </w:p>
    <w:p w:rsidR="005040B7" w:rsidRPr="005040B7" w:rsidRDefault="005040B7" w:rsidP="003856A1">
      <w:pPr>
        <w:outlineLvl w:val="3"/>
        <w:rPr>
          <w:b/>
          <w:bCs/>
          <w:i/>
          <w:szCs w:val="26"/>
        </w:rPr>
      </w:pPr>
      <w:r w:rsidRPr="00756D04">
        <w:rPr>
          <w:szCs w:val="26"/>
        </w:rPr>
        <w:tab/>
        <w:t>Minn. Stat. § 609.2241, subd. 2(2) (2008), does not apply to acts of sexual penetration, as that term is defined in statute, including those that result in a transfer of sperm</w:t>
      </w:r>
      <w:r>
        <w:rPr>
          <w:szCs w:val="26"/>
        </w:rPr>
        <w:t>.</w:t>
      </w:r>
    </w:p>
    <w:p w:rsidR="005040B7" w:rsidRDefault="005040B7" w:rsidP="003856A1">
      <w:pPr>
        <w:outlineLvl w:val="3"/>
        <w:rPr>
          <w:b/>
          <w:bCs/>
          <w:szCs w:val="26"/>
        </w:rPr>
      </w:pPr>
    </w:p>
    <w:p w:rsidR="00D15D04" w:rsidRPr="00756D04" w:rsidRDefault="00D15D04" w:rsidP="00D15D04">
      <w:pPr>
        <w:rPr>
          <w:b/>
          <w:szCs w:val="26"/>
        </w:rPr>
      </w:pPr>
      <w:r w:rsidRPr="00756D04">
        <w:rPr>
          <w:b/>
          <w:i/>
          <w:szCs w:val="26"/>
        </w:rPr>
        <w:t>State v. Rohan</w:t>
      </w:r>
      <w:r w:rsidRPr="00756D04">
        <w:rPr>
          <w:b/>
          <w:szCs w:val="26"/>
        </w:rPr>
        <w:t xml:space="preserve">, </w:t>
      </w:r>
      <w:r>
        <w:rPr>
          <w:b/>
          <w:szCs w:val="26"/>
        </w:rPr>
        <w:t>834</w:t>
      </w:r>
      <w:r w:rsidRPr="00756D04">
        <w:rPr>
          <w:b/>
          <w:szCs w:val="26"/>
        </w:rPr>
        <w:t xml:space="preserve"> N.W.2d </w:t>
      </w:r>
      <w:r>
        <w:rPr>
          <w:b/>
          <w:szCs w:val="26"/>
        </w:rPr>
        <w:t>223</w:t>
      </w:r>
      <w:r w:rsidRPr="00756D04">
        <w:rPr>
          <w:b/>
          <w:szCs w:val="26"/>
        </w:rPr>
        <w:t xml:space="preserve"> (Minn. App. July 22, 2013)</w:t>
      </w:r>
      <w:r w:rsidRPr="00222BAB">
        <w:rPr>
          <w:b/>
          <w:szCs w:val="26"/>
        </w:rPr>
        <w:t>,</w:t>
      </w:r>
      <w:r>
        <w:rPr>
          <w:b/>
          <w:i/>
          <w:szCs w:val="26"/>
        </w:rPr>
        <w:t xml:space="preserve"> review denied </w:t>
      </w:r>
      <w:r>
        <w:rPr>
          <w:b/>
          <w:szCs w:val="26"/>
        </w:rPr>
        <w:t>(Minn. Oct. 15, 2013)</w:t>
      </w:r>
      <w:r w:rsidRPr="00756D04">
        <w:rPr>
          <w:b/>
          <w:szCs w:val="26"/>
        </w:rPr>
        <w:t xml:space="preserve"> (A12-2256).</w:t>
      </w:r>
    </w:p>
    <w:p w:rsidR="00D15D04" w:rsidRDefault="00D15D04" w:rsidP="00D15D04">
      <w:pPr>
        <w:outlineLvl w:val="3"/>
        <w:rPr>
          <w:b/>
          <w:bCs/>
          <w:szCs w:val="26"/>
        </w:rPr>
      </w:pPr>
      <w:r w:rsidRPr="00756D04">
        <w:rPr>
          <w:szCs w:val="26"/>
        </w:rPr>
        <w:t>Under Minn. Stat. § 340A.503, subd. 2(1) (2010), subject to applicable statutory defenses, it is a strict-liability offense to serve alcohol to a person under age 21</w:t>
      </w:r>
    </w:p>
    <w:p w:rsidR="005040B7" w:rsidRDefault="005040B7" w:rsidP="005040B7">
      <w:pPr>
        <w:outlineLvl w:val="3"/>
        <w:rPr>
          <w:b/>
          <w:bCs/>
          <w:i/>
          <w:szCs w:val="26"/>
        </w:rPr>
      </w:pPr>
    </w:p>
    <w:p w:rsidR="005040B7" w:rsidRPr="00756D04" w:rsidRDefault="005040B7" w:rsidP="005040B7">
      <w:pPr>
        <w:outlineLvl w:val="3"/>
        <w:rPr>
          <w:b/>
          <w:bCs/>
          <w:szCs w:val="26"/>
        </w:rPr>
      </w:pPr>
      <w:r w:rsidRPr="00756D04">
        <w:rPr>
          <w:b/>
          <w:bCs/>
          <w:i/>
          <w:szCs w:val="26"/>
        </w:rPr>
        <w:t>State v. Smith</w:t>
      </w:r>
      <w:r w:rsidRPr="00756D04">
        <w:rPr>
          <w:b/>
          <w:bCs/>
          <w:szCs w:val="26"/>
        </w:rPr>
        <w:t xml:space="preserve">, 819 N.W.2d 724 (Minn. App. Sept. 4, 2012), </w:t>
      </w:r>
      <w:r>
        <w:rPr>
          <w:b/>
          <w:bCs/>
          <w:i/>
          <w:szCs w:val="26"/>
        </w:rPr>
        <w:t>aff’d</w:t>
      </w:r>
      <w:r>
        <w:rPr>
          <w:b/>
          <w:bCs/>
          <w:szCs w:val="26"/>
        </w:rPr>
        <w:t>, 835 N.W.2d 1 (Minn. Aug. 14, 2013)</w:t>
      </w:r>
      <w:r w:rsidRPr="00756D04">
        <w:rPr>
          <w:b/>
          <w:bCs/>
          <w:szCs w:val="26"/>
        </w:rPr>
        <w:t xml:space="preserve"> (A11-1687).</w:t>
      </w:r>
    </w:p>
    <w:p w:rsidR="00D15D04" w:rsidRDefault="005040B7" w:rsidP="003856A1">
      <w:pPr>
        <w:outlineLvl w:val="3"/>
        <w:rPr>
          <w:b/>
          <w:bCs/>
          <w:szCs w:val="26"/>
        </w:rPr>
      </w:pPr>
      <w:r w:rsidRPr="00756D04">
        <w:rPr>
          <w:b/>
          <w:bCs/>
          <w:szCs w:val="26"/>
        </w:rPr>
        <w:tab/>
      </w:r>
      <w:r w:rsidRPr="00756D04">
        <w:rPr>
          <w:szCs w:val="26"/>
        </w:rPr>
        <w:t>The execution of a do-not-resuscitate order by an elderly person severely injured in a car accident caused by a drunk driver is not a superseding cause that prevents the driver’s conviction for criminal vehicular homicide.</w:t>
      </w:r>
    </w:p>
    <w:p w:rsidR="005040B7" w:rsidRPr="006400C5" w:rsidRDefault="005040B7" w:rsidP="003856A1">
      <w:pPr>
        <w:outlineLvl w:val="3"/>
        <w:rPr>
          <w:b/>
          <w:bCs/>
          <w:szCs w:val="26"/>
        </w:rPr>
      </w:pPr>
    </w:p>
    <w:p w:rsidR="003856A1" w:rsidRPr="00777714" w:rsidRDefault="003856A1" w:rsidP="003856A1">
      <w:pPr>
        <w:outlineLvl w:val="3"/>
        <w:rPr>
          <w:b/>
          <w:bCs/>
          <w:szCs w:val="26"/>
        </w:rPr>
      </w:pPr>
      <w:r w:rsidRPr="00777714">
        <w:rPr>
          <w:b/>
          <w:bCs/>
          <w:i/>
          <w:szCs w:val="26"/>
        </w:rPr>
        <w:t>State v. Smith</w:t>
      </w:r>
      <w:r w:rsidRPr="00777714">
        <w:rPr>
          <w:b/>
          <w:bCs/>
          <w:szCs w:val="26"/>
        </w:rPr>
        <w:t xml:space="preserve">, 825 N.W.2d 131 (Minn. App. Dec. 24, 2012), </w:t>
      </w:r>
      <w:r w:rsidRPr="00777714">
        <w:rPr>
          <w:b/>
          <w:bCs/>
          <w:i/>
          <w:szCs w:val="26"/>
        </w:rPr>
        <w:t xml:space="preserve">review denied </w:t>
      </w:r>
      <w:r w:rsidRPr="00777714">
        <w:rPr>
          <w:b/>
          <w:bCs/>
          <w:szCs w:val="26"/>
        </w:rPr>
        <w:t xml:space="preserve">(Minn. Mar. 19, 2013) (A12-0052).  </w:t>
      </w:r>
    </w:p>
    <w:p w:rsidR="003856A1" w:rsidRPr="00604C5F" w:rsidRDefault="003856A1" w:rsidP="003856A1">
      <w:pPr>
        <w:outlineLvl w:val="3"/>
        <w:rPr>
          <w:b/>
          <w:bCs/>
          <w:szCs w:val="26"/>
        </w:rPr>
      </w:pPr>
      <w:r w:rsidRPr="00777714">
        <w:rPr>
          <w:b/>
          <w:bCs/>
          <w:szCs w:val="26"/>
        </w:rPr>
        <w:tab/>
      </w:r>
      <w:r w:rsidRPr="00777714">
        <w:rPr>
          <w:szCs w:val="26"/>
        </w:rPr>
        <w:t>Threatening conduct that occurs during an ongoing confrontation may constitute a threat to commit a future crime of violence under the terroristic-threats statute, Minn. Stat. § 609.713, subd. 1 (2008).</w:t>
      </w:r>
      <w:r w:rsidRPr="00604C5F">
        <w:rPr>
          <w:szCs w:val="26"/>
        </w:rPr>
        <w:t xml:space="preserve"> </w:t>
      </w:r>
    </w:p>
    <w:p w:rsidR="003856A1" w:rsidRDefault="003856A1" w:rsidP="003856A1"/>
    <w:p w:rsidR="003856A1" w:rsidRPr="00B34D71" w:rsidRDefault="003856A1" w:rsidP="003856A1">
      <w:pPr>
        <w:rPr>
          <w:b/>
          <w:szCs w:val="26"/>
        </w:rPr>
      </w:pPr>
      <w:r w:rsidRPr="00B34D71">
        <w:rPr>
          <w:b/>
          <w:i/>
          <w:szCs w:val="26"/>
        </w:rPr>
        <w:t>State v. Ulrich</w:t>
      </w:r>
      <w:r w:rsidRPr="00B34D71">
        <w:rPr>
          <w:b/>
          <w:szCs w:val="26"/>
        </w:rPr>
        <w:t>, 829 N.W.2d 429 (Minn. App. Apr. 8, 2013) (A12-1463).</w:t>
      </w:r>
    </w:p>
    <w:p w:rsidR="003856A1" w:rsidRDefault="003856A1" w:rsidP="003856A1">
      <w:pPr>
        <w:ind w:firstLine="720"/>
        <w:rPr>
          <w:szCs w:val="26"/>
        </w:rPr>
      </w:pPr>
      <w:r w:rsidRPr="00B34D71">
        <w:rPr>
          <w:szCs w:val="26"/>
        </w:rPr>
        <w:t>Minn. Stat. § 243.166, subd. 1b(a)(2) (2010), does not require predatory-offender registration for violations of Minn. Stat. § 609.352, subd. 2a(2)-(3) (2010).</w:t>
      </w:r>
    </w:p>
    <w:p w:rsidR="005040B7" w:rsidRDefault="005040B7" w:rsidP="005040B7">
      <w:pPr>
        <w:rPr>
          <w:szCs w:val="26"/>
        </w:rPr>
      </w:pPr>
    </w:p>
    <w:p w:rsidR="005040B7" w:rsidRPr="00756D04" w:rsidRDefault="005040B7" w:rsidP="00EE627A">
      <w:pPr>
        <w:outlineLvl w:val="3"/>
        <w:rPr>
          <w:b/>
          <w:bCs/>
          <w:szCs w:val="26"/>
        </w:rPr>
      </w:pPr>
      <w:r w:rsidRPr="00756D04">
        <w:rPr>
          <w:b/>
          <w:bCs/>
          <w:i/>
          <w:szCs w:val="26"/>
        </w:rPr>
        <w:t>State v. Watkins</w:t>
      </w:r>
      <w:r w:rsidRPr="00756D04">
        <w:rPr>
          <w:b/>
          <w:bCs/>
          <w:szCs w:val="26"/>
        </w:rPr>
        <w:t xml:space="preserve">, 820 N.W.2d 264 (Minn. App. Sept. 10, 2012), </w:t>
      </w:r>
      <w:r w:rsidRPr="00756D04">
        <w:rPr>
          <w:b/>
          <w:bCs/>
          <w:i/>
          <w:szCs w:val="26"/>
        </w:rPr>
        <w:t xml:space="preserve">review granted in part and denied in part </w:t>
      </w:r>
      <w:r w:rsidRPr="00756D04">
        <w:rPr>
          <w:b/>
          <w:bCs/>
          <w:szCs w:val="26"/>
        </w:rPr>
        <w:t>(Minn. Nov. 20, 2012) (A11-1793).</w:t>
      </w:r>
      <w:r w:rsidR="00EE627A">
        <w:rPr>
          <w:b/>
          <w:bCs/>
          <w:szCs w:val="26"/>
        </w:rPr>
        <w:t xml:space="preserve"> </w:t>
      </w:r>
      <w:r w:rsidR="00EE627A">
        <w:rPr>
          <w:szCs w:val="26"/>
        </w:rPr>
        <w:t xml:space="preserve">(See page </w:t>
      </w:r>
      <w:r w:rsidR="005729FA">
        <w:rPr>
          <w:szCs w:val="26"/>
        </w:rPr>
        <w:t>32</w:t>
      </w:r>
      <w:r w:rsidR="00EE627A">
        <w:rPr>
          <w:szCs w:val="26"/>
        </w:rPr>
        <w:t xml:space="preserve"> for additional syllabus points for this case.)</w:t>
      </w:r>
    </w:p>
    <w:p w:rsidR="005040B7" w:rsidRPr="00756D04" w:rsidRDefault="005040B7" w:rsidP="005040B7">
      <w:pPr>
        <w:outlineLvl w:val="3"/>
        <w:rPr>
          <w:szCs w:val="26"/>
        </w:rPr>
      </w:pPr>
      <w:r w:rsidRPr="00756D04">
        <w:rPr>
          <w:b/>
          <w:bCs/>
          <w:szCs w:val="26"/>
        </w:rPr>
        <w:tab/>
      </w:r>
      <w:r w:rsidRPr="00756D04">
        <w:rPr>
          <w:szCs w:val="26"/>
        </w:rPr>
        <w:t>1.</w:t>
      </w:r>
      <w:r w:rsidRPr="00756D04">
        <w:rPr>
          <w:b/>
          <w:szCs w:val="26"/>
        </w:rPr>
        <w:tab/>
      </w:r>
      <w:r w:rsidRPr="00756D04">
        <w:rPr>
          <w:szCs w:val="26"/>
        </w:rPr>
        <w:t>To be convicted of a felony for violating a domestic abuse no-contact order under Minn. Stat. § 629.75, subd. 2(d)(1) (2010), the defendant must have intentionally engaged in prohibited conduct, knowing that such contact was prohibited.</w:t>
      </w:r>
    </w:p>
    <w:p w:rsidR="003856A1" w:rsidRDefault="003856A1" w:rsidP="003856A1">
      <w:pPr>
        <w:outlineLvl w:val="3"/>
        <w:rPr>
          <w:b/>
          <w:bCs/>
          <w:szCs w:val="26"/>
        </w:rPr>
      </w:pPr>
    </w:p>
    <w:p w:rsidR="001167BE" w:rsidRPr="00C141AF" w:rsidRDefault="001167BE" w:rsidP="003856A1">
      <w:pPr>
        <w:outlineLvl w:val="3"/>
        <w:rPr>
          <w:b/>
          <w:bCs/>
          <w:szCs w:val="26"/>
        </w:rPr>
      </w:pPr>
    </w:p>
    <w:p w:rsidR="005E7D92" w:rsidRDefault="005E7D92" w:rsidP="003856A1">
      <w:pPr>
        <w:pStyle w:val="FootnoteText"/>
        <w:tabs>
          <w:tab w:val="left" w:pos="720"/>
          <w:tab w:val="left" w:pos="1440"/>
          <w:tab w:val="left" w:pos="2160"/>
        </w:tabs>
        <w:rPr>
          <w:b/>
          <w:szCs w:val="26"/>
          <w:u w:val="single"/>
        </w:rPr>
      </w:pPr>
    </w:p>
    <w:p w:rsidR="005E7D92" w:rsidRDefault="005E7D92" w:rsidP="003856A1">
      <w:pPr>
        <w:pStyle w:val="FootnoteText"/>
        <w:tabs>
          <w:tab w:val="left" w:pos="720"/>
          <w:tab w:val="left" w:pos="1440"/>
          <w:tab w:val="left" w:pos="2160"/>
        </w:tabs>
        <w:rPr>
          <w:b/>
          <w:szCs w:val="26"/>
          <w:u w:val="single"/>
        </w:rPr>
      </w:pPr>
    </w:p>
    <w:p w:rsidR="005E7D92" w:rsidRDefault="005E7D92" w:rsidP="003856A1">
      <w:pPr>
        <w:pStyle w:val="FootnoteText"/>
        <w:tabs>
          <w:tab w:val="left" w:pos="720"/>
          <w:tab w:val="left" w:pos="1440"/>
          <w:tab w:val="left" w:pos="2160"/>
        </w:tabs>
        <w:rPr>
          <w:b/>
          <w:szCs w:val="26"/>
          <w:u w:val="single"/>
        </w:rPr>
      </w:pPr>
    </w:p>
    <w:p w:rsidR="005E7D92" w:rsidRDefault="005E7D92" w:rsidP="003856A1">
      <w:pPr>
        <w:pStyle w:val="FootnoteText"/>
        <w:tabs>
          <w:tab w:val="left" w:pos="720"/>
          <w:tab w:val="left" w:pos="1440"/>
          <w:tab w:val="left" w:pos="2160"/>
        </w:tabs>
        <w:rPr>
          <w:b/>
          <w:szCs w:val="26"/>
          <w:u w:val="single"/>
        </w:rPr>
      </w:pPr>
    </w:p>
    <w:p w:rsidR="005E7D92" w:rsidRDefault="005E7D92" w:rsidP="003856A1">
      <w:pPr>
        <w:pStyle w:val="FootnoteText"/>
        <w:tabs>
          <w:tab w:val="left" w:pos="720"/>
          <w:tab w:val="left" w:pos="1440"/>
          <w:tab w:val="left" w:pos="2160"/>
        </w:tabs>
        <w:rPr>
          <w:b/>
          <w:szCs w:val="26"/>
          <w:u w:val="single"/>
        </w:rPr>
      </w:pPr>
    </w:p>
    <w:p w:rsidR="003856A1" w:rsidRDefault="003856A1" w:rsidP="003856A1">
      <w:pPr>
        <w:pStyle w:val="FootnoteText"/>
        <w:tabs>
          <w:tab w:val="left" w:pos="720"/>
          <w:tab w:val="left" w:pos="1440"/>
          <w:tab w:val="left" w:pos="2160"/>
        </w:tabs>
        <w:rPr>
          <w:szCs w:val="26"/>
        </w:rPr>
      </w:pPr>
      <w:r>
        <w:rPr>
          <w:b/>
          <w:szCs w:val="26"/>
          <w:u w:val="single"/>
        </w:rPr>
        <w:t>Trial Procedure</w:t>
      </w:r>
    </w:p>
    <w:p w:rsidR="003856A1" w:rsidRDefault="003856A1" w:rsidP="003856A1">
      <w:pPr>
        <w:pStyle w:val="FootnoteText"/>
        <w:tabs>
          <w:tab w:val="left" w:pos="720"/>
          <w:tab w:val="left" w:pos="1440"/>
          <w:tab w:val="left" w:pos="2160"/>
        </w:tabs>
        <w:rPr>
          <w:szCs w:val="26"/>
        </w:rPr>
      </w:pPr>
    </w:p>
    <w:p w:rsidR="005040B7" w:rsidRPr="00756D04" w:rsidRDefault="005040B7" w:rsidP="005040B7">
      <w:pPr>
        <w:outlineLvl w:val="3"/>
        <w:rPr>
          <w:b/>
          <w:bCs/>
          <w:szCs w:val="26"/>
        </w:rPr>
      </w:pPr>
      <w:r w:rsidRPr="00756D04">
        <w:rPr>
          <w:b/>
          <w:bCs/>
          <w:i/>
          <w:szCs w:val="26"/>
        </w:rPr>
        <w:t>State v. Olsen</w:t>
      </w:r>
      <w:r w:rsidRPr="00756D04">
        <w:rPr>
          <w:b/>
          <w:bCs/>
          <w:szCs w:val="26"/>
        </w:rPr>
        <w:t xml:space="preserve">, </w:t>
      </w:r>
      <w:r>
        <w:rPr>
          <w:b/>
          <w:bCs/>
          <w:szCs w:val="26"/>
        </w:rPr>
        <w:t>824</w:t>
      </w:r>
      <w:r w:rsidRPr="00756D04">
        <w:rPr>
          <w:b/>
          <w:bCs/>
          <w:szCs w:val="26"/>
        </w:rPr>
        <w:t xml:space="preserve"> N.W.2d 334 (Minn. App. Dec. 17, 2012), </w:t>
      </w:r>
      <w:r w:rsidRPr="00756D04">
        <w:rPr>
          <w:b/>
          <w:bCs/>
          <w:i/>
          <w:szCs w:val="26"/>
        </w:rPr>
        <w:t xml:space="preserve">review denied </w:t>
      </w:r>
      <w:r w:rsidRPr="00756D04">
        <w:rPr>
          <w:b/>
          <w:bCs/>
          <w:szCs w:val="26"/>
        </w:rPr>
        <w:t xml:space="preserve">(Minn. Feb. 27, 2013) (A12-0123).  </w:t>
      </w:r>
    </w:p>
    <w:p w:rsidR="005040B7" w:rsidRPr="005040B7" w:rsidRDefault="005040B7" w:rsidP="005040B7">
      <w:pPr>
        <w:outlineLvl w:val="3"/>
        <w:rPr>
          <w:b/>
          <w:bCs/>
          <w:szCs w:val="26"/>
        </w:rPr>
      </w:pPr>
      <w:r w:rsidRPr="00756D04">
        <w:rPr>
          <w:b/>
          <w:bCs/>
          <w:szCs w:val="26"/>
        </w:rPr>
        <w:tab/>
      </w:r>
      <w:r w:rsidRPr="00756D04">
        <w:rPr>
          <w:szCs w:val="26"/>
        </w:rPr>
        <w:t>It is reversible error to instruct a jury that has reported it is at an impasse that it must reach a decision.</w:t>
      </w:r>
    </w:p>
    <w:p w:rsidR="005040B7" w:rsidRDefault="005040B7" w:rsidP="003856A1">
      <w:pPr>
        <w:pStyle w:val="FootnoteText"/>
        <w:tabs>
          <w:tab w:val="left" w:pos="720"/>
          <w:tab w:val="left" w:pos="1440"/>
          <w:tab w:val="left" w:pos="2160"/>
        </w:tabs>
        <w:rPr>
          <w:szCs w:val="26"/>
        </w:rPr>
      </w:pPr>
    </w:p>
    <w:p w:rsidR="003856A1" w:rsidRPr="006400C5" w:rsidRDefault="003856A1" w:rsidP="003856A1">
      <w:pPr>
        <w:outlineLvl w:val="3"/>
        <w:rPr>
          <w:b/>
          <w:bCs/>
          <w:szCs w:val="26"/>
        </w:rPr>
      </w:pPr>
      <w:r w:rsidRPr="006400C5">
        <w:rPr>
          <w:b/>
          <w:bCs/>
          <w:i/>
          <w:szCs w:val="26"/>
        </w:rPr>
        <w:t>State v. Seaver</w:t>
      </w:r>
      <w:r>
        <w:rPr>
          <w:b/>
          <w:bCs/>
          <w:szCs w:val="26"/>
        </w:rPr>
        <w:t>, 820 N.W.2d 627</w:t>
      </w:r>
      <w:r w:rsidRPr="006400C5">
        <w:rPr>
          <w:b/>
          <w:bCs/>
          <w:szCs w:val="26"/>
        </w:rPr>
        <w:t xml:space="preserve"> (Minn. App. Sept. 24, 2012) (A11-1909).  </w:t>
      </w:r>
    </w:p>
    <w:p w:rsidR="003856A1" w:rsidRDefault="003856A1" w:rsidP="003856A1">
      <w:pPr>
        <w:outlineLvl w:val="3"/>
        <w:rPr>
          <w:szCs w:val="26"/>
        </w:rPr>
      </w:pPr>
      <w:r w:rsidRPr="006400C5">
        <w:rPr>
          <w:szCs w:val="26"/>
        </w:rPr>
        <w:tab/>
        <w:t xml:space="preserve">When a gender-based </w:t>
      </w:r>
      <w:r w:rsidRPr="006400C5">
        <w:rPr>
          <w:i/>
          <w:szCs w:val="26"/>
        </w:rPr>
        <w:t>Batson</w:t>
      </w:r>
      <w:r w:rsidRPr="006400C5">
        <w:rPr>
          <w:szCs w:val="26"/>
        </w:rPr>
        <w:t xml:space="preserve"> challenge is made to a peremptory strike, the proponent of the peremptory strike offers a legitimate gender-neutral reason for the strike, and the party challenging the strike fails to establish that the strike is motivated by purposeful gender discrimination, a district court clearly errs by sustaining the </w:t>
      </w:r>
      <w:r w:rsidRPr="006400C5">
        <w:rPr>
          <w:i/>
          <w:szCs w:val="26"/>
        </w:rPr>
        <w:t>Batson</w:t>
      </w:r>
      <w:r w:rsidRPr="006400C5">
        <w:rPr>
          <w:szCs w:val="26"/>
        </w:rPr>
        <w:t xml:space="preserve"> challenge.</w:t>
      </w:r>
    </w:p>
    <w:p w:rsidR="005040B7" w:rsidRDefault="005040B7" w:rsidP="003856A1">
      <w:pPr>
        <w:outlineLvl w:val="3"/>
        <w:rPr>
          <w:szCs w:val="26"/>
        </w:rPr>
      </w:pPr>
    </w:p>
    <w:p w:rsidR="005040B7" w:rsidRPr="005E7D92" w:rsidRDefault="005040B7" w:rsidP="005E7D92">
      <w:pPr>
        <w:suppressAutoHyphens w:val="0"/>
        <w:jc w:val="left"/>
        <w:rPr>
          <w:b/>
          <w:bCs/>
          <w:i/>
          <w:szCs w:val="26"/>
        </w:rPr>
      </w:pPr>
      <w:r w:rsidRPr="00756D04">
        <w:rPr>
          <w:b/>
          <w:bCs/>
          <w:i/>
          <w:szCs w:val="26"/>
        </w:rPr>
        <w:t>State v. Watkins</w:t>
      </w:r>
      <w:r w:rsidRPr="00756D04">
        <w:rPr>
          <w:b/>
          <w:bCs/>
          <w:szCs w:val="26"/>
        </w:rPr>
        <w:t xml:space="preserve">, 820 N.W.2d 264 (Minn. App. Sept. 10, 2012), </w:t>
      </w:r>
      <w:r w:rsidRPr="00756D04">
        <w:rPr>
          <w:b/>
          <w:bCs/>
          <w:i/>
          <w:szCs w:val="26"/>
        </w:rPr>
        <w:t xml:space="preserve">review granted in part and denied in part </w:t>
      </w:r>
      <w:r w:rsidRPr="00756D04">
        <w:rPr>
          <w:b/>
          <w:bCs/>
          <w:szCs w:val="26"/>
        </w:rPr>
        <w:t>(Minn. Nov. 20, 2012) (A11-1793).</w:t>
      </w:r>
      <w:r w:rsidR="00EE627A">
        <w:rPr>
          <w:b/>
          <w:bCs/>
          <w:szCs w:val="26"/>
        </w:rPr>
        <w:t xml:space="preserve"> </w:t>
      </w:r>
      <w:r w:rsidR="00EE627A">
        <w:rPr>
          <w:szCs w:val="26"/>
        </w:rPr>
        <w:t xml:space="preserve">(See page </w:t>
      </w:r>
      <w:r w:rsidR="005729FA">
        <w:rPr>
          <w:szCs w:val="26"/>
        </w:rPr>
        <w:t>31</w:t>
      </w:r>
      <w:r w:rsidR="00EE627A">
        <w:rPr>
          <w:szCs w:val="26"/>
        </w:rPr>
        <w:t xml:space="preserve"> for additional syllabus points for this case.)</w:t>
      </w:r>
    </w:p>
    <w:p w:rsidR="00CC261B" w:rsidRPr="007B36E1" w:rsidRDefault="005040B7" w:rsidP="007B36E1">
      <w:pPr>
        <w:outlineLvl w:val="3"/>
        <w:rPr>
          <w:b/>
          <w:bCs/>
          <w:szCs w:val="26"/>
        </w:rPr>
      </w:pPr>
      <w:r w:rsidRPr="00756D04">
        <w:rPr>
          <w:szCs w:val="26"/>
        </w:rPr>
        <w:tab/>
        <w:t>2.</w:t>
      </w:r>
      <w:r w:rsidRPr="00756D04">
        <w:rPr>
          <w:szCs w:val="26"/>
        </w:rPr>
        <w:tab/>
        <w:t>When a jury instruction omits an element of the offense, the error affects the defendant’s substantial rights.</w:t>
      </w:r>
    </w:p>
    <w:sectPr w:rsidR="00CC261B" w:rsidRPr="007B36E1" w:rsidSect="005F446E">
      <w:footerReference w:type="default" r:id="rId16"/>
      <w:pgSz w:w="12240" w:h="15840"/>
      <w:pgMar w:top="1440" w:right="1440" w:bottom="1440" w:left="1440" w:header="720" w:footer="115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88" w:rsidRDefault="00DC5488">
      <w:r>
        <w:separator/>
      </w:r>
    </w:p>
  </w:endnote>
  <w:endnote w:type="continuationSeparator" w:id="0">
    <w:p w:rsidR="00DC5488" w:rsidRDefault="00DC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78" w:rsidRDefault="00C63478" w:rsidP="00885A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3478" w:rsidRDefault="00C63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78" w:rsidRDefault="00C63478" w:rsidP="00885A1E">
    <w:pPr>
      <w:pStyle w:val="Footer"/>
      <w:framePr w:wrap="around" w:vAnchor="text" w:hAnchor="margin" w:xAlign="center" w:y="1"/>
      <w:rPr>
        <w:rStyle w:val="PageNumber"/>
      </w:rPr>
    </w:pPr>
    <w:r>
      <w:rPr>
        <w:rStyle w:val="PageNumber"/>
      </w:rPr>
      <w:fldChar w:fldCharType="begin"/>
    </w:r>
    <w:r>
      <w:rPr>
        <w:rStyle w:val="PageNumber"/>
      </w:rPr>
      <w:instrText xml:space="preserve"> PAGE  \* roman </w:instrText>
    </w:r>
    <w:r>
      <w:rPr>
        <w:rStyle w:val="PageNumber"/>
      </w:rPr>
      <w:fldChar w:fldCharType="separate"/>
    </w:r>
    <w:r>
      <w:rPr>
        <w:rStyle w:val="PageNumber"/>
        <w:noProof/>
      </w:rPr>
      <w:t>i</w:t>
    </w:r>
    <w:r>
      <w:rPr>
        <w:rStyle w:val="PageNumber"/>
      </w:rPr>
      <w:fldChar w:fldCharType="end"/>
    </w:r>
  </w:p>
  <w:p w:rsidR="00C63478" w:rsidRDefault="00C634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78" w:rsidRDefault="00C63478" w:rsidP="00885A1E">
    <w:pPr>
      <w:pStyle w:val="Footer"/>
      <w:framePr w:wrap="around" w:vAnchor="text" w:hAnchor="margin" w:xAlign="center" w:y="1"/>
      <w:rPr>
        <w:rStyle w:val="PageNumber"/>
      </w:rPr>
    </w:pPr>
    <w:r>
      <w:rPr>
        <w:rStyle w:val="PageNumber"/>
      </w:rPr>
      <w:fldChar w:fldCharType="begin"/>
    </w:r>
    <w:r>
      <w:rPr>
        <w:rStyle w:val="PageNumber"/>
      </w:rPr>
      <w:instrText xml:space="preserve"> PAGE  \* roman </w:instrText>
    </w:r>
    <w:r>
      <w:rPr>
        <w:rStyle w:val="PageNumber"/>
      </w:rPr>
      <w:fldChar w:fldCharType="separate"/>
    </w:r>
    <w:r w:rsidR="008F3842">
      <w:rPr>
        <w:rStyle w:val="PageNumber"/>
        <w:noProof/>
      </w:rPr>
      <w:t>i</w:t>
    </w:r>
    <w:r>
      <w:rPr>
        <w:rStyle w:val="PageNumber"/>
      </w:rPr>
      <w:fldChar w:fldCharType="end"/>
    </w:r>
  </w:p>
  <w:p w:rsidR="00C63478" w:rsidRDefault="00C634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543582"/>
      <w:docPartObj>
        <w:docPartGallery w:val="Page Numbers (Bottom of Page)"/>
        <w:docPartUnique/>
      </w:docPartObj>
    </w:sdtPr>
    <w:sdtEndPr>
      <w:rPr>
        <w:noProof/>
      </w:rPr>
    </w:sdtEndPr>
    <w:sdtContent>
      <w:p w:rsidR="00C63478" w:rsidRDefault="00C63478">
        <w:pPr>
          <w:pStyle w:val="Footer"/>
          <w:jc w:val="center"/>
        </w:pPr>
        <w:r>
          <w:fldChar w:fldCharType="begin"/>
        </w:r>
        <w:r>
          <w:instrText xml:space="preserve"> PAGE   \* MERGEFORMAT </w:instrText>
        </w:r>
        <w:r>
          <w:fldChar w:fldCharType="separate"/>
        </w:r>
        <w:r w:rsidR="008F3842">
          <w:rPr>
            <w:noProof/>
          </w:rPr>
          <w:t>32</w:t>
        </w:r>
        <w:r>
          <w:rPr>
            <w:noProof/>
          </w:rPr>
          <w:fldChar w:fldCharType="end"/>
        </w:r>
      </w:p>
    </w:sdtContent>
  </w:sdt>
  <w:p w:rsidR="00C63478" w:rsidRDefault="00C63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88" w:rsidRDefault="00DC5488">
      <w:r>
        <w:separator/>
      </w:r>
    </w:p>
  </w:footnote>
  <w:footnote w:type="continuationSeparator" w:id="0">
    <w:p w:rsidR="00DC5488" w:rsidRDefault="00DC5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78" w:rsidRDefault="00C63478" w:rsidP="00DA6EA4">
    <w:pPr>
      <w:pStyle w:val="Header"/>
      <w:jc w:val="right"/>
      <w:rPr>
        <w:i/>
      </w:rPr>
    </w:pPr>
  </w:p>
  <w:p w:rsidR="00C63478" w:rsidRDefault="00C63478" w:rsidP="00DA6EA4">
    <w:pPr>
      <w:pStyle w:val="Header"/>
      <w:jc w:val="right"/>
    </w:pPr>
  </w:p>
  <w:p w:rsidR="00C63478" w:rsidRDefault="00C63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478" w:rsidRDefault="00C63478" w:rsidP="00DA6EA4">
    <w:pPr>
      <w:pStyle w:val="Header"/>
      <w:jc w:val="right"/>
    </w:pPr>
  </w:p>
  <w:p w:rsidR="00C63478" w:rsidRDefault="00C63478" w:rsidP="00DA6EA4">
    <w:pPr>
      <w:pStyle w:val="Header"/>
      <w:jc w:val="right"/>
    </w:pPr>
  </w:p>
  <w:p w:rsidR="00C63478" w:rsidRPr="00DA6EA4" w:rsidRDefault="00C63478" w:rsidP="00DA6EA4">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64292CA"/>
    <w:lvl w:ilvl="0">
      <w:start w:val="1"/>
      <w:numFmt w:val="bullet"/>
      <w:lvlText w:val=""/>
      <w:lvlJc w:val="left"/>
      <w:pPr>
        <w:tabs>
          <w:tab w:val="num" w:pos="360"/>
        </w:tabs>
        <w:ind w:left="360" w:hanging="360"/>
      </w:pPr>
      <w:rPr>
        <w:rFonts w:ascii="Symbol" w:hAnsi="Symbol" w:hint="default"/>
      </w:rPr>
    </w:lvl>
  </w:abstractNum>
  <w:abstractNum w:abstractNumId="1">
    <w:nsid w:val="0A8A74D0"/>
    <w:multiLevelType w:val="hybridMultilevel"/>
    <w:tmpl w:val="DF8A30BA"/>
    <w:lvl w:ilvl="0" w:tplc="D062C1F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5D2070"/>
    <w:multiLevelType w:val="hybridMultilevel"/>
    <w:tmpl w:val="816CB09A"/>
    <w:lvl w:ilvl="0" w:tplc="A9A82A44">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777B9"/>
    <w:multiLevelType w:val="hybridMultilevel"/>
    <w:tmpl w:val="9C808142"/>
    <w:lvl w:ilvl="0" w:tplc="D40C6BC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CD4A2E"/>
    <w:multiLevelType w:val="singleLevel"/>
    <w:tmpl w:val="F5381F42"/>
    <w:lvl w:ilvl="0">
      <w:start w:val="2"/>
      <w:numFmt w:val="decimal"/>
      <w:lvlText w:val="%1."/>
      <w:lvlJc w:val="left"/>
      <w:pPr>
        <w:tabs>
          <w:tab w:val="num" w:pos="1440"/>
        </w:tabs>
        <w:ind w:left="1440" w:hanging="720"/>
      </w:pPr>
      <w:rPr>
        <w:rFonts w:hint="default"/>
      </w:rPr>
    </w:lvl>
  </w:abstractNum>
  <w:abstractNum w:abstractNumId="5">
    <w:nsid w:val="257F36A0"/>
    <w:multiLevelType w:val="hybridMultilevel"/>
    <w:tmpl w:val="90DAA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5C956DE"/>
    <w:multiLevelType w:val="hybridMultilevel"/>
    <w:tmpl w:val="F88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87691"/>
    <w:multiLevelType w:val="hybridMultilevel"/>
    <w:tmpl w:val="D64EF170"/>
    <w:lvl w:ilvl="0" w:tplc="40F6AB10">
      <w:start w:val="3"/>
      <w:numFmt w:val="decimal"/>
      <w:lvlText w:val="%1."/>
      <w:lvlJc w:val="left"/>
      <w:pPr>
        <w:tabs>
          <w:tab w:val="num" w:pos="1440"/>
        </w:tabs>
        <w:ind w:left="1440" w:hanging="720"/>
      </w:pPr>
      <w:rPr>
        <w:rFonts w:hint="default"/>
      </w:rPr>
    </w:lvl>
    <w:lvl w:ilvl="1" w:tplc="0A3E3D00" w:tentative="1">
      <w:start w:val="1"/>
      <w:numFmt w:val="lowerLetter"/>
      <w:lvlText w:val="%2."/>
      <w:lvlJc w:val="left"/>
      <w:pPr>
        <w:tabs>
          <w:tab w:val="num" w:pos="1800"/>
        </w:tabs>
        <w:ind w:left="1800" w:hanging="360"/>
      </w:pPr>
    </w:lvl>
    <w:lvl w:ilvl="2" w:tplc="99A28206" w:tentative="1">
      <w:start w:val="1"/>
      <w:numFmt w:val="lowerRoman"/>
      <w:lvlText w:val="%3."/>
      <w:lvlJc w:val="right"/>
      <w:pPr>
        <w:tabs>
          <w:tab w:val="num" w:pos="2520"/>
        </w:tabs>
        <w:ind w:left="2520" w:hanging="180"/>
      </w:pPr>
    </w:lvl>
    <w:lvl w:ilvl="3" w:tplc="B12C6AE6" w:tentative="1">
      <w:start w:val="1"/>
      <w:numFmt w:val="decimal"/>
      <w:lvlText w:val="%4."/>
      <w:lvlJc w:val="left"/>
      <w:pPr>
        <w:tabs>
          <w:tab w:val="num" w:pos="3240"/>
        </w:tabs>
        <w:ind w:left="3240" w:hanging="360"/>
      </w:pPr>
    </w:lvl>
    <w:lvl w:ilvl="4" w:tplc="5CC2D77C" w:tentative="1">
      <w:start w:val="1"/>
      <w:numFmt w:val="lowerLetter"/>
      <w:lvlText w:val="%5."/>
      <w:lvlJc w:val="left"/>
      <w:pPr>
        <w:tabs>
          <w:tab w:val="num" w:pos="3960"/>
        </w:tabs>
        <w:ind w:left="3960" w:hanging="360"/>
      </w:pPr>
    </w:lvl>
    <w:lvl w:ilvl="5" w:tplc="520E5794" w:tentative="1">
      <w:start w:val="1"/>
      <w:numFmt w:val="lowerRoman"/>
      <w:lvlText w:val="%6."/>
      <w:lvlJc w:val="right"/>
      <w:pPr>
        <w:tabs>
          <w:tab w:val="num" w:pos="4680"/>
        </w:tabs>
        <w:ind w:left="4680" w:hanging="180"/>
      </w:pPr>
    </w:lvl>
    <w:lvl w:ilvl="6" w:tplc="5FB4E344" w:tentative="1">
      <w:start w:val="1"/>
      <w:numFmt w:val="decimal"/>
      <w:lvlText w:val="%7."/>
      <w:lvlJc w:val="left"/>
      <w:pPr>
        <w:tabs>
          <w:tab w:val="num" w:pos="5400"/>
        </w:tabs>
        <w:ind w:left="5400" w:hanging="360"/>
      </w:pPr>
    </w:lvl>
    <w:lvl w:ilvl="7" w:tplc="4B6831E4" w:tentative="1">
      <w:start w:val="1"/>
      <w:numFmt w:val="lowerLetter"/>
      <w:lvlText w:val="%8."/>
      <w:lvlJc w:val="left"/>
      <w:pPr>
        <w:tabs>
          <w:tab w:val="num" w:pos="6120"/>
        </w:tabs>
        <w:ind w:left="6120" w:hanging="360"/>
      </w:pPr>
    </w:lvl>
    <w:lvl w:ilvl="8" w:tplc="84008C72" w:tentative="1">
      <w:start w:val="1"/>
      <w:numFmt w:val="lowerRoman"/>
      <w:lvlText w:val="%9."/>
      <w:lvlJc w:val="right"/>
      <w:pPr>
        <w:tabs>
          <w:tab w:val="num" w:pos="6840"/>
        </w:tabs>
        <w:ind w:left="6840" w:hanging="180"/>
      </w:pPr>
    </w:lvl>
  </w:abstractNum>
  <w:abstractNum w:abstractNumId="8">
    <w:nsid w:val="2E372E6A"/>
    <w:multiLevelType w:val="hybridMultilevel"/>
    <w:tmpl w:val="F7A2C9D6"/>
    <w:lvl w:ilvl="0" w:tplc="D2A8063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F97302"/>
    <w:multiLevelType w:val="hybridMultilevel"/>
    <w:tmpl w:val="E1F87D2E"/>
    <w:lvl w:ilvl="0" w:tplc="43FEC73C">
      <w:start w:val="1"/>
      <w:numFmt w:val="upperRoman"/>
      <w:lvlText w:val="%1."/>
      <w:lvlJc w:val="left"/>
      <w:pPr>
        <w:tabs>
          <w:tab w:val="num" w:pos="1630"/>
        </w:tabs>
        <w:ind w:left="1630" w:hanging="720"/>
      </w:pPr>
      <w:rPr>
        <w:rFonts w:hint="default"/>
      </w:rPr>
    </w:lvl>
    <w:lvl w:ilvl="1" w:tplc="04090019" w:tentative="1">
      <w:start w:val="1"/>
      <w:numFmt w:val="lowerLetter"/>
      <w:lvlText w:val="%2."/>
      <w:lvlJc w:val="left"/>
      <w:pPr>
        <w:tabs>
          <w:tab w:val="num" w:pos="1990"/>
        </w:tabs>
        <w:ind w:left="1990" w:hanging="360"/>
      </w:pPr>
    </w:lvl>
    <w:lvl w:ilvl="2" w:tplc="0409001B" w:tentative="1">
      <w:start w:val="1"/>
      <w:numFmt w:val="lowerRoman"/>
      <w:lvlText w:val="%3."/>
      <w:lvlJc w:val="right"/>
      <w:pPr>
        <w:tabs>
          <w:tab w:val="num" w:pos="2710"/>
        </w:tabs>
        <w:ind w:left="2710" w:hanging="180"/>
      </w:pPr>
    </w:lvl>
    <w:lvl w:ilvl="3" w:tplc="0409000F" w:tentative="1">
      <w:start w:val="1"/>
      <w:numFmt w:val="decimal"/>
      <w:lvlText w:val="%4."/>
      <w:lvlJc w:val="left"/>
      <w:pPr>
        <w:tabs>
          <w:tab w:val="num" w:pos="3430"/>
        </w:tabs>
        <w:ind w:left="3430" w:hanging="360"/>
      </w:pPr>
    </w:lvl>
    <w:lvl w:ilvl="4" w:tplc="04090019" w:tentative="1">
      <w:start w:val="1"/>
      <w:numFmt w:val="lowerLetter"/>
      <w:lvlText w:val="%5."/>
      <w:lvlJc w:val="left"/>
      <w:pPr>
        <w:tabs>
          <w:tab w:val="num" w:pos="4150"/>
        </w:tabs>
        <w:ind w:left="4150" w:hanging="360"/>
      </w:pPr>
    </w:lvl>
    <w:lvl w:ilvl="5" w:tplc="0409001B" w:tentative="1">
      <w:start w:val="1"/>
      <w:numFmt w:val="lowerRoman"/>
      <w:lvlText w:val="%6."/>
      <w:lvlJc w:val="right"/>
      <w:pPr>
        <w:tabs>
          <w:tab w:val="num" w:pos="4870"/>
        </w:tabs>
        <w:ind w:left="4870" w:hanging="180"/>
      </w:pPr>
    </w:lvl>
    <w:lvl w:ilvl="6" w:tplc="0409000F" w:tentative="1">
      <w:start w:val="1"/>
      <w:numFmt w:val="decimal"/>
      <w:lvlText w:val="%7."/>
      <w:lvlJc w:val="left"/>
      <w:pPr>
        <w:tabs>
          <w:tab w:val="num" w:pos="5590"/>
        </w:tabs>
        <w:ind w:left="5590" w:hanging="360"/>
      </w:pPr>
    </w:lvl>
    <w:lvl w:ilvl="7" w:tplc="04090019" w:tentative="1">
      <w:start w:val="1"/>
      <w:numFmt w:val="lowerLetter"/>
      <w:lvlText w:val="%8."/>
      <w:lvlJc w:val="left"/>
      <w:pPr>
        <w:tabs>
          <w:tab w:val="num" w:pos="6310"/>
        </w:tabs>
        <w:ind w:left="6310" w:hanging="360"/>
      </w:pPr>
    </w:lvl>
    <w:lvl w:ilvl="8" w:tplc="0409001B" w:tentative="1">
      <w:start w:val="1"/>
      <w:numFmt w:val="lowerRoman"/>
      <w:lvlText w:val="%9."/>
      <w:lvlJc w:val="right"/>
      <w:pPr>
        <w:tabs>
          <w:tab w:val="num" w:pos="7030"/>
        </w:tabs>
        <w:ind w:left="7030" w:hanging="180"/>
      </w:pPr>
    </w:lvl>
  </w:abstractNum>
  <w:abstractNum w:abstractNumId="10">
    <w:nsid w:val="3DF06AF0"/>
    <w:multiLevelType w:val="hybridMultilevel"/>
    <w:tmpl w:val="9642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1D2F11"/>
    <w:multiLevelType w:val="hybridMultilevel"/>
    <w:tmpl w:val="DF8A30BA"/>
    <w:lvl w:ilvl="0" w:tplc="D062C1F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282B04"/>
    <w:multiLevelType w:val="hybridMultilevel"/>
    <w:tmpl w:val="90DAA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914AE2"/>
    <w:multiLevelType w:val="hybridMultilevel"/>
    <w:tmpl w:val="2708E516"/>
    <w:lvl w:ilvl="0" w:tplc="B64C2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D0449D"/>
    <w:multiLevelType w:val="singleLevel"/>
    <w:tmpl w:val="DD42AB4E"/>
    <w:lvl w:ilvl="0">
      <w:start w:val="2"/>
      <w:numFmt w:val="decimal"/>
      <w:lvlText w:val="%1."/>
      <w:lvlJc w:val="left"/>
      <w:pPr>
        <w:tabs>
          <w:tab w:val="num" w:pos="1080"/>
        </w:tabs>
        <w:ind w:left="1080" w:hanging="360"/>
      </w:pPr>
      <w:rPr>
        <w:rFonts w:hint="default"/>
      </w:rPr>
    </w:lvl>
  </w:abstractNum>
  <w:abstractNum w:abstractNumId="15">
    <w:nsid w:val="4F5A0354"/>
    <w:multiLevelType w:val="hybridMultilevel"/>
    <w:tmpl w:val="0074AD18"/>
    <w:lvl w:ilvl="0" w:tplc="64D49D2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F716CB0"/>
    <w:multiLevelType w:val="hybridMultilevel"/>
    <w:tmpl w:val="90DAA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292F8B"/>
    <w:multiLevelType w:val="hybridMultilevel"/>
    <w:tmpl w:val="0F9C47CC"/>
    <w:lvl w:ilvl="0" w:tplc="0F741E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5015D1F"/>
    <w:multiLevelType w:val="hybridMultilevel"/>
    <w:tmpl w:val="F88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4158E3"/>
    <w:multiLevelType w:val="hybridMultilevel"/>
    <w:tmpl w:val="9D72AAB2"/>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6803F14"/>
    <w:multiLevelType w:val="hybridMultilevel"/>
    <w:tmpl w:val="31D88902"/>
    <w:lvl w:ilvl="0" w:tplc="961410B4">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90737B0"/>
    <w:multiLevelType w:val="hybridMultilevel"/>
    <w:tmpl w:val="F702A948"/>
    <w:lvl w:ilvl="0" w:tplc="F6629E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98C0A1D"/>
    <w:multiLevelType w:val="hybridMultilevel"/>
    <w:tmpl w:val="AD5666D2"/>
    <w:lvl w:ilvl="0" w:tplc="DB7CE5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D2332F"/>
    <w:multiLevelType w:val="singleLevel"/>
    <w:tmpl w:val="B046DE6E"/>
    <w:lvl w:ilvl="0">
      <w:start w:val="1"/>
      <w:numFmt w:val="decimal"/>
      <w:lvlText w:val="%1."/>
      <w:lvlJc w:val="left"/>
      <w:pPr>
        <w:tabs>
          <w:tab w:val="num" w:pos="360"/>
        </w:tabs>
        <w:ind w:left="360" w:hanging="360"/>
      </w:pPr>
      <w:rPr>
        <w:rFonts w:ascii="CG Times" w:hAnsi="CG Times" w:hint="default"/>
      </w:rPr>
    </w:lvl>
  </w:abstractNum>
  <w:abstractNum w:abstractNumId="24">
    <w:nsid w:val="6089283A"/>
    <w:multiLevelType w:val="hybridMultilevel"/>
    <w:tmpl w:val="FF12D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64102B"/>
    <w:multiLevelType w:val="singleLevel"/>
    <w:tmpl w:val="04090013"/>
    <w:lvl w:ilvl="0">
      <w:start w:val="1"/>
      <w:numFmt w:val="upperRoman"/>
      <w:lvlText w:val="%1."/>
      <w:lvlJc w:val="left"/>
      <w:pPr>
        <w:tabs>
          <w:tab w:val="num" w:pos="720"/>
        </w:tabs>
        <w:ind w:left="720" w:hanging="720"/>
      </w:pPr>
      <w:rPr>
        <w:rFonts w:hint="default"/>
      </w:rPr>
    </w:lvl>
  </w:abstractNum>
  <w:abstractNum w:abstractNumId="26">
    <w:nsid w:val="683A4D86"/>
    <w:multiLevelType w:val="hybridMultilevel"/>
    <w:tmpl w:val="90DAA3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815A81"/>
    <w:multiLevelType w:val="hybridMultilevel"/>
    <w:tmpl w:val="1864FD38"/>
    <w:lvl w:ilvl="0" w:tplc="18141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9201C2F"/>
    <w:multiLevelType w:val="hybridMultilevel"/>
    <w:tmpl w:val="0C20A4E4"/>
    <w:lvl w:ilvl="0" w:tplc="14A44F9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A1B435C"/>
    <w:multiLevelType w:val="hybridMultilevel"/>
    <w:tmpl w:val="D22A3D14"/>
    <w:lvl w:ilvl="0" w:tplc="A282CF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8E3AB3"/>
    <w:multiLevelType w:val="hybridMultilevel"/>
    <w:tmpl w:val="9642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4"/>
  </w:num>
  <w:num w:numId="4">
    <w:abstractNumId w:val="14"/>
  </w:num>
  <w:num w:numId="5">
    <w:abstractNumId w:val="20"/>
  </w:num>
  <w:num w:numId="6">
    <w:abstractNumId w:val="3"/>
  </w:num>
  <w:num w:numId="7">
    <w:abstractNumId w:val="22"/>
  </w:num>
  <w:num w:numId="8">
    <w:abstractNumId w:val="15"/>
  </w:num>
  <w:num w:numId="9">
    <w:abstractNumId w:val="25"/>
  </w:num>
  <w:num w:numId="10">
    <w:abstractNumId w:val="28"/>
  </w:num>
  <w:num w:numId="11">
    <w:abstractNumId w:val="8"/>
  </w:num>
  <w:num w:numId="12">
    <w:abstractNumId w:val="21"/>
  </w:num>
  <w:num w:numId="13">
    <w:abstractNumId w:val="17"/>
  </w:num>
  <w:num w:numId="14">
    <w:abstractNumId w:val="29"/>
  </w:num>
  <w:num w:numId="15">
    <w:abstractNumId w:val="19"/>
  </w:num>
  <w:num w:numId="16">
    <w:abstractNumId w:val="9"/>
  </w:num>
  <w:num w:numId="17">
    <w:abstractNumId w:val="0"/>
  </w:num>
  <w:num w:numId="18">
    <w:abstractNumId w:val="6"/>
  </w:num>
  <w:num w:numId="19">
    <w:abstractNumId w:val="13"/>
  </w:num>
  <w:num w:numId="20">
    <w:abstractNumId w:val="24"/>
  </w:num>
  <w:num w:numId="21">
    <w:abstractNumId w:val="1"/>
  </w:num>
  <w:num w:numId="22">
    <w:abstractNumId w:val="11"/>
  </w:num>
  <w:num w:numId="23">
    <w:abstractNumId w:val="26"/>
  </w:num>
  <w:num w:numId="24">
    <w:abstractNumId w:val="12"/>
  </w:num>
  <w:num w:numId="25">
    <w:abstractNumId w:val="5"/>
  </w:num>
  <w:num w:numId="26">
    <w:abstractNumId w:val="16"/>
  </w:num>
  <w:num w:numId="27">
    <w:abstractNumId w:val="18"/>
  </w:num>
  <w:num w:numId="28">
    <w:abstractNumId w:val="27"/>
  </w:num>
  <w:num w:numId="29">
    <w:abstractNumId w:val="10"/>
  </w:num>
  <w:num w:numId="30">
    <w:abstractNumId w:val="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YOW3yf8g3syD8CVTrFyE4DQlvg=" w:salt="lzZmd4a4fslEGaSnw4P70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40"/>
    <w:rsid w:val="000033BA"/>
    <w:rsid w:val="0001156D"/>
    <w:rsid w:val="000262C4"/>
    <w:rsid w:val="000268D6"/>
    <w:rsid w:val="00037F2A"/>
    <w:rsid w:val="0004288C"/>
    <w:rsid w:val="000550FE"/>
    <w:rsid w:val="000624C4"/>
    <w:rsid w:val="00063368"/>
    <w:rsid w:val="00063C6E"/>
    <w:rsid w:val="00071D9B"/>
    <w:rsid w:val="00071F84"/>
    <w:rsid w:val="00091965"/>
    <w:rsid w:val="000B5EF2"/>
    <w:rsid w:val="000C1234"/>
    <w:rsid w:val="000C40C3"/>
    <w:rsid w:val="000C7EFC"/>
    <w:rsid w:val="000D0EF8"/>
    <w:rsid w:val="000D3553"/>
    <w:rsid w:val="000D3F5D"/>
    <w:rsid w:val="000D7438"/>
    <w:rsid w:val="000E0754"/>
    <w:rsid w:val="000E0866"/>
    <w:rsid w:val="000E47CE"/>
    <w:rsid w:val="000F01D1"/>
    <w:rsid w:val="001010EB"/>
    <w:rsid w:val="001022F1"/>
    <w:rsid w:val="0010591A"/>
    <w:rsid w:val="001167BE"/>
    <w:rsid w:val="00125BAA"/>
    <w:rsid w:val="0012699E"/>
    <w:rsid w:val="0012775C"/>
    <w:rsid w:val="00131131"/>
    <w:rsid w:val="001323F1"/>
    <w:rsid w:val="0013742D"/>
    <w:rsid w:val="00140A4C"/>
    <w:rsid w:val="00140A8B"/>
    <w:rsid w:val="00141914"/>
    <w:rsid w:val="001443AD"/>
    <w:rsid w:val="001457C3"/>
    <w:rsid w:val="001466ED"/>
    <w:rsid w:val="0015361E"/>
    <w:rsid w:val="00154550"/>
    <w:rsid w:val="00164D8B"/>
    <w:rsid w:val="00177B42"/>
    <w:rsid w:val="001805A9"/>
    <w:rsid w:val="001824CC"/>
    <w:rsid w:val="00187118"/>
    <w:rsid w:val="00187960"/>
    <w:rsid w:val="00187AC6"/>
    <w:rsid w:val="00187D94"/>
    <w:rsid w:val="001901F7"/>
    <w:rsid w:val="00192B54"/>
    <w:rsid w:val="001A6355"/>
    <w:rsid w:val="001B452E"/>
    <w:rsid w:val="001B5641"/>
    <w:rsid w:val="001C263F"/>
    <w:rsid w:val="001C3049"/>
    <w:rsid w:val="001C7DCA"/>
    <w:rsid w:val="001D3872"/>
    <w:rsid w:val="001D5ACC"/>
    <w:rsid w:val="001D7D2A"/>
    <w:rsid w:val="001E1FC8"/>
    <w:rsid w:val="001E4987"/>
    <w:rsid w:val="001E6DA6"/>
    <w:rsid w:val="001F021B"/>
    <w:rsid w:val="001F6E16"/>
    <w:rsid w:val="00200334"/>
    <w:rsid w:val="00204ADB"/>
    <w:rsid w:val="00211645"/>
    <w:rsid w:val="00214E2C"/>
    <w:rsid w:val="00231150"/>
    <w:rsid w:val="0023349A"/>
    <w:rsid w:val="00235E48"/>
    <w:rsid w:val="00236E31"/>
    <w:rsid w:val="00242146"/>
    <w:rsid w:val="00245C4B"/>
    <w:rsid w:val="002516BB"/>
    <w:rsid w:val="002526C3"/>
    <w:rsid w:val="00252744"/>
    <w:rsid w:val="0025791F"/>
    <w:rsid w:val="00263020"/>
    <w:rsid w:val="00265906"/>
    <w:rsid w:val="002661F8"/>
    <w:rsid w:val="002711B2"/>
    <w:rsid w:val="002752E2"/>
    <w:rsid w:val="0027579D"/>
    <w:rsid w:val="00292833"/>
    <w:rsid w:val="002932C0"/>
    <w:rsid w:val="0029384A"/>
    <w:rsid w:val="00294027"/>
    <w:rsid w:val="00294673"/>
    <w:rsid w:val="00296665"/>
    <w:rsid w:val="002A076C"/>
    <w:rsid w:val="002A0DEE"/>
    <w:rsid w:val="002A167F"/>
    <w:rsid w:val="002A2E97"/>
    <w:rsid w:val="002B215C"/>
    <w:rsid w:val="002B6658"/>
    <w:rsid w:val="002D1CB3"/>
    <w:rsid w:val="002D2FA4"/>
    <w:rsid w:val="002D40C1"/>
    <w:rsid w:val="002D601D"/>
    <w:rsid w:val="002E1929"/>
    <w:rsid w:val="002E3B38"/>
    <w:rsid w:val="002F2EA7"/>
    <w:rsid w:val="002F4EA3"/>
    <w:rsid w:val="002F7DEB"/>
    <w:rsid w:val="00311752"/>
    <w:rsid w:val="00312128"/>
    <w:rsid w:val="003122FA"/>
    <w:rsid w:val="0031532E"/>
    <w:rsid w:val="00321473"/>
    <w:rsid w:val="00322313"/>
    <w:rsid w:val="00322623"/>
    <w:rsid w:val="00334115"/>
    <w:rsid w:val="0033458D"/>
    <w:rsid w:val="003346B4"/>
    <w:rsid w:val="00355D9C"/>
    <w:rsid w:val="00356964"/>
    <w:rsid w:val="00356C4E"/>
    <w:rsid w:val="00364638"/>
    <w:rsid w:val="00364712"/>
    <w:rsid w:val="00364A77"/>
    <w:rsid w:val="00364CB6"/>
    <w:rsid w:val="00373913"/>
    <w:rsid w:val="00376CBA"/>
    <w:rsid w:val="0037781C"/>
    <w:rsid w:val="00382752"/>
    <w:rsid w:val="003856A1"/>
    <w:rsid w:val="003A0954"/>
    <w:rsid w:val="003A2140"/>
    <w:rsid w:val="003A22EC"/>
    <w:rsid w:val="003A2E79"/>
    <w:rsid w:val="003A563F"/>
    <w:rsid w:val="003B06B9"/>
    <w:rsid w:val="003B3E01"/>
    <w:rsid w:val="003B572F"/>
    <w:rsid w:val="003C1F4C"/>
    <w:rsid w:val="003C21C6"/>
    <w:rsid w:val="003C239A"/>
    <w:rsid w:val="003D142A"/>
    <w:rsid w:val="003D264C"/>
    <w:rsid w:val="003D337F"/>
    <w:rsid w:val="003D4020"/>
    <w:rsid w:val="003D602A"/>
    <w:rsid w:val="003E065D"/>
    <w:rsid w:val="003E1A55"/>
    <w:rsid w:val="003E4407"/>
    <w:rsid w:val="003E677D"/>
    <w:rsid w:val="003E78C6"/>
    <w:rsid w:val="003E7A5F"/>
    <w:rsid w:val="003F0508"/>
    <w:rsid w:val="003F0EA0"/>
    <w:rsid w:val="003F11ED"/>
    <w:rsid w:val="004029B6"/>
    <w:rsid w:val="00402B68"/>
    <w:rsid w:val="00404866"/>
    <w:rsid w:val="00404A1A"/>
    <w:rsid w:val="00406505"/>
    <w:rsid w:val="00415C2F"/>
    <w:rsid w:val="00422EA9"/>
    <w:rsid w:val="004246A4"/>
    <w:rsid w:val="004263F8"/>
    <w:rsid w:val="00427A7D"/>
    <w:rsid w:val="00431CBE"/>
    <w:rsid w:val="00433D30"/>
    <w:rsid w:val="00436783"/>
    <w:rsid w:val="00442FFA"/>
    <w:rsid w:val="004536F9"/>
    <w:rsid w:val="00456E8B"/>
    <w:rsid w:val="00461A06"/>
    <w:rsid w:val="00461D64"/>
    <w:rsid w:val="004626C2"/>
    <w:rsid w:val="0046485C"/>
    <w:rsid w:val="00466E58"/>
    <w:rsid w:val="00476308"/>
    <w:rsid w:val="004771AA"/>
    <w:rsid w:val="00480044"/>
    <w:rsid w:val="00490238"/>
    <w:rsid w:val="004A2C5E"/>
    <w:rsid w:val="004A2DFE"/>
    <w:rsid w:val="004A323B"/>
    <w:rsid w:val="004B03FD"/>
    <w:rsid w:val="004B139B"/>
    <w:rsid w:val="004B22A7"/>
    <w:rsid w:val="004B241B"/>
    <w:rsid w:val="004B3554"/>
    <w:rsid w:val="004B3C21"/>
    <w:rsid w:val="004B5B55"/>
    <w:rsid w:val="004C1E86"/>
    <w:rsid w:val="004C3E2E"/>
    <w:rsid w:val="004C5F75"/>
    <w:rsid w:val="004D1719"/>
    <w:rsid w:val="004D23A8"/>
    <w:rsid w:val="004D2870"/>
    <w:rsid w:val="004D67A8"/>
    <w:rsid w:val="004F1229"/>
    <w:rsid w:val="004F4F9A"/>
    <w:rsid w:val="004F77A4"/>
    <w:rsid w:val="005040B7"/>
    <w:rsid w:val="00506650"/>
    <w:rsid w:val="0051074F"/>
    <w:rsid w:val="0051487A"/>
    <w:rsid w:val="00515833"/>
    <w:rsid w:val="0052071E"/>
    <w:rsid w:val="005222EA"/>
    <w:rsid w:val="0052419A"/>
    <w:rsid w:val="005248A3"/>
    <w:rsid w:val="00527E21"/>
    <w:rsid w:val="00535A40"/>
    <w:rsid w:val="00540A85"/>
    <w:rsid w:val="00540D55"/>
    <w:rsid w:val="005417E5"/>
    <w:rsid w:val="005422BE"/>
    <w:rsid w:val="0055143C"/>
    <w:rsid w:val="00556594"/>
    <w:rsid w:val="0055772D"/>
    <w:rsid w:val="00565210"/>
    <w:rsid w:val="005729FA"/>
    <w:rsid w:val="0057342E"/>
    <w:rsid w:val="00577723"/>
    <w:rsid w:val="00580FA2"/>
    <w:rsid w:val="0058233D"/>
    <w:rsid w:val="00587E1D"/>
    <w:rsid w:val="0059076A"/>
    <w:rsid w:val="005974EC"/>
    <w:rsid w:val="005A4F00"/>
    <w:rsid w:val="005B17D2"/>
    <w:rsid w:val="005B3D38"/>
    <w:rsid w:val="005B693E"/>
    <w:rsid w:val="005C0FE0"/>
    <w:rsid w:val="005D17F2"/>
    <w:rsid w:val="005D2F36"/>
    <w:rsid w:val="005D4983"/>
    <w:rsid w:val="005E060C"/>
    <w:rsid w:val="005E17E8"/>
    <w:rsid w:val="005E67D5"/>
    <w:rsid w:val="005E70D8"/>
    <w:rsid w:val="005E7D92"/>
    <w:rsid w:val="005F223D"/>
    <w:rsid w:val="005F446E"/>
    <w:rsid w:val="005F4D09"/>
    <w:rsid w:val="005F7CD5"/>
    <w:rsid w:val="006106CA"/>
    <w:rsid w:val="00616613"/>
    <w:rsid w:val="00621A2A"/>
    <w:rsid w:val="00621BD3"/>
    <w:rsid w:val="00625402"/>
    <w:rsid w:val="00630997"/>
    <w:rsid w:val="00641BDD"/>
    <w:rsid w:val="00650CF9"/>
    <w:rsid w:val="0065560F"/>
    <w:rsid w:val="00670AE0"/>
    <w:rsid w:val="0067379A"/>
    <w:rsid w:val="00683BEF"/>
    <w:rsid w:val="00690B03"/>
    <w:rsid w:val="00693CD2"/>
    <w:rsid w:val="00694044"/>
    <w:rsid w:val="00694488"/>
    <w:rsid w:val="00695AE3"/>
    <w:rsid w:val="00697E49"/>
    <w:rsid w:val="006B2827"/>
    <w:rsid w:val="006B2E59"/>
    <w:rsid w:val="006B72EE"/>
    <w:rsid w:val="006C1EB5"/>
    <w:rsid w:val="006C3F57"/>
    <w:rsid w:val="006D0D43"/>
    <w:rsid w:val="006D575F"/>
    <w:rsid w:val="006E0CB7"/>
    <w:rsid w:val="006E237E"/>
    <w:rsid w:val="006E6A99"/>
    <w:rsid w:val="006F1C63"/>
    <w:rsid w:val="006F2A0B"/>
    <w:rsid w:val="006F3688"/>
    <w:rsid w:val="006F72F3"/>
    <w:rsid w:val="006F739D"/>
    <w:rsid w:val="006F7821"/>
    <w:rsid w:val="006F7EA1"/>
    <w:rsid w:val="00700333"/>
    <w:rsid w:val="00704A7E"/>
    <w:rsid w:val="007103B3"/>
    <w:rsid w:val="00710491"/>
    <w:rsid w:val="007118BB"/>
    <w:rsid w:val="007163C4"/>
    <w:rsid w:val="00716E83"/>
    <w:rsid w:val="00734899"/>
    <w:rsid w:val="007350FD"/>
    <w:rsid w:val="00741B08"/>
    <w:rsid w:val="00746C17"/>
    <w:rsid w:val="00746FBF"/>
    <w:rsid w:val="007474E6"/>
    <w:rsid w:val="0075104F"/>
    <w:rsid w:val="0075401F"/>
    <w:rsid w:val="00755B77"/>
    <w:rsid w:val="00756ABC"/>
    <w:rsid w:val="007622E9"/>
    <w:rsid w:val="0076499A"/>
    <w:rsid w:val="0077039C"/>
    <w:rsid w:val="0077121C"/>
    <w:rsid w:val="00772F6B"/>
    <w:rsid w:val="00774A3B"/>
    <w:rsid w:val="00781E90"/>
    <w:rsid w:val="007820EC"/>
    <w:rsid w:val="00787FB2"/>
    <w:rsid w:val="007917FA"/>
    <w:rsid w:val="00795469"/>
    <w:rsid w:val="007B002D"/>
    <w:rsid w:val="007B3105"/>
    <w:rsid w:val="007B36E1"/>
    <w:rsid w:val="007C0594"/>
    <w:rsid w:val="007C46E9"/>
    <w:rsid w:val="007E0313"/>
    <w:rsid w:val="007E2DDF"/>
    <w:rsid w:val="007E5918"/>
    <w:rsid w:val="007E6091"/>
    <w:rsid w:val="007F165F"/>
    <w:rsid w:val="008038B1"/>
    <w:rsid w:val="00806C21"/>
    <w:rsid w:val="00807DE3"/>
    <w:rsid w:val="008113BF"/>
    <w:rsid w:val="008119BE"/>
    <w:rsid w:val="00812DAA"/>
    <w:rsid w:val="00814987"/>
    <w:rsid w:val="00817274"/>
    <w:rsid w:val="008178D7"/>
    <w:rsid w:val="00821A5A"/>
    <w:rsid w:val="0082483D"/>
    <w:rsid w:val="00824BF3"/>
    <w:rsid w:val="008311B3"/>
    <w:rsid w:val="00832459"/>
    <w:rsid w:val="00834C03"/>
    <w:rsid w:val="00836DF7"/>
    <w:rsid w:val="00840121"/>
    <w:rsid w:val="008468B5"/>
    <w:rsid w:val="00852555"/>
    <w:rsid w:val="00854DC2"/>
    <w:rsid w:val="00865017"/>
    <w:rsid w:val="008715AF"/>
    <w:rsid w:val="00872F13"/>
    <w:rsid w:val="008763BC"/>
    <w:rsid w:val="00880FE9"/>
    <w:rsid w:val="00885A1E"/>
    <w:rsid w:val="00886C8B"/>
    <w:rsid w:val="008929EE"/>
    <w:rsid w:val="0089378F"/>
    <w:rsid w:val="00893DBE"/>
    <w:rsid w:val="00894F21"/>
    <w:rsid w:val="008A0EB0"/>
    <w:rsid w:val="008A2385"/>
    <w:rsid w:val="008A30CD"/>
    <w:rsid w:val="008A594E"/>
    <w:rsid w:val="008A704B"/>
    <w:rsid w:val="008A7871"/>
    <w:rsid w:val="008B5E7E"/>
    <w:rsid w:val="008B6634"/>
    <w:rsid w:val="008C18AA"/>
    <w:rsid w:val="008C544C"/>
    <w:rsid w:val="008C5C3B"/>
    <w:rsid w:val="008C6ABF"/>
    <w:rsid w:val="008D5456"/>
    <w:rsid w:val="008E18CA"/>
    <w:rsid w:val="008E33CC"/>
    <w:rsid w:val="008F0A0C"/>
    <w:rsid w:val="008F1556"/>
    <w:rsid w:val="008F3842"/>
    <w:rsid w:val="008F5D2E"/>
    <w:rsid w:val="008F67CC"/>
    <w:rsid w:val="0090478F"/>
    <w:rsid w:val="00907E38"/>
    <w:rsid w:val="009106E3"/>
    <w:rsid w:val="00914D80"/>
    <w:rsid w:val="0091714D"/>
    <w:rsid w:val="00922225"/>
    <w:rsid w:val="0092420C"/>
    <w:rsid w:val="00926C2C"/>
    <w:rsid w:val="009315A2"/>
    <w:rsid w:val="00932A94"/>
    <w:rsid w:val="009337E3"/>
    <w:rsid w:val="00941EFB"/>
    <w:rsid w:val="009437E0"/>
    <w:rsid w:val="0094600C"/>
    <w:rsid w:val="009526F7"/>
    <w:rsid w:val="00954786"/>
    <w:rsid w:val="009678E6"/>
    <w:rsid w:val="00974554"/>
    <w:rsid w:val="00976DEF"/>
    <w:rsid w:val="00977FE6"/>
    <w:rsid w:val="00980833"/>
    <w:rsid w:val="0098627A"/>
    <w:rsid w:val="009920AA"/>
    <w:rsid w:val="009A4139"/>
    <w:rsid w:val="009A4561"/>
    <w:rsid w:val="009A5214"/>
    <w:rsid w:val="009B292B"/>
    <w:rsid w:val="009B514B"/>
    <w:rsid w:val="009C0D6D"/>
    <w:rsid w:val="009C37FB"/>
    <w:rsid w:val="009C6FD7"/>
    <w:rsid w:val="009D32C8"/>
    <w:rsid w:val="009D41E9"/>
    <w:rsid w:val="009D69C0"/>
    <w:rsid w:val="009D7C3A"/>
    <w:rsid w:val="009E0EBD"/>
    <w:rsid w:val="009E572F"/>
    <w:rsid w:val="009E6952"/>
    <w:rsid w:val="009F45E2"/>
    <w:rsid w:val="009F4E2B"/>
    <w:rsid w:val="009F759B"/>
    <w:rsid w:val="00A00620"/>
    <w:rsid w:val="00A079CD"/>
    <w:rsid w:val="00A07D57"/>
    <w:rsid w:val="00A20BC9"/>
    <w:rsid w:val="00A2141C"/>
    <w:rsid w:val="00A26EAC"/>
    <w:rsid w:val="00A328D0"/>
    <w:rsid w:val="00A339BF"/>
    <w:rsid w:val="00A34165"/>
    <w:rsid w:val="00A3509C"/>
    <w:rsid w:val="00A35F61"/>
    <w:rsid w:val="00A36060"/>
    <w:rsid w:val="00A36A2A"/>
    <w:rsid w:val="00A37EC5"/>
    <w:rsid w:val="00A42BF5"/>
    <w:rsid w:val="00A44347"/>
    <w:rsid w:val="00A50AA7"/>
    <w:rsid w:val="00A51E25"/>
    <w:rsid w:val="00A5715B"/>
    <w:rsid w:val="00A63D39"/>
    <w:rsid w:val="00A63E5D"/>
    <w:rsid w:val="00A6537C"/>
    <w:rsid w:val="00A6742C"/>
    <w:rsid w:val="00A7029D"/>
    <w:rsid w:val="00A70D9A"/>
    <w:rsid w:val="00A7231D"/>
    <w:rsid w:val="00A7572C"/>
    <w:rsid w:val="00A86967"/>
    <w:rsid w:val="00A91C71"/>
    <w:rsid w:val="00AA22E9"/>
    <w:rsid w:val="00AB3A1C"/>
    <w:rsid w:val="00AB7048"/>
    <w:rsid w:val="00AC44B9"/>
    <w:rsid w:val="00AC4E34"/>
    <w:rsid w:val="00AC6AD4"/>
    <w:rsid w:val="00AD3BA6"/>
    <w:rsid w:val="00AD45B5"/>
    <w:rsid w:val="00AE38D1"/>
    <w:rsid w:val="00AF70A3"/>
    <w:rsid w:val="00B00726"/>
    <w:rsid w:val="00B10F38"/>
    <w:rsid w:val="00B2006F"/>
    <w:rsid w:val="00B20207"/>
    <w:rsid w:val="00B21AFD"/>
    <w:rsid w:val="00B226AD"/>
    <w:rsid w:val="00B23D27"/>
    <w:rsid w:val="00B267C4"/>
    <w:rsid w:val="00B312FB"/>
    <w:rsid w:val="00B32908"/>
    <w:rsid w:val="00B34032"/>
    <w:rsid w:val="00B3651A"/>
    <w:rsid w:val="00B40860"/>
    <w:rsid w:val="00B40B7E"/>
    <w:rsid w:val="00B450D2"/>
    <w:rsid w:val="00B51E82"/>
    <w:rsid w:val="00B57243"/>
    <w:rsid w:val="00B57E84"/>
    <w:rsid w:val="00B57F9F"/>
    <w:rsid w:val="00B65412"/>
    <w:rsid w:val="00B66399"/>
    <w:rsid w:val="00B725FA"/>
    <w:rsid w:val="00B728B0"/>
    <w:rsid w:val="00B76960"/>
    <w:rsid w:val="00B86826"/>
    <w:rsid w:val="00B87FF0"/>
    <w:rsid w:val="00B916CC"/>
    <w:rsid w:val="00B92DC0"/>
    <w:rsid w:val="00B930DF"/>
    <w:rsid w:val="00B96919"/>
    <w:rsid w:val="00B97B30"/>
    <w:rsid w:val="00BA053D"/>
    <w:rsid w:val="00BA09FE"/>
    <w:rsid w:val="00BA3104"/>
    <w:rsid w:val="00BA511C"/>
    <w:rsid w:val="00BA5D3B"/>
    <w:rsid w:val="00BA7459"/>
    <w:rsid w:val="00BA7A00"/>
    <w:rsid w:val="00BB4C84"/>
    <w:rsid w:val="00BC2BAB"/>
    <w:rsid w:val="00BC2F40"/>
    <w:rsid w:val="00BC547A"/>
    <w:rsid w:val="00BD07C6"/>
    <w:rsid w:val="00BD09BE"/>
    <w:rsid w:val="00BD1948"/>
    <w:rsid w:val="00BD56E0"/>
    <w:rsid w:val="00BD66D8"/>
    <w:rsid w:val="00BE2A81"/>
    <w:rsid w:val="00BE6429"/>
    <w:rsid w:val="00BF4087"/>
    <w:rsid w:val="00BF5FF6"/>
    <w:rsid w:val="00BF672C"/>
    <w:rsid w:val="00C11446"/>
    <w:rsid w:val="00C122C8"/>
    <w:rsid w:val="00C138CC"/>
    <w:rsid w:val="00C269E8"/>
    <w:rsid w:val="00C32692"/>
    <w:rsid w:val="00C34015"/>
    <w:rsid w:val="00C47DC8"/>
    <w:rsid w:val="00C525C5"/>
    <w:rsid w:val="00C52F42"/>
    <w:rsid w:val="00C53EC0"/>
    <w:rsid w:val="00C61673"/>
    <w:rsid w:val="00C63478"/>
    <w:rsid w:val="00C64BE7"/>
    <w:rsid w:val="00C70EAC"/>
    <w:rsid w:val="00C73BD7"/>
    <w:rsid w:val="00C77D75"/>
    <w:rsid w:val="00C90577"/>
    <w:rsid w:val="00C951E7"/>
    <w:rsid w:val="00C95551"/>
    <w:rsid w:val="00C96804"/>
    <w:rsid w:val="00CA0F25"/>
    <w:rsid w:val="00CA2256"/>
    <w:rsid w:val="00CA26E4"/>
    <w:rsid w:val="00CA4BC8"/>
    <w:rsid w:val="00CA56DF"/>
    <w:rsid w:val="00CA60B2"/>
    <w:rsid w:val="00CA642F"/>
    <w:rsid w:val="00CA668A"/>
    <w:rsid w:val="00CA7C41"/>
    <w:rsid w:val="00CB12EF"/>
    <w:rsid w:val="00CB1361"/>
    <w:rsid w:val="00CB20C1"/>
    <w:rsid w:val="00CB2D95"/>
    <w:rsid w:val="00CB3464"/>
    <w:rsid w:val="00CC21BF"/>
    <w:rsid w:val="00CC261B"/>
    <w:rsid w:val="00CC60CE"/>
    <w:rsid w:val="00CD15FE"/>
    <w:rsid w:val="00CD30C3"/>
    <w:rsid w:val="00CE0EE6"/>
    <w:rsid w:val="00CE145E"/>
    <w:rsid w:val="00CE151E"/>
    <w:rsid w:val="00CE621B"/>
    <w:rsid w:val="00CF1F23"/>
    <w:rsid w:val="00CF2FE0"/>
    <w:rsid w:val="00CF7658"/>
    <w:rsid w:val="00D01321"/>
    <w:rsid w:val="00D01ACD"/>
    <w:rsid w:val="00D059E1"/>
    <w:rsid w:val="00D07D76"/>
    <w:rsid w:val="00D101FA"/>
    <w:rsid w:val="00D10734"/>
    <w:rsid w:val="00D12834"/>
    <w:rsid w:val="00D13401"/>
    <w:rsid w:val="00D13AE3"/>
    <w:rsid w:val="00D15D04"/>
    <w:rsid w:val="00D16583"/>
    <w:rsid w:val="00D17DA2"/>
    <w:rsid w:val="00D21B0E"/>
    <w:rsid w:val="00D243CF"/>
    <w:rsid w:val="00D25407"/>
    <w:rsid w:val="00D31630"/>
    <w:rsid w:val="00D37E70"/>
    <w:rsid w:val="00D439B6"/>
    <w:rsid w:val="00D47F51"/>
    <w:rsid w:val="00D508BD"/>
    <w:rsid w:val="00D532CF"/>
    <w:rsid w:val="00D55D1B"/>
    <w:rsid w:val="00D563DE"/>
    <w:rsid w:val="00D577EC"/>
    <w:rsid w:val="00D61257"/>
    <w:rsid w:val="00D63394"/>
    <w:rsid w:val="00D64133"/>
    <w:rsid w:val="00D651B2"/>
    <w:rsid w:val="00D67668"/>
    <w:rsid w:val="00D67801"/>
    <w:rsid w:val="00D806D0"/>
    <w:rsid w:val="00D81EA0"/>
    <w:rsid w:val="00D8493F"/>
    <w:rsid w:val="00D961B4"/>
    <w:rsid w:val="00DA1371"/>
    <w:rsid w:val="00DA5124"/>
    <w:rsid w:val="00DA5814"/>
    <w:rsid w:val="00DA6EA4"/>
    <w:rsid w:val="00DB0DD2"/>
    <w:rsid w:val="00DB368E"/>
    <w:rsid w:val="00DC1BFF"/>
    <w:rsid w:val="00DC2886"/>
    <w:rsid w:val="00DC5488"/>
    <w:rsid w:val="00DD5624"/>
    <w:rsid w:val="00DE5E63"/>
    <w:rsid w:val="00DF57C2"/>
    <w:rsid w:val="00DF60F6"/>
    <w:rsid w:val="00DF63C3"/>
    <w:rsid w:val="00DF7D88"/>
    <w:rsid w:val="00E00A06"/>
    <w:rsid w:val="00E01222"/>
    <w:rsid w:val="00E0491D"/>
    <w:rsid w:val="00E10B5E"/>
    <w:rsid w:val="00E20818"/>
    <w:rsid w:val="00E258FD"/>
    <w:rsid w:val="00E31ABE"/>
    <w:rsid w:val="00E451E1"/>
    <w:rsid w:val="00E45E86"/>
    <w:rsid w:val="00E502FD"/>
    <w:rsid w:val="00E521F1"/>
    <w:rsid w:val="00E55F71"/>
    <w:rsid w:val="00E601C1"/>
    <w:rsid w:val="00E64B75"/>
    <w:rsid w:val="00E65D4C"/>
    <w:rsid w:val="00E66ED9"/>
    <w:rsid w:val="00E751F4"/>
    <w:rsid w:val="00E7766B"/>
    <w:rsid w:val="00E81B62"/>
    <w:rsid w:val="00E83F80"/>
    <w:rsid w:val="00E93CE7"/>
    <w:rsid w:val="00E94221"/>
    <w:rsid w:val="00EA40BE"/>
    <w:rsid w:val="00EB1122"/>
    <w:rsid w:val="00EB38D5"/>
    <w:rsid w:val="00EB4E4C"/>
    <w:rsid w:val="00EB5E30"/>
    <w:rsid w:val="00EC00B9"/>
    <w:rsid w:val="00EC658A"/>
    <w:rsid w:val="00EC7A72"/>
    <w:rsid w:val="00ED084F"/>
    <w:rsid w:val="00ED63BC"/>
    <w:rsid w:val="00EE21FA"/>
    <w:rsid w:val="00EE31FD"/>
    <w:rsid w:val="00EE4B79"/>
    <w:rsid w:val="00EE52E5"/>
    <w:rsid w:val="00EE627A"/>
    <w:rsid w:val="00EF0F7D"/>
    <w:rsid w:val="00EF5596"/>
    <w:rsid w:val="00F002DD"/>
    <w:rsid w:val="00F123F0"/>
    <w:rsid w:val="00F12701"/>
    <w:rsid w:val="00F20F70"/>
    <w:rsid w:val="00F22BAA"/>
    <w:rsid w:val="00F30206"/>
    <w:rsid w:val="00F31ECA"/>
    <w:rsid w:val="00F32543"/>
    <w:rsid w:val="00F33FD1"/>
    <w:rsid w:val="00F42E7B"/>
    <w:rsid w:val="00F436D0"/>
    <w:rsid w:val="00F47136"/>
    <w:rsid w:val="00F47981"/>
    <w:rsid w:val="00F51F4E"/>
    <w:rsid w:val="00F56E53"/>
    <w:rsid w:val="00F60387"/>
    <w:rsid w:val="00F60881"/>
    <w:rsid w:val="00F62430"/>
    <w:rsid w:val="00F63720"/>
    <w:rsid w:val="00F669EF"/>
    <w:rsid w:val="00F67CB5"/>
    <w:rsid w:val="00F74022"/>
    <w:rsid w:val="00F74C5D"/>
    <w:rsid w:val="00F77264"/>
    <w:rsid w:val="00F86C0A"/>
    <w:rsid w:val="00FA35E5"/>
    <w:rsid w:val="00FA7DA0"/>
    <w:rsid w:val="00FB302D"/>
    <w:rsid w:val="00FB74B6"/>
    <w:rsid w:val="00FC279B"/>
    <w:rsid w:val="00FC2C0A"/>
    <w:rsid w:val="00FC7267"/>
    <w:rsid w:val="00FD3F87"/>
    <w:rsid w:val="00FD6CAA"/>
    <w:rsid w:val="00FD75F5"/>
    <w:rsid w:val="00FE04EA"/>
    <w:rsid w:val="00FE1F5B"/>
    <w:rsid w:val="00FF10A2"/>
    <w:rsid w:val="00FF3461"/>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0C1"/>
    <w:pPr>
      <w:suppressAutoHyphens/>
      <w:jc w:val="both"/>
    </w:pPr>
    <w:rPr>
      <w:sz w:val="26"/>
    </w:rPr>
  </w:style>
  <w:style w:type="paragraph" w:styleId="Heading1">
    <w:name w:val="heading 1"/>
    <w:basedOn w:val="Normal"/>
    <w:next w:val="Normal"/>
    <w:link w:val="Heading1Char"/>
    <w:uiPriority w:val="9"/>
    <w:qFormat/>
    <w:rsid w:val="00DE5E63"/>
    <w:pPr>
      <w:keepNext/>
      <w:outlineLvl w:val="0"/>
    </w:pPr>
    <w:rPr>
      <w:b/>
    </w:rPr>
  </w:style>
  <w:style w:type="paragraph" w:styleId="Heading2">
    <w:name w:val="heading 2"/>
    <w:basedOn w:val="Normal"/>
    <w:next w:val="Normal"/>
    <w:link w:val="Heading2Char"/>
    <w:qFormat/>
    <w:rsid w:val="00DE5E63"/>
    <w:pPr>
      <w:keepNext/>
      <w:jc w:val="center"/>
      <w:outlineLvl w:val="1"/>
    </w:pPr>
    <w:rPr>
      <w:b/>
    </w:rPr>
  </w:style>
  <w:style w:type="paragraph" w:styleId="Heading3">
    <w:name w:val="heading 3"/>
    <w:basedOn w:val="Normal"/>
    <w:next w:val="Normal"/>
    <w:qFormat/>
    <w:rsid w:val="00DE5E63"/>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E5E63"/>
    <w:pPr>
      <w:framePr w:w="7920" w:h="1980" w:hRule="exact" w:hSpace="180" w:wrap="auto" w:hAnchor="page" w:xAlign="center" w:yAlign="bottom"/>
      <w:ind w:left="2448" w:right="-2880"/>
      <w:jc w:val="left"/>
    </w:pPr>
    <w:rPr>
      <w:caps/>
      <w:sz w:val="22"/>
    </w:rPr>
  </w:style>
  <w:style w:type="paragraph" w:styleId="EnvelopeReturn">
    <w:name w:val="envelope return"/>
    <w:basedOn w:val="Normal"/>
    <w:rsid w:val="00DE5E63"/>
    <w:rPr>
      <w:caps/>
      <w:sz w:val="20"/>
    </w:rPr>
  </w:style>
  <w:style w:type="paragraph" w:styleId="BlockText">
    <w:name w:val="Block Text"/>
    <w:basedOn w:val="Normal"/>
    <w:rsid w:val="00DE5E63"/>
    <w:pPr>
      <w:ind w:left="720" w:right="720"/>
    </w:pPr>
  </w:style>
  <w:style w:type="paragraph" w:styleId="FootnoteText">
    <w:name w:val="footnote text"/>
    <w:basedOn w:val="Normal"/>
    <w:link w:val="FootnoteTextChar"/>
    <w:semiHidden/>
    <w:rsid w:val="00DE5E63"/>
  </w:style>
  <w:style w:type="character" w:styleId="FootnoteReference">
    <w:name w:val="footnote reference"/>
    <w:basedOn w:val="DefaultParagraphFont"/>
    <w:semiHidden/>
    <w:rsid w:val="00DE5E63"/>
    <w:rPr>
      <w:rFonts w:ascii="Times New Roman" w:hAnsi="Times New Roman"/>
      <w:sz w:val="26"/>
      <w:vertAlign w:val="superscript"/>
    </w:rPr>
  </w:style>
  <w:style w:type="paragraph" w:styleId="Footer">
    <w:name w:val="footer"/>
    <w:basedOn w:val="Normal"/>
    <w:link w:val="FooterChar"/>
    <w:uiPriority w:val="99"/>
    <w:rsid w:val="00DE5E63"/>
    <w:pPr>
      <w:tabs>
        <w:tab w:val="center" w:pos="4320"/>
        <w:tab w:val="right" w:pos="8640"/>
      </w:tabs>
      <w:suppressAutoHyphens w:val="0"/>
    </w:pPr>
    <w:rPr>
      <w:snapToGrid w:val="0"/>
    </w:rPr>
  </w:style>
  <w:style w:type="paragraph" w:styleId="BodyText">
    <w:name w:val="Body Text"/>
    <w:basedOn w:val="Normal"/>
    <w:link w:val="BodyTextChar"/>
    <w:rsid w:val="00DE5E63"/>
    <w:pPr>
      <w:spacing w:line="480" w:lineRule="auto"/>
    </w:pPr>
  </w:style>
  <w:style w:type="paragraph" w:styleId="BodyTextIndent2">
    <w:name w:val="Body Text Indent 2"/>
    <w:basedOn w:val="Normal"/>
    <w:rsid w:val="00DE5E63"/>
    <w:pPr>
      <w:suppressAutoHyphens w:val="0"/>
      <w:ind w:firstLine="720"/>
    </w:pPr>
    <w:rPr>
      <w:snapToGrid w:val="0"/>
    </w:rPr>
  </w:style>
  <w:style w:type="character" w:styleId="PageNumber">
    <w:name w:val="page number"/>
    <w:basedOn w:val="DefaultParagraphFont"/>
    <w:rsid w:val="00DE5E63"/>
    <w:rPr>
      <w:rFonts w:ascii="Times New Roman" w:hAnsi="Times New Roman"/>
      <w:sz w:val="26"/>
    </w:rPr>
  </w:style>
  <w:style w:type="paragraph" w:styleId="Title">
    <w:name w:val="Title"/>
    <w:basedOn w:val="Normal"/>
    <w:qFormat/>
    <w:rsid w:val="00DE5E63"/>
    <w:pPr>
      <w:tabs>
        <w:tab w:val="left" w:pos="0"/>
        <w:tab w:val="left" w:pos="1440"/>
        <w:tab w:val="left" w:pos="5040"/>
      </w:tabs>
      <w:jc w:val="center"/>
    </w:pPr>
    <w:rPr>
      <w:i/>
      <w:snapToGrid w:val="0"/>
      <w:spacing w:val="-3"/>
    </w:rPr>
  </w:style>
  <w:style w:type="paragraph" w:styleId="BodyTextIndent">
    <w:name w:val="Body Text Indent"/>
    <w:basedOn w:val="Normal"/>
    <w:rsid w:val="00DE5E63"/>
    <w:pPr>
      <w:ind w:firstLine="720"/>
    </w:pPr>
    <w:rPr>
      <w:snapToGrid w:val="0"/>
    </w:rPr>
  </w:style>
  <w:style w:type="paragraph" w:styleId="BodyTextIndent3">
    <w:name w:val="Body Text Indent 3"/>
    <w:basedOn w:val="Normal"/>
    <w:rsid w:val="00DE5E63"/>
    <w:pPr>
      <w:suppressAutoHyphens w:val="0"/>
      <w:ind w:left="900" w:hanging="900"/>
    </w:pPr>
  </w:style>
  <w:style w:type="character" w:styleId="Hyperlink">
    <w:name w:val="Hyperlink"/>
    <w:basedOn w:val="DefaultParagraphFont"/>
    <w:rsid w:val="00DE5E63"/>
    <w:rPr>
      <w:color w:val="0000FF"/>
      <w:u w:val="single"/>
    </w:rPr>
  </w:style>
  <w:style w:type="paragraph" w:styleId="BodyText2">
    <w:name w:val="Body Text 2"/>
    <w:basedOn w:val="Normal"/>
    <w:rsid w:val="00DE5E63"/>
    <w:pPr>
      <w:suppressAutoHyphens w:val="0"/>
      <w:spacing w:line="480" w:lineRule="auto"/>
    </w:pPr>
  </w:style>
  <w:style w:type="paragraph" w:styleId="Header">
    <w:name w:val="header"/>
    <w:basedOn w:val="Normal"/>
    <w:link w:val="HeaderChar"/>
    <w:uiPriority w:val="99"/>
    <w:rsid w:val="00DE5E63"/>
    <w:pPr>
      <w:tabs>
        <w:tab w:val="center" w:pos="4320"/>
        <w:tab w:val="right" w:pos="8640"/>
      </w:tabs>
    </w:pPr>
  </w:style>
  <w:style w:type="paragraph" w:customStyle="1" w:styleId="1Category">
    <w:name w:val="__1 Category"/>
    <w:basedOn w:val="Normal"/>
    <w:next w:val="Normal"/>
    <w:rsid w:val="00DE5E63"/>
    <w:pPr>
      <w:keepNext/>
      <w:spacing w:before="460"/>
      <w:jc w:val="center"/>
    </w:pPr>
    <w:rPr>
      <w:b/>
      <w:bCs/>
      <w:smallCaps/>
      <w:sz w:val="28"/>
      <w14:shadow w14:blurRad="50800" w14:dist="38100" w14:dir="2700000" w14:sx="100000" w14:sy="100000" w14:kx="0" w14:ky="0" w14:algn="tl">
        <w14:srgbClr w14:val="000000">
          <w14:alpha w14:val="60000"/>
        </w14:srgbClr>
      </w14:shadow>
    </w:rPr>
  </w:style>
  <w:style w:type="paragraph" w:customStyle="1" w:styleId="2Subcat">
    <w:name w:val="__2 Subcat"/>
    <w:basedOn w:val="Normal"/>
    <w:rsid w:val="00DE5E63"/>
    <w:pPr>
      <w:keepNext/>
      <w:spacing w:before="260"/>
    </w:pPr>
    <w:rPr>
      <w:b/>
      <w:bCs/>
      <w:smallCaps/>
      <w:sz w:val="30"/>
      <w:u w:val="single"/>
      <w14:shadow w14:blurRad="50800" w14:dist="38100" w14:dir="2700000" w14:sx="100000" w14:sy="100000" w14:kx="0" w14:ky="0" w14:algn="tl">
        <w14:srgbClr w14:val="000000">
          <w14:alpha w14:val="60000"/>
        </w14:srgbClr>
      </w14:shadow>
    </w:rPr>
  </w:style>
  <w:style w:type="paragraph" w:customStyle="1" w:styleId="3Cases">
    <w:name w:val="__3 Cases"/>
    <w:basedOn w:val="BodyText"/>
    <w:rsid w:val="00DE5E63"/>
    <w:pPr>
      <w:keepNext/>
      <w:keepLines/>
      <w:spacing w:before="260" w:after="120" w:line="240" w:lineRule="auto"/>
      <w:outlineLvl w:val="2"/>
    </w:pPr>
    <w:rPr>
      <w:b/>
      <w:iCs/>
    </w:rPr>
  </w:style>
  <w:style w:type="paragraph" w:customStyle="1" w:styleId="4PlainDescription">
    <w:name w:val="__4 Plain Description"/>
    <w:basedOn w:val="Normal"/>
    <w:rsid w:val="00DE5E63"/>
    <w:pPr>
      <w:tabs>
        <w:tab w:val="left" w:pos="1080"/>
      </w:tabs>
      <w:spacing w:after="60"/>
    </w:pPr>
  </w:style>
  <w:style w:type="paragraph" w:customStyle="1" w:styleId="4Numbers">
    <w:name w:val="__4 Numbers"/>
    <w:basedOn w:val="4PlainDescription"/>
    <w:rsid w:val="00DE5E63"/>
    <w:pPr>
      <w:ind w:left="360" w:hanging="360"/>
    </w:pPr>
  </w:style>
  <w:style w:type="character" w:styleId="FollowedHyperlink">
    <w:name w:val="FollowedHyperlink"/>
    <w:basedOn w:val="DefaultParagraphFont"/>
    <w:rsid w:val="00DE5E63"/>
    <w:rPr>
      <w:color w:val="800080"/>
      <w:u w:val="single"/>
    </w:rPr>
  </w:style>
  <w:style w:type="paragraph" w:customStyle="1" w:styleId="Style1">
    <w:name w:val="Style1"/>
    <w:basedOn w:val="Normal"/>
    <w:rsid w:val="00DE5E63"/>
    <w:pPr>
      <w:tabs>
        <w:tab w:val="left" w:pos="720"/>
      </w:tabs>
      <w:suppressAutoHyphens w:val="0"/>
      <w:spacing w:line="480" w:lineRule="auto"/>
    </w:pPr>
  </w:style>
  <w:style w:type="paragraph" w:styleId="TOC1">
    <w:name w:val="toc 1"/>
    <w:basedOn w:val="Normal"/>
    <w:next w:val="Normal"/>
    <w:semiHidden/>
    <w:rsid w:val="00DE5E63"/>
    <w:pPr>
      <w:keepNext/>
      <w:tabs>
        <w:tab w:val="right" w:leader="dot" w:pos="5040"/>
      </w:tabs>
    </w:pPr>
    <w:rPr>
      <w:b/>
      <w:bCs/>
      <w:smallCaps/>
      <w:noProof/>
      <w:szCs w:val="28"/>
    </w:rPr>
  </w:style>
  <w:style w:type="paragraph" w:styleId="TOC2">
    <w:name w:val="toc 2"/>
    <w:basedOn w:val="Normal"/>
    <w:next w:val="Normal"/>
    <w:semiHidden/>
    <w:rsid w:val="00DE5E63"/>
    <w:pPr>
      <w:ind w:left="260"/>
    </w:pPr>
    <w:rPr>
      <w:sz w:val="20"/>
    </w:rPr>
  </w:style>
  <w:style w:type="paragraph" w:styleId="TOC3">
    <w:name w:val="toc 3"/>
    <w:basedOn w:val="Normal"/>
    <w:next w:val="Normal"/>
    <w:semiHidden/>
    <w:rsid w:val="00DE5E63"/>
    <w:pPr>
      <w:ind w:left="520"/>
    </w:pPr>
  </w:style>
  <w:style w:type="paragraph" w:styleId="TOC4">
    <w:name w:val="toc 4"/>
    <w:basedOn w:val="Normal"/>
    <w:next w:val="Normal"/>
    <w:semiHidden/>
    <w:rsid w:val="00DE5E63"/>
    <w:pPr>
      <w:ind w:left="780"/>
    </w:pPr>
  </w:style>
  <w:style w:type="paragraph" w:styleId="TOC5">
    <w:name w:val="toc 5"/>
    <w:basedOn w:val="Normal"/>
    <w:next w:val="Normal"/>
    <w:semiHidden/>
    <w:rsid w:val="00DE5E63"/>
    <w:pPr>
      <w:ind w:left="1040"/>
    </w:pPr>
  </w:style>
  <w:style w:type="paragraph" w:styleId="TOC6">
    <w:name w:val="toc 6"/>
    <w:basedOn w:val="Normal"/>
    <w:next w:val="Normal"/>
    <w:semiHidden/>
    <w:rsid w:val="00DE5E63"/>
    <w:pPr>
      <w:ind w:left="1300"/>
    </w:pPr>
  </w:style>
  <w:style w:type="paragraph" w:styleId="TOC7">
    <w:name w:val="toc 7"/>
    <w:basedOn w:val="Normal"/>
    <w:next w:val="Normal"/>
    <w:semiHidden/>
    <w:rsid w:val="00DE5E63"/>
    <w:pPr>
      <w:ind w:left="1560"/>
    </w:pPr>
  </w:style>
  <w:style w:type="paragraph" w:styleId="TOC8">
    <w:name w:val="toc 8"/>
    <w:basedOn w:val="Normal"/>
    <w:next w:val="Normal"/>
    <w:semiHidden/>
    <w:rsid w:val="00DE5E63"/>
    <w:pPr>
      <w:ind w:left="1820"/>
    </w:pPr>
  </w:style>
  <w:style w:type="paragraph" w:styleId="TOC9">
    <w:name w:val="toc 9"/>
    <w:basedOn w:val="Normal"/>
    <w:next w:val="Normal"/>
    <w:autoRedefine/>
    <w:semiHidden/>
    <w:rsid w:val="00DE5E63"/>
    <w:pPr>
      <w:ind w:left="2080"/>
    </w:pPr>
  </w:style>
  <w:style w:type="paragraph" w:styleId="Subtitle">
    <w:name w:val="Subtitle"/>
    <w:basedOn w:val="Normal"/>
    <w:qFormat/>
    <w:rsid w:val="00DE5E63"/>
    <w:rPr>
      <w:b/>
      <w:bCs/>
      <w:u w:val="single"/>
    </w:rPr>
  </w:style>
  <w:style w:type="paragraph" w:styleId="BodyText3">
    <w:name w:val="Body Text 3"/>
    <w:basedOn w:val="Normal"/>
    <w:rsid w:val="00DE5E63"/>
    <w:pPr>
      <w:suppressAutoHyphens w:val="0"/>
    </w:pPr>
    <w:rPr>
      <w:sz w:val="24"/>
      <w:szCs w:val="24"/>
    </w:rPr>
  </w:style>
  <w:style w:type="paragraph" w:customStyle="1" w:styleId="BlockQuote">
    <w:name w:val="Block Quote"/>
    <w:basedOn w:val="Normal"/>
    <w:next w:val="Normal"/>
    <w:rsid w:val="00DE5E63"/>
    <w:pPr>
      <w:suppressAutoHyphens w:val="0"/>
      <w:spacing w:after="240"/>
      <w:ind w:left="1440" w:right="1440"/>
    </w:pPr>
  </w:style>
  <w:style w:type="paragraph" w:styleId="ListBullet">
    <w:name w:val="List Bullet"/>
    <w:basedOn w:val="Normal"/>
    <w:autoRedefine/>
    <w:rsid w:val="00BD1948"/>
    <w:pPr>
      <w:suppressAutoHyphens w:val="0"/>
    </w:pPr>
  </w:style>
  <w:style w:type="character" w:customStyle="1" w:styleId="Heading2Char">
    <w:name w:val="Heading 2 Char"/>
    <w:basedOn w:val="DefaultParagraphFont"/>
    <w:link w:val="Heading2"/>
    <w:rsid w:val="00BA5D3B"/>
    <w:rPr>
      <w:b/>
      <w:sz w:val="26"/>
    </w:rPr>
  </w:style>
  <w:style w:type="character" w:customStyle="1" w:styleId="FootnoteTextChar">
    <w:name w:val="Footnote Text Char"/>
    <w:basedOn w:val="DefaultParagraphFont"/>
    <w:link w:val="FootnoteText"/>
    <w:semiHidden/>
    <w:rsid w:val="00DF7D88"/>
    <w:rPr>
      <w:sz w:val="26"/>
    </w:rPr>
  </w:style>
  <w:style w:type="character" w:customStyle="1" w:styleId="BodyTextChar">
    <w:name w:val="Body Text Char"/>
    <w:basedOn w:val="DefaultParagraphFont"/>
    <w:link w:val="BodyText"/>
    <w:rsid w:val="004263F8"/>
    <w:rPr>
      <w:sz w:val="26"/>
    </w:rPr>
  </w:style>
  <w:style w:type="paragraph" w:styleId="BalloonText">
    <w:name w:val="Balloon Text"/>
    <w:basedOn w:val="Normal"/>
    <w:link w:val="BalloonTextChar"/>
    <w:rsid w:val="00AB3A1C"/>
    <w:rPr>
      <w:rFonts w:ascii="Tahoma" w:hAnsi="Tahoma" w:cs="Tahoma"/>
      <w:sz w:val="16"/>
      <w:szCs w:val="16"/>
    </w:rPr>
  </w:style>
  <w:style w:type="character" w:customStyle="1" w:styleId="BalloonTextChar">
    <w:name w:val="Balloon Text Char"/>
    <w:basedOn w:val="DefaultParagraphFont"/>
    <w:link w:val="BalloonText"/>
    <w:rsid w:val="00AB3A1C"/>
    <w:rPr>
      <w:rFonts w:ascii="Tahoma" w:hAnsi="Tahoma" w:cs="Tahoma"/>
      <w:sz w:val="16"/>
      <w:szCs w:val="16"/>
    </w:rPr>
  </w:style>
  <w:style w:type="paragraph" w:styleId="ListParagraph">
    <w:name w:val="List Paragraph"/>
    <w:basedOn w:val="Normal"/>
    <w:uiPriority w:val="34"/>
    <w:qFormat/>
    <w:rsid w:val="00FF10A2"/>
    <w:pPr>
      <w:suppressAutoHyphens w:val="0"/>
      <w:spacing w:line="480" w:lineRule="auto"/>
      <w:ind w:left="720"/>
      <w:contextualSpacing/>
      <w:jc w:val="left"/>
    </w:pPr>
    <w:rPr>
      <w:szCs w:val="24"/>
    </w:rPr>
  </w:style>
  <w:style w:type="table" w:styleId="TableGrid">
    <w:name w:val="Table Grid"/>
    <w:basedOn w:val="TableNormal"/>
    <w:rsid w:val="00BF672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4D80"/>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214E2C"/>
    <w:rPr>
      <w:sz w:val="26"/>
    </w:rPr>
  </w:style>
  <w:style w:type="character" w:customStyle="1" w:styleId="FooterChar">
    <w:name w:val="Footer Char"/>
    <w:basedOn w:val="DefaultParagraphFont"/>
    <w:link w:val="Footer"/>
    <w:uiPriority w:val="99"/>
    <w:rsid w:val="00DB368E"/>
    <w:rPr>
      <w:snapToGrid w:val="0"/>
      <w:sz w:val="26"/>
    </w:rPr>
  </w:style>
  <w:style w:type="character" w:customStyle="1" w:styleId="Heading1Char">
    <w:name w:val="Heading 1 Char"/>
    <w:basedOn w:val="DefaultParagraphFont"/>
    <w:link w:val="Heading1"/>
    <w:uiPriority w:val="9"/>
    <w:rsid w:val="003856A1"/>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0C1"/>
    <w:pPr>
      <w:suppressAutoHyphens/>
      <w:jc w:val="both"/>
    </w:pPr>
    <w:rPr>
      <w:sz w:val="26"/>
    </w:rPr>
  </w:style>
  <w:style w:type="paragraph" w:styleId="Heading1">
    <w:name w:val="heading 1"/>
    <w:basedOn w:val="Normal"/>
    <w:next w:val="Normal"/>
    <w:link w:val="Heading1Char"/>
    <w:uiPriority w:val="9"/>
    <w:qFormat/>
    <w:rsid w:val="00DE5E63"/>
    <w:pPr>
      <w:keepNext/>
      <w:outlineLvl w:val="0"/>
    </w:pPr>
    <w:rPr>
      <w:b/>
    </w:rPr>
  </w:style>
  <w:style w:type="paragraph" w:styleId="Heading2">
    <w:name w:val="heading 2"/>
    <w:basedOn w:val="Normal"/>
    <w:next w:val="Normal"/>
    <w:link w:val="Heading2Char"/>
    <w:qFormat/>
    <w:rsid w:val="00DE5E63"/>
    <w:pPr>
      <w:keepNext/>
      <w:jc w:val="center"/>
      <w:outlineLvl w:val="1"/>
    </w:pPr>
    <w:rPr>
      <w:b/>
    </w:rPr>
  </w:style>
  <w:style w:type="paragraph" w:styleId="Heading3">
    <w:name w:val="heading 3"/>
    <w:basedOn w:val="Normal"/>
    <w:next w:val="Normal"/>
    <w:qFormat/>
    <w:rsid w:val="00DE5E63"/>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E5E63"/>
    <w:pPr>
      <w:framePr w:w="7920" w:h="1980" w:hRule="exact" w:hSpace="180" w:wrap="auto" w:hAnchor="page" w:xAlign="center" w:yAlign="bottom"/>
      <w:ind w:left="2448" w:right="-2880"/>
      <w:jc w:val="left"/>
    </w:pPr>
    <w:rPr>
      <w:caps/>
      <w:sz w:val="22"/>
    </w:rPr>
  </w:style>
  <w:style w:type="paragraph" w:styleId="EnvelopeReturn">
    <w:name w:val="envelope return"/>
    <w:basedOn w:val="Normal"/>
    <w:rsid w:val="00DE5E63"/>
    <w:rPr>
      <w:caps/>
      <w:sz w:val="20"/>
    </w:rPr>
  </w:style>
  <w:style w:type="paragraph" w:styleId="BlockText">
    <w:name w:val="Block Text"/>
    <w:basedOn w:val="Normal"/>
    <w:rsid w:val="00DE5E63"/>
    <w:pPr>
      <w:ind w:left="720" w:right="720"/>
    </w:pPr>
  </w:style>
  <w:style w:type="paragraph" w:styleId="FootnoteText">
    <w:name w:val="footnote text"/>
    <w:basedOn w:val="Normal"/>
    <w:link w:val="FootnoteTextChar"/>
    <w:semiHidden/>
    <w:rsid w:val="00DE5E63"/>
  </w:style>
  <w:style w:type="character" w:styleId="FootnoteReference">
    <w:name w:val="footnote reference"/>
    <w:basedOn w:val="DefaultParagraphFont"/>
    <w:semiHidden/>
    <w:rsid w:val="00DE5E63"/>
    <w:rPr>
      <w:rFonts w:ascii="Times New Roman" w:hAnsi="Times New Roman"/>
      <w:sz w:val="26"/>
      <w:vertAlign w:val="superscript"/>
    </w:rPr>
  </w:style>
  <w:style w:type="paragraph" w:styleId="Footer">
    <w:name w:val="footer"/>
    <w:basedOn w:val="Normal"/>
    <w:link w:val="FooterChar"/>
    <w:uiPriority w:val="99"/>
    <w:rsid w:val="00DE5E63"/>
    <w:pPr>
      <w:tabs>
        <w:tab w:val="center" w:pos="4320"/>
        <w:tab w:val="right" w:pos="8640"/>
      </w:tabs>
      <w:suppressAutoHyphens w:val="0"/>
    </w:pPr>
    <w:rPr>
      <w:snapToGrid w:val="0"/>
    </w:rPr>
  </w:style>
  <w:style w:type="paragraph" w:styleId="BodyText">
    <w:name w:val="Body Text"/>
    <w:basedOn w:val="Normal"/>
    <w:link w:val="BodyTextChar"/>
    <w:rsid w:val="00DE5E63"/>
    <w:pPr>
      <w:spacing w:line="480" w:lineRule="auto"/>
    </w:pPr>
  </w:style>
  <w:style w:type="paragraph" w:styleId="BodyTextIndent2">
    <w:name w:val="Body Text Indent 2"/>
    <w:basedOn w:val="Normal"/>
    <w:rsid w:val="00DE5E63"/>
    <w:pPr>
      <w:suppressAutoHyphens w:val="0"/>
      <w:ind w:firstLine="720"/>
    </w:pPr>
    <w:rPr>
      <w:snapToGrid w:val="0"/>
    </w:rPr>
  </w:style>
  <w:style w:type="character" w:styleId="PageNumber">
    <w:name w:val="page number"/>
    <w:basedOn w:val="DefaultParagraphFont"/>
    <w:rsid w:val="00DE5E63"/>
    <w:rPr>
      <w:rFonts w:ascii="Times New Roman" w:hAnsi="Times New Roman"/>
      <w:sz w:val="26"/>
    </w:rPr>
  </w:style>
  <w:style w:type="paragraph" w:styleId="Title">
    <w:name w:val="Title"/>
    <w:basedOn w:val="Normal"/>
    <w:qFormat/>
    <w:rsid w:val="00DE5E63"/>
    <w:pPr>
      <w:tabs>
        <w:tab w:val="left" w:pos="0"/>
        <w:tab w:val="left" w:pos="1440"/>
        <w:tab w:val="left" w:pos="5040"/>
      </w:tabs>
      <w:jc w:val="center"/>
    </w:pPr>
    <w:rPr>
      <w:i/>
      <w:snapToGrid w:val="0"/>
      <w:spacing w:val="-3"/>
    </w:rPr>
  </w:style>
  <w:style w:type="paragraph" w:styleId="BodyTextIndent">
    <w:name w:val="Body Text Indent"/>
    <w:basedOn w:val="Normal"/>
    <w:rsid w:val="00DE5E63"/>
    <w:pPr>
      <w:ind w:firstLine="720"/>
    </w:pPr>
    <w:rPr>
      <w:snapToGrid w:val="0"/>
    </w:rPr>
  </w:style>
  <w:style w:type="paragraph" w:styleId="BodyTextIndent3">
    <w:name w:val="Body Text Indent 3"/>
    <w:basedOn w:val="Normal"/>
    <w:rsid w:val="00DE5E63"/>
    <w:pPr>
      <w:suppressAutoHyphens w:val="0"/>
      <w:ind w:left="900" w:hanging="900"/>
    </w:pPr>
  </w:style>
  <w:style w:type="character" w:styleId="Hyperlink">
    <w:name w:val="Hyperlink"/>
    <w:basedOn w:val="DefaultParagraphFont"/>
    <w:rsid w:val="00DE5E63"/>
    <w:rPr>
      <w:color w:val="0000FF"/>
      <w:u w:val="single"/>
    </w:rPr>
  </w:style>
  <w:style w:type="paragraph" w:styleId="BodyText2">
    <w:name w:val="Body Text 2"/>
    <w:basedOn w:val="Normal"/>
    <w:rsid w:val="00DE5E63"/>
    <w:pPr>
      <w:suppressAutoHyphens w:val="0"/>
      <w:spacing w:line="480" w:lineRule="auto"/>
    </w:pPr>
  </w:style>
  <w:style w:type="paragraph" w:styleId="Header">
    <w:name w:val="header"/>
    <w:basedOn w:val="Normal"/>
    <w:link w:val="HeaderChar"/>
    <w:uiPriority w:val="99"/>
    <w:rsid w:val="00DE5E63"/>
    <w:pPr>
      <w:tabs>
        <w:tab w:val="center" w:pos="4320"/>
        <w:tab w:val="right" w:pos="8640"/>
      </w:tabs>
    </w:pPr>
  </w:style>
  <w:style w:type="paragraph" w:customStyle="1" w:styleId="1Category">
    <w:name w:val="__1 Category"/>
    <w:basedOn w:val="Normal"/>
    <w:next w:val="Normal"/>
    <w:rsid w:val="00DE5E63"/>
    <w:pPr>
      <w:keepNext/>
      <w:spacing w:before="460"/>
      <w:jc w:val="center"/>
    </w:pPr>
    <w:rPr>
      <w:b/>
      <w:bCs/>
      <w:smallCaps/>
      <w:sz w:val="28"/>
      <w14:shadow w14:blurRad="50800" w14:dist="38100" w14:dir="2700000" w14:sx="100000" w14:sy="100000" w14:kx="0" w14:ky="0" w14:algn="tl">
        <w14:srgbClr w14:val="000000">
          <w14:alpha w14:val="60000"/>
        </w14:srgbClr>
      </w14:shadow>
    </w:rPr>
  </w:style>
  <w:style w:type="paragraph" w:customStyle="1" w:styleId="2Subcat">
    <w:name w:val="__2 Subcat"/>
    <w:basedOn w:val="Normal"/>
    <w:rsid w:val="00DE5E63"/>
    <w:pPr>
      <w:keepNext/>
      <w:spacing w:before="260"/>
    </w:pPr>
    <w:rPr>
      <w:b/>
      <w:bCs/>
      <w:smallCaps/>
      <w:sz w:val="30"/>
      <w:u w:val="single"/>
      <w14:shadow w14:blurRad="50800" w14:dist="38100" w14:dir="2700000" w14:sx="100000" w14:sy="100000" w14:kx="0" w14:ky="0" w14:algn="tl">
        <w14:srgbClr w14:val="000000">
          <w14:alpha w14:val="60000"/>
        </w14:srgbClr>
      </w14:shadow>
    </w:rPr>
  </w:style>
  <w:style w:type="paragraph" w:customStyle="1" w:styleId="3Cases">
    <w:name w:val="__3 Cases"/>
    <w:basedOn w:val="BodyText"/>
    <w:rsid w:val="00DE5E63"/>
    <w:pPr>
      <w:keepNext/>
      <w:keepLines/>
      <w:spacing w:before="260" w:after="120" w:line="240" w:lineRule="auto"/>
      <w:outlineLvl w:val="2"/>
    </w:pPr>
    <w:rPr>
      <w:b/>
      <w:iCs/>
    </w:rPr>
  </w:style>
  <w:style w:type="paragraph" w:customStyle="1" w:styleId="4PlainDescription">
    <w:name w:val="__4 Plain Description"/>
    <w:basedOn w:val="Normal"/>
    <w:rsid w:val="00DE5E63"/>
    <w:pPr>
      <w:tabs>
        <w:tab w:val="left" w:pos="1080"/>
      </w:tabs>
      <w:spacing w:after="60"/>
    </w:pPr>
  </w:style>
  <w:style w:type="paragraph" w:customStyle="1" w:styleId="4Numbers">
    <w:name w:val="__4 Numbers"/>
    <w:basedOn w:val="4PlainDescription"/>
    <w:rsid w:val="00DE5E63"/>
    <w:pPr>
      <w:ind w:left="360" w:hanging="360"/>
    </w:pPr>
  </w:style>
  <w:style w:type="character" w:styleId="FollowedHyperlink">
    <w:name w:val="FollowedHyperlink"/>
    <w:basedOn w:val="DefaultParagraphFont"/>
    <w:rsid w:val="00DE5E63"/>
    <w:rPr>
      <w:color w:val="800080"/>
      <w:u w:val="single"/>
    </w:rPr>
  </w:style>
  <w:style w:type="paragraph" w:customStyle="1" w:styleId="Style1">
    <w:name w:val="Style1"/>
    <w:basedOn w:val="Normal"/>
    <w:rsid w:val="00DE5E63"/>
    <w:pPr>
      <w:tabs>
        <w:tab w:val="left" w:pos="720"/>
      </w:tabs>
      <w:suppressAutoHyphens w:val="0"/>
      <w:spacing w:line="480" w:lineRule="auto"/>
    </w:pPr>
  </w:style>
  <w:style w:type="paragraph" w:styleId="TOC1">
    <w:name w:val="toc 1"/>
    <w:basedOn w:val="Normal"/>
    <w:next w:val="Normal"/>
    <w:semiHidden/>
    <w:rsid w:val="00DE5E63"/>
    <w:pPr>
      <w:keepNext/>
      <w:tabs>
        <w:tab w:val="right" w:leader="dot" w:pos="5040"/>
      </w:tabs>
    </w:pPr>
    <w:rPr>
      <w:b/>
      <w:bCs/>
      <w:smallCaps/>
      <w:noProof/>
      <w:szCs w:val="28"/>
    </w:rPr>
  </w:style>
  <w:style w:type="paragraph" w:styleId="TOC2">
    <w:name w:val="toc 2"/>
    <w:basedOn w:val="Normal"/>
    <w:next w:val="Normal"/>
    <w:semiHidden/>
    <w:rsid w:val="00DE5E63"/>
    <w:pPr>
      <w:ind w:left="260"/>
    </w:pPr>
    <w:rPr>
      <w:sz w:val="20"/>
    </w:rPr>
  </w:style>
  <w:style w:type="paragraph" w:styleId="TOC3">
    <w:name w:val="toc 3"/>
    <w:basedOn w:val="Normal"/>
    <w:next w:val="Normal"/>
    <w:semiHidden/>
    <w:rsid w:val="00DE5E63"/>
    <w:pPr>
      <w:ind w:left="520"/>
    </w:pPr>
  </w:style>
  <w:style w:type="paragraph" w:styleId="TOC4">
    <w:name w:val="toc 4"/>
    <w:basedOn w:val="Normal"/>
    <w:next w:val="Normal"/>
    <w:semiHidden/>
    <w:rsid w:val="00DE5E63"/>
    <w:pPr>
      <w:ind w:left="780"/>
    </w:pPr>
  </w:style>
  <w:style w:type="paragraph" w:styleId="TOC5">
    <w:name w:val="toc 5"/>
    <w:basedOn w:val="Normal"/>
    <w:next w:val="Normal"/>
    <w:semiHidden/>
    <w:rsid w:val="00DE5E63"/>
    <w:pPr>
      <w:ind w:left="1040"/>
    </w:pPr>
  </w:style>
  <w:style w:type="paragraph" w:styleId="TOC6">
    <w:name w:val="toc 6"/>
    <w:basedOn w:val="Normal"/>
    <w:next w:val="Normal"/>
    <w:semiHidden/>
    <w:rsid w:val="00DE5E63"/>
    <w:pPr>
      <w:ind w:left="1300"/>
    </w:pPr>
  </w:style>
  <w:style w:type="paragraph" w:styleId="TOC7">
    <w:name w:val="toc 7"/>
    <w:basedOn w:val="Normal"/>
    <w:next w:val="Normal"/>
    <w:semiHidden/>
    <w:rsid w:val="00DE5E63"/>
    <w:pPr>
      <w:ind w:left="1560"/>
    </w:pPr>
  </w:style>
  <w:style w:type="paragraph" w:styleId="TOC8">
    <w:name w:val="toc 8"/>
    <w:basedOn w:val="Normal"/>
    <w:next w:val="Normal"/>
    <w:semiHidden/>
    <w:rsid w:val="00DE5E63"/>
    <w:pPr>
      <w:ind w:left="1820"/>
    </w:pPr>
  </w:style>
  <w:style w:type="paragraph" w:styleId="TOC9">
    <w:name w:val="toc 9"/>
    <w:basedOn w:val="Normal"/>
    <w:next w:val="Normal"/>
    <w:autoRedefine/>
    <w:semiHidden/>
    <w:rsid w:val="00DE5E63"/>
    <w:pPr>
      <w:ind w:left="2080"/>
    </w:pPr>
  </w:style>
  <w:style w:type="paragraph" w:styleId="Subtitle">
    <w:name w:val="Subtitle"/>
    <w:basedOn w:val="Normal"/>
    <w:qFormat/>
    <w:rsid w:val="00DE5E63"/>
    <w:rPr>
      <w:b/>
      <w:bCs/>
      <w:u w:val="single"/>
    </w:rPr>
  </w:style>
  <w:style w:type="paragraph" w:styleId="BodyText3">
    <w:name w:val="Body Text 3"/>
    <w:basedOn w:val="Normal"/>
    <w:rsid w:val="00DE5E63"/>
    <w:pPr>
      <w:suppressAutoHyphens w:val="0"/>
    </w:pPr>
    <w:rPr>
      <w:sz w:val="24"/>
      <w:szCs w:val="24"/>
    </w:rPr>
  </w:style>
  <w:style w:type="paragraph" w:customStyle="1" w:styleId="BlockQuote">
    <w:name w:val="Block Quote"/>
    <w:basedOn w:val="Normal"/>
    <w:next w:val="Normal"/>
    <w:rsid w:val="00DE5E63"/>
    <w:pPr>
      <w:suppressAutoHyphens w:val="0"/>
      <w:spacing w:after="240"/>
      <w:ind w:left="1440" w:right="1440"/>
    </w:pPr>
  </w:style>
  <w:style w:type="paragraph" w:styleId="ListBullet">
    <w:name w:val="List Bullet"/>
    <w:basedOn w:val="Normal"/>
    <w:autoRedefine/>
    <w:rsid w:val="00BD1948"/>
    <w:pPr>
      <w:suppressAutoHyphens w:val="0"/>
    </w:pPr>
  </w:style>
  <w:style w:type="character" w:customStyle="1" w:styleId="Heading2Char">
    <w:name w:val="Heading 2 Char"/>
    <w:basedOn w:val="DefaultParagraphFont"/>
    <w:link w:val="Heading2"/>
    <w:rsid w:val="00BA5D3B"/>
    <w:rPr>
      <w:b/>
      <w:sz w:val="26"/>
    </w:rPr>
  </w:style>
  <w:style w:type="character" w:customStyle="1" w:styleId="FootnoteTextChar">
    <w:name w:val="Footnote Text Char"/>
    <w:basedOn w:val="DefaultParagraphFont"/>
    <w:link w:val="FootnoteText"/>
    <w:semiHidden/>
    <w:rsid w:val="00DF7D88"/>
    <w:rPr>
      <w:sz w:val="26"/>
    </w:rPr>
  </w:style>
  <w:style w:type="character" w:customStyle="1" w:styleId="BodyTextChar">
    <w:name w:val="Body Text Char"/>
    <w:basedOn w:val="DefaultParagraphFont"/>
    <w:link w:val="BodyText"/>
    <w:rsid w:val="004263F8"/>
    <w:rPr>
      <w:sz w:val="26"/>
    </w:rPr>
  </w:style>
  <w:style w:type="paragraph" w:styleId="BalloonText">
    <w:name w:val="Balloon Text"/>
    <w:basedOn w:val="Normal"/>
    <w:link w:val="BalloonTextChar"/>
    <w:rsid w:val="00AB3A1C"/>
    <w:rPr>
      <w:rFonts w:ascii="Tahoma" w:hAnsi="Tahoma" w:cs="Tahoma"/>
      <w:sz w:val="16"/>
      <w:szCs w:val="16"/>
    </w:rPr>
  </w:style>
  <w:style w:type="character" w:customStyle="1" w:styleId="BalloonTextChar">
    <w:name w:val="Balloon Text Char"/>
    <w:basedOn w:val="DefaultParagraphFont"/>
    <w:link w:val="BalloonText"/>
    <w:rsid w:val="00AB3A1C"/>
    <w:rPr>
      <w:rFonts w:ascii="Tahoma" w:hAnsi="Tahoma" w:cs="Tahoma"/>
      <w:sz w:val="16"/>
      <w:szCs w:val="16"/>
    </w:rPr>
  </w:style>
  <w:style w:type="paragraph" w:styleId="ListParagraph">
    <w:name w:val="List Paragraph"/>
    <w:basedOn w:val="Normal"/>
    <w:uiPriority w:val="34"/>
    <w:qFormat/>
    <w:rsid w:val="00FF10A2"/>
    <w:pPr>
      <w:suppressAutoHyphens w:val="0"/>
      <w:spacing w:line="480" w:lineRule="auto"/>
      <w:ind w:left="720"/>
      <w:contextualSpacing/>
      <w:jc w:val="left"/>
    </w:pPr>
    <w:rPr>
      <w:szCs w:val="24"/>
    </w:rPr>
  </w:style>
  <w:style w:type="table" w:styleId="TableGrid">
    <w:name w:val="Table Grid"/>
    <w:basedOn w:val="TableNormal"/>
    <w:rsid w:val="00BF672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4D80"/>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214E2C"/>
    <w:rPr>
      <w:sz w:val="26"/>
    </w:rPr>
  </w:style>
  <w:style w:type="character" w:customStyle="1" w:styleId="FooterChar">
    <w:name w:val="Footer Char"/>
    <w:basedOn w:val="DefaultParagraphFont"/>
    <w:link w:val="Footer"/>
    <w:uiPriority w:val="99"/>
    <w:rsid w:val="00DB368E"/>
    <w:rPr>
      <w:snapToGrid w:val="0"/>
      <w:sz w:val="26"/>
    </w:rPr>
  </w:style>
  <w:style w:type="character" w:customStyle="1" w:styleId="Heading1Char">
    <w:name w:val="Heading 1 Char"/>
    <w:basedOn w:val="DefaultParagraphFont"/>
    <w:link w:val="Heading1"/>
    <w:uiPriority w:val="9"/>
    <w:rsid w:val="003856A1"/>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6549">
      <w:bodyDiv w:val="1"/>
      <w:marLeft w:val="0"/>
      <w:marRight w:val="0"/>
      <w:marTop w:val="0"/>
      <w:marBottom w:val="0"/>
      <w:divBdr>
        <w:top w:val="none" w:sz="0" w:space="0" w:color="auto"/>
        <w:left w:val="none" w:sz="0" w:space="0" w:color="auto"/>
        <w:bottom w:val="none" w:sz="0" w:space="0" w:color="auto"/>
        <w:right w:val="none" w:sz="0" w:space="0" w:color="auto"/>
      </w:divBdr>
    </w:div>
    <w:div w:id="156116489">
      <w:bodyDiv w:val="1"/>
      <w:marLeft w:val="0"/>
      <w:marRight w:val="0"/>
      <w:marTop w:val="0"/>
      <w:marBottom w:val="0"/>
      <w:divBdr>
        <w:top w:val="none" w:sz="0" w:space="0" w:color="auto"/>
        <w:left w:val="none" w:sz="0" w:space="0" w:color="auto"/>
        <w:bottom w:val="none" w:sz="0" w:space="0" w:color="auto"/>
        <w:right w:val="none" w:sz="0" w:space="0" w:color="auto"/>
      </w:divBdr>
    </w:div>
    <w:div w:id="202330930">
      <w:bodyDiv w:val="1"/>
      <w:marLeft w:val="0"/>
      <w:marRight w:val="0"/>
      <w:marTop w:val="0"/>
      <w:marBottom w:val="0"/>
      <w:divBdr>
        <w:top w:val="none" w:sz="0" w:space="0" w:color="auto"/>
        <w:left w:val="none" w:sz="0" w:space="0" w:color="auto"/>
        <w:bottom w:val="none" w:sz="0" w:space="0" w:color="auto"/>
        <w:right w:val="none" w:sz="0" w:space="0" w:color="auto"/>
      </w:divBdr>
    </w:div>
    <w:div w:id="202789568">
      <w:bodyDiv w:val="1"/>
      <w:marLeft w:val="0"/>
      <w:marRight w:val="0"/>
      <w:marTop w:val="0"/>
      <w:marBottom w:val="0"/>
      <w:divBdr>
        <w:top w:val="none" w:sz="0" w:space="0" w:color="auto"/>
        <w:left w:val="none" w:sz="0" w:space="0" w:color="auto"/>
        <w:bottom w:val="none" w:sz="0" w:space="0" w:color="auto"/>
        <w:right w:val="none" w:sz="0" w:space="0" w:color="auto"/>
      </w:divBdr>
    </w:div>
    <w:div w:id="215049588">
      <w:bodyDiv w:val="1"/>
      <w:marLeft w:val="0"/>
      <w:marRight w:val="0"/>
      <w:marTop w:val="0"/>
      <w:marBottom w:val="0"/>
      <w:divBdr>
        <w:top w:val="none" w:sz="0" w:space="0" w:color="auto"/>
        <w:left w:val="none" w:sz="0" w:space="0" w:color="auto"/>
        <w:bottom w:val="none" w:sz="0" w:space="0" w:color="auto"/>
        <w:right w:val="none" w:sz="0" w:space="0" w:color="auto"/>
      </w:divBdr>
    </w:div>
    <w:div w:id="295717492">
      <w:bodyDiv w:val="1"/>
      <w:marLeft w:val="30"/>
      <w:marRight w:val="30"/>
      <w:marTop w:val="30"/>
      <w:marBottom w:val="30"/>
      <w:divBdr>
        <w:top w:val="none" w:sz="0" w:space="0" w:color="auto"/>
        <w:left w:val="none" w:sz="0" w:space="0" w:color="auto"/>
        <w:bottom w:val="none" w:sz="0" w:space="0" w:color="auto"/>
        <w:right w:val="none" w:sz="0" w:space="0" w:color="auto"/>
      </w:divBdr>
      <w:divsChild>
        <w:div w:id="1545942290">
          <w:marLeft w:val="0"/>
          <w:marRight w:val="0"/>
          <w:marTop w:val="0"/>
          <w:marBottom w:val="0"/>
          <w:divBdr>
            <w:top w:val="none" w:sz="0" w:space="0" w:color="auto"/>
            <w:left w:val="none" w:sz="0" w:space="0" w:color="auto"/>
            <w:bottom w:val="none" w:sz="0" w:space="0" w:color="auto"/>
            <w:right w:val="none" w:sz="0" w:space="0" w:color="auto"/>
          </w:divBdr>
          <w:divsChild>
            <w:div w:id="1289968739">
              <w:marLeft w:val="45"/>
              <w:marRight w:val="45"/>
              <w:marTop w:val="45"/>
              <w:marBottom w:val="45"/>
              <w:divBdr>
                <w:top w:val="none" w:sz="0" w:space="0" w:color="auto"/>
                <w:left w:val="none" w:sz="0" w:space="0" w:color="auto"/>
                <w:bottom w:val="none" w:sz="0" w:space="0" w:color="auto"/>
                <w:right w:val="none" w:sz="0" w:space="0" w:color="auto"/>
              </w:divBdr>
              <w:divsChild>
                <w:div w:id="1083407944">
                  <w:marLeft w:val="0"/>
                  <w:marRight w:val="0"/>
                  <w:marTop w:val="0"/>
                  <w:marBottom w:val="0"/>
                  <w:divBdr>
                    <w:top w:val="none" w:sz="0" w:space="0" w:color="auto"/>
                    <w:left w:val="none" w:sz="0" w:space="0" w:color="auto"/>
                    <w:bottom w:val="none" w:sz="0" w:space="0" w:color="auto"/>
                    <w:right w:val="none" w:sz="0" w:space="0" w:color="auto"/>
                  </w:divBdr>
                  <w:divsChild>
                    <w:div w:id="1251354200">
                      <w:marLeft w:val="0"/>
                      <w:marRight w:val="0"/>
                      <w:marTop w:val="0"/>
                      <w:marBottom w:val="0"/>
                      <w:divBdr>
                        <w:top w:val="none" w:sz="0" w:space="0" w:color="auto"/>
                        <w:left w:val="none" w:sz="0" w:space="0" w:color="auto"/>
                        <w:bottom w:val="none" w:sz="0" w:space="0" w:color="auto"/>
                        <w:right w:val="none" w:sz="0" w:space="0" w:color="auto"/>
                      </w:divBdr>
                    </w:div>
                    <w:div w:id="5929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631023">
      <w:bodyDiv w:val="1"/>
      <w:marLeft w:val="0"/>
      <w:marRight w:val="0"/>
      <w:marTop w:val="0"/>
      <w:marBottom w:val="0"/>
      <w:divBdr>
        <w:top w:val="none" w:sz="0" w:space="0" w:color="auto"/>
        <w:left w:val="none" w:sz="0" w:space="0" w:color="auto"/>
        <w:bottom w:val="none" w:sz="0" w:space="0" w:color="auto"/>
        <w:right w:val="none" w:sz="0" w:space="0" w:color="auto"/>
      </w:divBdr>
    </w:div>
    <w:div w:id="458455231">
      <w:bodyDiv w:val="1"/>
      <w:marLeft w:val="0"/>
      <w:marRight w:val="0"/>
      <w:marTop w:val="0"/>
      <w:marBottom w:val="0"/>
      <w:divBdr>
        <w:top w:val="none" w:sz="0" w:space="0" w:color="auto"/>
        <w:left w:val="none" w:sz="0" w:space="0" w:color="auto"/>
        <w:bottom w:val="none" w:sz="0" w:space="0" w:color="auto"/>
        <w:right w:val="none" w:sz="0" w:space="0" w:color="auto"/>
      </w:divBdr>
    </w:div>
    <w:div w:id="489642364">
      <w:bodyDiv w:val="1"/>
      <w:marLeft w:val="0"/>
      <w:marRight w:val="0"/>
      <w:marTop w:val="0"/>
      <w:marBottom w:val="0"/>
      <w:divBdr>
        <w:top w:val="none" w:sz="0" w:space="0" w:color="auto"/>
        <w:left w:val="none" w:sz="0" w:space="0" w:color="auto"/>
        <w:bottom w:val="none" w:sz="0" w:space="0" w:color="auto"/>
        <w:right w:val="none" w:sz="0" w:space="0" w:color="auto"/>
      </w:divBdr>
    </w:div>
    <w:div w:id="502864888">
      <w:bodyDiv w:val="1"/>
      <w:marLeft w:val="0"/>
      <w:marRight w:val="0"/>
      <w:marTop w:val="0"/>
      <w:marBottom w:val="0"/>
      <w:divBdr>
        <w:top w:val="none" w:sz="0" w:space="0" w:color="auto"/>
        <w:left w:val="none" w:sz="0" w:space="0" w:color="auto"/>
        <w:bottom w:val="none" w:sz="0" w:space="0" w:color="auto"/>
        <w:right w:val="none" w:sz="0" w:space="0" w:color="auto"/>
      </w:divBdr>
      <w:divsChild>
        <w:div w:id="2130077163">
          <w:marLeft w:val="0"/>
          <w:marRight w:val="0"/>
          <w:marTop w:val="0"/>
          <w:marBottom w:val="0"/>
          <w:divBdr>
            <w:top w:val="none" w:sz="0" w:space="0" w:color="auto"/>
            <w:left w:val="single" w:sz="6" w:space="0" w:color="BBBBBB"/>
            <w:bottom w:val="single" w:sz="6" w:space="0" w:color="BBBBBB"/>
            <w:right w:val="single" w:sz="6" w:space="0" w:color="BBBBBB"/>
          </w:divBdr>
          <w:divsChild>
            <w:div w:id="1215045948">
              <w:marLeft w:val="0"/>
              <w:marRight w:val="0"/>
              <w:marTop w:val="0"/>
              <w:marBottom w:val="0"/>
              <w:divBdr>
                <w:top w:val="none" w:sz="0" w:space="0" w:color="auto"/>
                <w:left w:val="none" w:sz="0" w:space="0" w:color="auto"/>
                <w:bottom w:val="none" w:sz="0" w:space="0" w:color="auto"/>
                <w:right w:val="none" w:sz="0" w:space="0" w:color="auto"/>
              </w:divBdr>
              <w:divsChild>
                <w:div w:id="976640535">
                  <w:marLeft w:val="0"/>
                  <w:marRight w:val="0"/>
                  <w:marTop w:val="0"/>
                  <w:marBottom w:val="0"/>
                  <w:divBdr>
                    <w:top w:val="none" w:sz="0" w:space="0" w:color="auto"/>
                    <w:left w:val="none" w:sz="0" w:space="0" w:color="auto"/>
                    <w:bottom w:val="none" w:sz="0" w:space="0" w:color="auto"/>
                    <w:right w:val="none" w:sz="0" w:space="0" w:color="auto"/>
                  </w:divBdr>
                  <w:divsChild>
                    <w:div w:id="1081760816">
                      <w:marLeft w:val="0"/>
                      <w:marRight w:val="0"/>
                      <w:marTop w:val="0"/>
                      <w:marBottom w:val="0"/>
                      <w:divBdr>
                        <w:top w:val="none" w:sz="0" w:space="0" w:color="auto"/>
                        <w:left w:val="none" w:sz="0" w:space="0" w:color="auto"/>
                        <w:bottom w:val="none" w:sz="0" w:space="0" w:color="auto"/>
                        <w:right w:val="none" w:sz="0" w:space="0" w:color="auto"/>
                      </w:divBdr>
                      <w:divsChild>
                        <w:div w:id="1780701">
                          <w:marLeft w:val="0"/>
                          <w:marRight w:val="0"/>
                          <w:marTop w:val="0"/>
                          <w:marBottom w:val="0"/>
                          <w:divBdr>
                            <w:top w:val="none" w:sz="0" w:space="0" w:color="auto"/>
                            <w:left w:val="none" w:sz="0" w:space="0" w:color="auto"/>
                            <w:bottom w:val="none" w:sz="0" w:space="0" w:color="auto"/>
                            <w:right w:val="none" w:sz="0" w:space="0" w:color="auto"/>
                          </w:divBdr>
                          <w:divsChild>
                            <w:div w:id="545718582">
                              <w:marLeft w:val="0"/>
                              <w:marRight w:val="0"/>
                              <w:marTop w:val="0"/>
                              <w:marBottom w:val="0"/>
                              <w:divBdr>
                                <w:top w:val="none" w:sz="0" w:space="0" w:color="auto"/>
                                <w:left w:val="none" w:sz="0" w:space="0" w:color="auto"/>
                                <w:bottom w:val="none" w:sz="0" w:space="0" w:color="auto"/>
                                <w:right w:val="none" w:sz="0" w:space="0" w:color="auto"/>
                              </w:divBdr>
                              <w:divsChild>
                                <w:div w:id="161773857">
                                  <w:marLeft w:val="0"/>
                                  <w:marRight w:val="0"/>
                                  <w:marTop w:val="0"/>
                                  <w:marBottom w:val="0"/>
                                  <w:divBdr>
                                    <w:top w:val="none" w:sz="0" w:space="0" w:color="auto"/>
                                    <w:left w:val="none" w:sz="0" w:space="0" w:color="auto"/>
                                    <w:bottom w:val="none" w:sz="0" w:space="0" w:color="auto"/>
                                    <w:right w:val="none" w:sz="0" w:space="0" w:color="auto"/>
                                  </w:divBdr>
                                  <w:divsChild>
                                    <w:div w:id="157893517">
                                      <w:marLeft w:val="0"/>
                                      <w:marRight w:val="0"/>
                                      <w:marTop w:val="0"/>
                                      <w:marBottom w:val="0"/>
                                      <w:divBdr>
                                        <w:top w:val="none" w:sz="0" w:space="0" w:color="auto"/>
                                        <w:left w:val="none" w:sz="0" w:space="0" w:color="auto"/>
                                        <w:bottom w:val="none" w:sz="0" w:space="0" w:color="auto"/>
                                        <w:right w:val="none" w:sz="0" w:space="0" w:color="auto"/>
                                      </w:divBdr>
                                      <w:divsChild>
                                        <w:div w:id="1474634374">
                                          <w:marLeft w:val="1200"/>
                                          <w:marRight w:val="1200"/>
                                          <w:marTop w:val="0"/>
                                          <w:marBottom w:val="0"/>
                                          <w:divBdr>
                                            <w:top w:val="none" w:sz="0" w:space="0" w:color="auto"/>
                                            <w:left w:val="none" w:sz="0" w:space="0" w:color="auto"/>
                                            <w:bottom w:val="none" w:sz="0" w:space="0" w:color="auto"/>
                                            <w:right w:val="none" w:sz="0" w:space="0" w:color="auto"/>
                                          </w:divBdr>
                                          <w:divsChild>
                                            <w:div w:id="1312712763">
                                              <w:marLeft w:val="0"/>
                                              <w:marRight w:val="0"/>
                                              <w:marTop w:val="0"/>
                                              <w:marBottom w:val="0"/>
                                              <w:divBdr>
                                                <w:top w:val="none" w:sz="0" w:space="0" w:color="auto"/>
                                                <w:left w:val="none" w:sz="0" w:space="0" w:color="auto"/>
                                                <w:bottom w:val="none" w:sz="0" w:space="0" w:color="auto"/>
                                                <w:right w:val="none" w:sz="0" w:space="0" w:color="auto"/>
                                              </w:divBdr>
                                              <w:divsChild>
                                                <w:div w:id="1700818570">
                                                  <w:marLeft w:val="0"/>
                                                  <w:marRight w:val="0"/>
                                                  <w:marTop w:val="0"/>
                                                  <w:marBottom w:val="0"/>
                                                  <w:divBdr>
                                                    <w:top w:val="none" w:sz="0" w:space="0" w:color="auto"/>
                                                    <w:left w:val="none" w:sz="0" w:space="0" w:color="auto"/>
                                                    <w:bottom w:val="none" w:sz="0" w:space="0" w:color="auto"/>
                                                    <w:right w:val="none" w:sz="0" w:space="0" w:color="auto"/>
                                                  </w:divBdr>
                                                  <w:divsChild>
                                                    <w:div w:id="714543751">
                                                      <w:marLeft w:val="0"/>
                                                      <w:marRight w:val="0"/>
                                                      <w:marTop w:val="0"/>
                                                      <w:marBottom w:val="0"/>
                                                      <w:divBdr>
                                                        <w:top w:val="none" w:sz="0" w:space="0" w:color="auto"/>
                                                        <w:left w:val="none" w:sz="0" w:space="0" w:color="auto"/>
                                                        <w:bottom w:val="none" w:sz="0" w:space="0" w:color="auto"/>
                                                        <w:right w:val="none" w:sz="0" w:space="0" w:color="auto"/>
                                                      </w:divBdr>
                                                      <w:divsChild>
                                                        <w:div w:id="5738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8077670">
      <w:bodyDiv w:val="1"/>
      <w:marLeft w:val="0"/>
      <w:marRight w:val="0"/>
      <w:marTop w:val="0"/>
      <w:marBottom w:val="0"/>
      <w:divBdr>
        <w:top w:val="none" w:sz="0" w:space="0" w:color="auto"/>
        <w:left w:val="none" w:sz="0" w:space="0" w:color="auto"/>
        <w:bottom w:val="none" w:sz="0" w:space="0" w:color="auto"/>
        <w:right w:val="none" w:sz="0" w:space="0" w:color="auto"/>
      </w:divBdr>
    </w:div>
    <w:div w:id="678314072">
      <w:bodyDiv w:val="1"/>
      <w:marLeft w:val="0"/>
      <w:marRight w:val="0"/>
      <w:marTop w:val="0"/>
      <w:marBottom w:val="0"/>
      <w:divBdr>
        <w:top w:val="none" w:sz="0" w:space="0" w:color="auto"/>
        <w:left w:val="none" w:sz="0" w:space="0" w:color="auto"/>
        <w:bottom w:val="none" w:sz="0" w:space="0" w:color="auto"/>
        <w:right w:val="none" w:sz="0" w:space="0" w:color="auto"/>
      </w:divBdr>
    </w:div>
    <w:div w:id="706562569">
      <w:bodyDiv w:val="1"/>
      <w:marLeft w:val="30"/>
      <w:marRight w:val="30"/>
      <w:marTop w:val="30"/>
      <w:marBottom w:val="30"/>
      <w:divBdr>
        <w:top w:val="none" w:sz="0" w:space="0" w:color="auto"/>
        <w:left w:val="none" w:sz="0" w:space="0" w:color="auto"/>
        <w:bottom w:val="none" w:sz="0" w:space="0" w:color="auto"/>
        <w:right w:val="none" w:sz="0" w:space="0" w:color="auto"/>
      </w:divBdr>
      <w:divsChild>
        <w:div w:id="1829205435">
          <w:marLeft w:val="0"/>
          <w:marRight w:val="0"/>
          <w:marTop w:val="0"/>
          <w:marBottom w:val="0"/>
          <w:divBdr>
            <w:top w:val="none" w:sz="0" w:space="0" w:color="auto"/>
            <w:left w:val="none" w:sz="0" w:space="0" w:color="auto"/>
            <w:bottom w:val="none" w:sz="0" w:space="0" w:color="auto"/>
            <w:right w:val="none" w:sz="0" w:space="0" w:color="auto"/>
          </w:divBdr>
          <w:divsChild>
            <w:div w:id="681053641">
              <w:marLeft w:val="45"/>
              <w:marRight w:val="45"/>
              <w:marTop w:val="45"/>
              <w:marBottom w:val="45"/>
              <w:divBdr>
                <w:top w:val="none" w:sz="0" w:space="0" w:color="auto"/>
                <w:left w:val="none" w:sz="0" w:space="0" w:color="auto"/>
                <w:bottom w:val="none" w:sz="0" w:space="0" w:color="auto"/>
                <w:right w:val="none" w:sz="0" w:space="0" w:color="auto"/>
              </w:divBdr>
              <w:divsChild>
                <w:div w:id="305087791">
                  <w:marLeft w:val="0"/>
                  <w:marRight w:val="0"/>
                  <w:marTop w:val="0"/>
                  <w:marBottom w:val="0"/>
                  <w:divBdr>
                    <w:top w:val="none" w:sz="0" w:space="0" w:color="auto"/>
                    <w:left w:val="none" w:sz="0" w:space="0" w:color="auto"/>
                    <w:bottom w:val="none" w:sz="0" w:space="0" w:color="auto"/>
                    <w:right w:val="none" w:sz="0" w:space="0" w:color="auto"/>
                  </w:divBdr>
                  <w:divsChild>
                    <w:div w:id="14408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88855">
      <w:bodyDiv w:val="1"/>
      <w:marLeft w:val="0"/>
      <w:marRight w:val="0"/>
      <w:marTop w:val="0"/>
      <w:marBottom w:val="0"/>
      <w:divBdr>
        <w:top w:val="none" w:sz="0" w:space="0" w:color="auto"/>
        <w:left w:val="none" w:sz="0" w:space="0" w:color="auto"/>
        <w:bottom w:val="none" w:sz="0" w:space="0" w:color="auto"/>
        <w:right w:val="none" w:sz="0" w:space="0" w:color="auto"/>
      </w:divBdr>
    </w:div>
    <w:div w:id="930089649">
      <w:bodyDiv w:val="1"/>
      <w:marLeft w:val="0"/>
      <w:marRight w:val="0"/>
      <w:marTop w:val="0"/>
      <w:marBottom w:val="0"/>
      <w:divBdr>
        <w:top w:val="none" w:sz="0" w:space="0" w:color="auto"/>
        <w:left w:val="none" w:sz="0" w:space="0" w:color="auto"/>
        <w:bottom w:val="none" w:sz="0" w:space="0" w:color="auto"/>
        <w:right w:val="none" w:sz="0" w:space="0" w:color="auto"/>
      </w:divBdr>
    </w:div>
    <w:div w:id="931744136">
      <w:bodyDiv w:val="1"/>
      <w:marLeft w:val="0"/>
      <w:marRight w:val="0"/>
      <w:marTop w:val="0"/>
      <w:marBottom w:val="0"/>
      <w:divBdr>
        <w:top w:val="none" w:sz="0" w:space="0" w:color="auto"/>
        <w:left w:val="none" w:sz="0" w:space="0" w:color="auto"/>
        <w:bottom w:val="none" w:sz="0" w:space="0" w:color="auto"/>
        <w:right w:val="none" w:sz="0" w:space="0" w:color="auto"/>
      </w:divBdr>
    </w:div>
    <w:div w:id="1069232310">
      <w:bodyDiv w:val="1"/>
      <w:marLeft w:val="0"/>
      <w:marRight w:val="0"/>
      <w:marTop w:val="0"/>
      <w:marBottom w:val="0"/>
      <w:divBdr>
        <w:top w:val="none" w:sz="0" w:space="0" w:color="auto"/>
        <w:left w:val="none" w:sz="0" w:space="0" w:color="auto"/>
        <w:bottom w:val="none" w:sz="0" w:space="0" w:color="auto"/>
        <w:right w:val="none" w:sz="0" w:space="0" w:color="auto"/>
      </w:divBdr>
    </w:div>
    <w:div w:id="1108548623">
      <w:bodyDiv w:val="1"/>
      <w:marLeft w:val="0"/>
      <w:marRight w:val="0"/>
      <w:marTop w:val="0"/>
      <w:marBottom w:val="0"/>
      <w:divBdr>
        <w:top w:val="none" w:sz="0" w:space="0" w:color="auto"/>
        <w:left w:val="none" w:sz="0" w:space="0" w:color="auto"/>
        <w:bottom w:val="none" w:sz="0" w:space="0" w:color="auto"/>
        <w:right w:val="none" w:sz="0" w:space="0" w:color="auto"/>
      </w:divBdr>
    </w:div>
    <w:div w:id="1114597725">
      <w:bodyDiv w:val="1"/>
      <w:marLeft w:val="0"/>
      <w:marRight w:val="0"/>
      <w:marTop w:val="0"/>
      <w:marBottom w:val="0"/>
      <w:divBdr>
        <w:top w:val="none" w:sz="0" w:space="0" w:color="auto"/>
        <w:left w:val="none" w:sz="0" w:space="0" w:color="auto"/>
        <w:bottom w:val="none" w:sz="0" w:space="0" w:color="auto"/>
        <w:right w:val="none" w:sz="0" w:space="0" w:color="auto"/>
      </w:divBdr>
    </w:div>
    <w:div w:id="1115906031">
      <w:bodyDiv w:val="1"/>
      <w:marLeft w:val="0"/>
      <w:marRight w:val="0"/>
      <w:marTop w:val="0"/>
      <w:marBottom w:val="0"/>
      <w:divBdr>
        <w:top w:val="none" w:sz="0" w:space="0" w:color="auto"/>
        <w:left w:val="none" w:sz="0" w:space="0" w:color="auto"/>
        <w:bottom w:val="none" w:sz="0" w:space="0" w:color="auto"/>
        <w:right w:val="none" w:sz="0" w:space="0" w:color="auto"/>
      </w:divBdr>
    </w:div>
    <w:div w:id="1318995804">
      <w:bodyDiv w:val="1"/>
      <w:marLeft w:val="30"/>
      <w:marRight w:val="30"/>
      <w:marTop w:val="30"/>
      <w:marBottom w:val="30"/>
      <w:divBdr>
        <w:top w:val="none" w:sz="0" w:space="0" w:color="auto"/>
        <w:left w:val="none" w:sz="0" w:space="0" w:color="auto"/>
        <w:bottom w:val="none" w:sz="0" w:space="0" w:color="auto"/>
        <w:right w:val="none" w:sz="0" w:space="0" w:color="auto"/>
      </w:divBdr>
      <w:divsChild>
        <w:div w:id="643848690">
          <w:marLeft w:val="0"/>
          <w:marRight w:val="0"/>
          <w:marTop w:val="0"/>
          <w:marBottom w:val="0"/>
          <w:divBdr>
            <w:top w:val="none" w:sz="0" w:space="0" w:color="auto"/>
            <w:left w:val="none" w:sz="0" w:space="0" w:color="auto"/>
            <w:bottom w:val="none" w:sz="0" w:space="0" w:color="auto"/>
            <w:right w:val="none" w:sz="0" w:space="0" w:color="auto"/>
          </w:divBdr>
          <w:divsChild>
            <w:div w:id="1234773876">
              <w:marLeft w:val="45"/>
              <w:marRight w:val="45"/>
              <w:marTop w:val="45"/>
              <w:marBottom w:val="45"/>
              <w:divBdr>
                <w:top w:val="none" w:sz="0" w:space="0" w:color="auto"/>
                <w:left w:val="none" w:sz="0" w:space="0" w:color="auto"/>
                <w:bottom w:val="none" w:sz="0" w:space="0" w:color="auto"/>
                <w:right w:val="none" w:sz="0" w:space="0" w:color="auto"/>
              </w:divBdr>
              <w:divsChild>
                <w:div w:id="290553797">
                  <w:marLeft w:val="0"/>
                  <w:marRight w:val="0"/>
                  <w:marTop w:val="0"/>
                  <w:marBottom w:val="0"/>
                  <w:divBdr>
                    <w:top w:val="none" w:sz="0" w:space="0" w:color="auto"/>
                    <w:left w:val="none" w:sz="0" w:space="0" w:color="auto"/>
                    <w:bottom w:val="none" w:sz="0" w:space="0" w:color="auto"/>
                    <w:right w:val="none" w:sz="0" w:space="0" w:color="auto"/>
                  </w:divBdr>
                  <w:divsChild>
                    <w:div w:id="20706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85127">
      <w:bodyDiv w:val="1"/>
      <w:marLeft w:val="0"/>
      <w:marRight w:val="0"/>
      <w:marTop w:val="0"/>
      <w:marBottom w:val="0"/>
      <w:divBdr>
        <w:top w:val="none" w:sz="0" w:space="0" w:color="auto"/>
        <w:left w:val="none" w:sz="0" w:space="0" w:color="auto"/>
        <w:bottom w:val="none" w:sz="0" w:space="0" w:color="auto"/>
        <w:right w:val="none" w:sz="0" w:space="0" w:color="auto"/>
      </w:divBdr>
    </w:div>
    <w:div w:id="1595434101">
      <w:bodyDiv w:val="1"/>
      <w:marLeft w:val="0"/>
      <w:marRight w:val="0"/>
      <w:marTop w:val="0"/>
      <w:marBottom w:val="0"/>
      <w:divBdr>
        <w:top w:val="none" w:sz="0" w:space="0" w:color="auto"/>
        <w:left w:val="none" w:sz="0" w:space="0" w:color="auto"/>
        <w:bottom w:val="none" w:sz="0" w:space="0" w:color="auto"/>
        <w:right w:val="none" w:sz="0" w:space="0" w:color="auto"/>
      </w:divBdr>
    </w:div>
    <w:div w:id="1781559895">
      <w:bodyDiv w:val="1"/>
      <w:marLeft w:val="0"/>
      <w:marRight w:val="0"/>
      <w:marTop w:val="0"/>
      <w:marBottom w:val="0"/>
      <w:divBdr>
        <w:top w:val="none" w:sz="0" w:space="0" w:color="auto"/>
        <w:left w:val="none" w:sz="0" w:space="0" w:color="auto"/>
        <w:bottom w:val="none" w:sz="0" w:space="0" w:color="auto"/>
        <w:right w:val="none" w:sz="0" w:space="0" w:color="auto"/>
      </w:divBdr>
      <w:divsChild>
        <w:div w:id="1284341051">
          <w:marLeft w:val="0"/>
          <w:marRight w:val="0"/>
          <w:marTop w:val="0"/>
          <w:marBottom w:val="0"/>
          <w:divBdr>
            <w:top w:val="none" w:sz="0" w:space="0" w:color="auto"/>
            <w:left w:val="single" w:sz="6" w:space="0" w:color="BBBBBB"/>
            <w:bottom w:val="single" w:sz="6" w:space="0" w:color="BBBBBB"/>
            <w:right w:val="single" w:sz="6" w:space="0" w:color="BBBBBB"/>
          </w:divBdr>
          <w:divsChild>
            <w:div w:id="250747207">
              <w:marLeft w:val="0"/>
              <w:marRight w:val="0"/>
              <w:marTop w:val="0"/>
              <w:marBottom w:val="0"/>
              <w:divBdr>
                <w:top w:val="none" w:sz="0" w:space="0" w:color="auto"/>
                <w:left w:val="none" w:sz="0" w:space="0" w:color="auto"/>
                <w:bottom w:val="none" w:sz="0" w:space="0" w:color="auto"/>
                <w:right w:val="none" w:sz="0" w:space="0" w:color="auto"/>
              </w:divBdr>
              <w:divsChild>
                <w:div w:id="160778025">
                  <w:marLeft w:val="0"/>
                  <w:marRight w:val="0"/>
                  <w:marTop w:val="0"/>
                  <w:marBottom w:val="0"/>
                  <w:divBdr>
                    <w:top w:val="none" w:sz="0" w:space="0" w:color="auto"/>
                    <w:left w:val="none" w:sz="0" w:space="0" w:color="auto"/>
                    <w:bottom w:val="none" w:sz="0" w:space="0" w:color="auto"/>
                    <w:right w:val="none" w:sz="0" w:space="0" w:color="auto"/>
                  </w:divBdr>
                  <w:divsChild>
                    <w:div w:id="465046996">
                      <w:marLeft w:val="0"/>
                      <w:marRight w:val="0"/>
                      <w:marTop w:val="0"/>
                      <w:marBottom w:val="0"/>
                      <w:divBdr>
                        <w:top w:val="none" w:sz="0" w:space="0" w:color="auto"/>
                        <w:left w:val="none" w:sz="0" w:space="0" w:color="auto"/>
                        <w:bottom w:val="none" w:sz="0" w:space="0" w:color="auto"/>
                        <w:right w:val="none" w:sz="0" w:space="0" w:color="auto"/>
                      </w:divBdr>
                      <w:divsChild>
                        <w:div w:id="1841701050">
                          <w:marLeft w:val="0"/>
                          <w:marRight w:val="0"/>
                          <w:marTop w:val="0"/>
                          <w:marBottom w:val="0"/>
                          <w:divBdr>
                            <w:top w:val="none" w:sz="0" w:space="0" w:color="auto"/>
                            <w:left w:val="none" w:sz="0" w:space="0" w:color="auto"/>
                            <w:bottom w:val="none" w:sz="0" w:space="0" w:color="auto"/>
                            <w:right w:val="none" w:sz="0" w:space="0" w:color="auto"/>
                          </w:divBdr>
                          <w:divsChild>
                            <w:div w:id="1548373390">
                              <w:marLeft w:val="0"/>
                              <w:marRight w:val="0"/>
                              <w:marTop w:val="0"/>
                              <w:marBottom w:val="0"/>
                              <w:divBdr>
                                <w:top w:val="none" w:sz="0" w:space="0" w:color="auto"/>
                                <w:left w:val="none" w:sz="0" w:space="0" w:color="auto"/>
                                <w:bottom w:val="none" w:sz="0" w:space="0" w:color="auto"/>
                                <w:right w:val="none" w:sz="0" w:space="0" w:color="auto"/>
                              </w:divBdr>
                              <w:divsChild>
                                <w:div w:id="952596030">
                                  <w:marLeft w:val="0"/>
                                  <w:marRight w:val="0"/>
                                  <w:marTop w:val="0"/>
                                  <w:marBottom w:val="0"/>
                                  <w:divBdr>
                                    <w:top w:val="none" w:sz="0" w:space="0" w:color="auto"/>
                                    <w:left w:val="none" w:sz="0" w:space="0" w:color="auto"/>
                                    <w:bottom w:val="none" w:sz="0" w:space="0" w:color="auto"/>
                                    <w:right w:val="none" w:sz="0" w:space="0" w:color="auto"/>
                                  </w:divBdr>
                                  <w:divsChild>
                                    <w:div w:id="1079403328">
                                      <w:marLeft w:val="0"/>
                                      <w:marRight w:val="0"/>
                                      <w:marTop w:val="0"/>
                                      <w:marBottom w:val="0"/>
                                      <w:divBdr>
                                        <w:top w:val="none" w:sz="0" w:space="0" w:color="auto"/>
                                        <w:left w:val="none" w:sz="0" w:space="0" w:color="auto"/>
                                        <w:bottom w:val="none" w:sz="0" w:space="0" w:color="auto"/>
                                        <w:right w:val="none" w:sz="0" w:space="0" w:color="auto"/>
                                      </w:divBdr>
                                      <w:divsChild>
                                        <w:div w:id="667445233">
                                          <w:marLeft w:val="1200"/>
                                          <w:marRight w:val="1200"/>
                                          <w:marTop w:val="0"/>
                                          <w:marBottom w:val="0"/>
                                          <w:divBdr>
                                            <w:top w:val="none" w:sz="0" w:space="0" w:color="auto"/>
                                            <w:left w:val="none" w:sz="0" w:space="0" w:color="auto"/>
                                            <w:bottom w:val="none" w:sz="0" w:space="0" w:color="auto"/>
                                            <w:right w:val="none" w:sz="0" w:space="0" w:color="auto"/>
                                          </w:divBdr>
                                          <w:divsChild>
                                            <w:div w:id="179393613">
                                              <w:marLeft w:val="0"/>
                                              <w:marRight w:val="0"/>
                                              <w:marTop w:val="0"/>
                                              <w:marBottom w:val="0"/>
                                              <w:divBdr>
                                                <w:top w:val="none" w:sz="0" w:space="0" w:color="auto"/>
                                                <w:left w:val="none" w:sz="0" w:space="0" w:color="auto"/>
                                                <w:bottom w:val="none" w:sz="0" w:space="0" w:color="auto"/>
                                                <w:right w:val="none" w:sz="0" w:space="0" w:color="auto"/>
                                              </w:divBdr>
                                              <w:divsChild>
                                                <w:div w:id="1753431518">
                                                  <w:marLeft w:val="0"/>
                                                  <w:marRight w:val="0"/>
                                                  <w:marTop w:val="0"/>
                                                  <w:marBottom w:val="0"/>
                                                  <w:divBdr>
                                                    <w:top w:val="none" w:sz="0" w:space="0" w:color="auto"/>
                                                    <w:left w:val="none" w:sz="0" w:space="0" w:color="auto"/>
                                                    <w:bottom w:val="none" w:sz="0" w:space="0" w:color="auto"/>
                                                    <w:right w:val="none" w:sz="0" w:space="0" w:color="auto"/>
                                                  </w:divBdr>
                                                  <w:divsChild>
                                                    <w:div w:id="1575823032">
                                                      <w:marLeft w:val="0"/>
                                                      <w:marRight w:val="0"/>
                                                      <w:marTop w:val="0"/>
                                                      <w:marBottom w:val="0"/>
                                                      <w:divBdr>
                                                        <w:top w:val="none" w:sz="0" w:space="0" w:color="auto"/>
                                                        <w:left w:val="none" w:sz="0" w:space="0" w:color="auto"/>
                                                        <w:bottom w:val="none" w:sz="0" w:space="0" w:color="auto"/>
                                                        <w:right w:val="none" w:sz="0" w:space="0" w:color="auto"/>
                                                      </w:divBdr>
                                                      <w:divsChild>
                                                        <w:div w:id="7054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6099117">
      <w:bodyDiv w:val="1"/>
      <w:marLeft w:val="0"/>
      <w:marRight w:val="0"/>
      <w:marTop w:val="0"/>
      <w:marBottom w:val="0"/>
      <w:divBdr>
        <w:top w:val="none" w:sz="0" w:space="0" w:color="auto"/>
        <w:left w:val="none" w:sz="0" w:space="0" w:color="auto"/>
        <w:bottom w:val="none" w:sz="0" w:space="0" w:color="auto"/>
        <w:right w:val="none" w:sz="0" w:space="0" w:color="auto"/>
      </w:divBdr>
    </w:div>
    <w:div w:id="1838764063">
      <w:bodyDiv w:val="1"/>
      <w:marLeft w:val="0"/>
      <w:marRight w:val="0"/>
      <w:marTop w:val="0"/>
      <w:marBottom w:val="0"/>
      <w:divBdr>
        <w:top w:val="none" w:sz="0" w:space="0" w:color="auto"/>
        <w:left w:val="none" w:sz="0" w:space="0" w:color="auto"/>
        <w:bottom w:val="none" w:sz="0" w:space="0" w:color="auto"/>
        <w:right w:val="none" w:sz="0" w:space="0" w:color="auto"/>
      </w:divBdr>
    </w:div>
    <w:div w:id="1845628566">
      <w:bodyDiv w:val="1"/>
      <w:marLeft w:val="0"/>
      <w:marRight w:val="0"/>
      <w:marTop w:val="0"/>
      <w:marBottom w:val="0"/>
      <w:divBdr>
        <w:top w:val="none" w:sz="0" w:space="0" w:color="auto"/>
        <w:left w:val="none" w:sz="0" w:space="0" w:color="auto"/>
        <w:bottom w:val="none" w:sz="0" w:space="0" w:color="auto"/>
        <w:right w:val="none" w:sz="0" w:space="0" w:color="auto"/>
      </w:divBdr>
    </w:div>
    <w:div w:id="1846632813">
      <w:bodyDiv w:val="1"/>
      <w:marLeft w:val="0"/>
      <w:marRight w:val="0"/>
      <w:marTop w:val="0"/>
      <w:marBottom w:val="0"/>
      <w:divBdr>
        <w:top w:val="none" w:sz="0" w:space="0" w:color="auto"/>
        <w:left w:val="none" w:sz="0" w:space="0" w:color="auto"/>
        <w:bottom w:val="none" w:sz="0" w:space="0" w:color="auto"/>
        <w:right w:val="none" w:sz="0" w:space="0" w:color="auto"/>
      </w:divBdr>
    </w:div>
    <w:div w:id="1910722250">
      <w:bodyDiv w:val="1"/>
      <w:marLeft w:val="0"/>
      <w:marRight w:val="0"/>
      <w:marTop w:val="0"/>
      <w:marBottom w:val="0"/>
      <w:divBdr>
        <w:top w:val="none" w:sz="0" w:space="0" w:color="auto"/>
        <w:left w:val="none" w:sz="0" w:space="0" w:color="auto"/>
        <w:bottom w:val="none" w:sz="0" w:space="0" w:color="auto"/>
        <w:right w:val="none" w:sz="0" w:space="0" w:color="auto"/>
      </w:divBdr>
    </w:div>
    <w:div w:id="2009938877">
      <w:bodyDiv w:val="1"/>
      <w:marLeft w:val="0"/>
      <w:marRight w:val="0"/>
      <w:marTop w:val="0"/>
      <w:marBottom w:val="0"/>
      <w:divBdr>
        <w:top w:val="none" w:sz="0" w:space="0" w:color="auto"/>
        <w:left w:val="none" w:sz="0" w:space="0" w:color="auto"/>
        <w:bottom w:val="none" w:sz="0" w:space="0" w:color="auto"/>
        <w:right w:val="none" w:sz="0" w:space="0" w:color="auto"/>
      </w:divBdr>
    </w:div>
    <w:div w:id="21433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6B0F-7C88-4887-8B1C-B074E931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1</Pages>
  <Words>10995</Words>
  <Characters>62672</Characters>
  <Application>Microsoft Office Word</Application>
  <DocSecurity>8</DocSecurity>
  <Lines>522</Lines>
  <Paragraphs>147</Paragraphs>
  <ScaleCrop>false</ScaleCrop>
  <HeadingPairs>
    <vt:vector size="2" baseType="variant">
      <vt:variant>
        <vt:lpstr>Title</vt:lpstr>
      </vt:variant>
      <vt:variant>
        <vt:i4>1</vt:i4>
      </vt:variant>
    </vt:vector>
  </HeadingPairs>
  <TitlesOfParts>
    <vt:vector size="1" baseType="lpstr">
      <vt:lpstr>TO PLACE DECISIONS INTO THIS DOCUMENT, PLEASE FOLLOW THESE STEPS:</vt:lpstr>
    </vt:vector>
  </TitlesOfParts>
  <Company>State of Minnesota</Company>
  <LinksUpToDate>false</LinksUpToDate>
  <CharactersWithSpaces>73520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PLACE DECISIONS INTO THIS DOCUMENT, PLEASE FOLLOW THESE STEPS:</dc:title>
  <dc:creator>CAROLO</dc:creator>
  <cp:lastModifiedBy>Helen Alexander</cp:lastModifiedBy>
  <cp:revision>33</cp:revision>
  <cp:lastPrinted>2013-12-10T17:36:00Z</cp:lastPrinted>
  <dcterms:created xsi:type="dcterms:W3CDTF">2013-11-08T20:03:00Z</dcterms:created>
  <dcterms:modified xsi:type="dcterms:W3CDTF">2013-12-10T21:09:00Z</dcterms:modified>
</cp:coreProperties>
</file>