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10656"/>
      </w:tblGrid>
      <w:tr w:rsidR="004F10A3" w:rsidRPr="00CA4465">
        <w:trPr>
          <w:cantSplit/>
        </w:trPr>
        <w:tc>
          <w:tcPr>
            <w:tcW w:w="10656" w:type="dxa"/>
            <w:tcBorders>
              <w:bottom w:val="single" w:sz="4" w:space="0" w:color="auto"/>
            </w:tcBorders>
          </w:tcPr>
          <w:p w:rsidR="004F10A3" w:rsidRPr="00CA4465" w:rsidRDefault="004F10A3" w:rsidP="006A4E16">
            <w:pPr>
              <w:jc w:val="left"/>
              <w:rPr>
                <w:smallCaps/>
                <w:sz w:val="96"/>
              </w:rPr>
            </w:pPr>
            <w:bookmarkStart w:id="0" w:name="_GoBack"/>
            <w:bookmarkEnd w:id="0"/>
            <w:r w:rsidRPr="00CA4465">
              <w:rPr>
                <w:smallCaps/>
                <w:sz w:val="96"/>
              </w:rPr>
              <w:t>T</w:t>
            </w:r>
            <w:bookmarkStart w:id="1" w:name="_Ref45519909"/>
            <w:bookmarkEnd w:id="1"/>
            <w:r w:rsidRPr="00CA4465">
              <w:rPr>
                <w:smallCaps/>
                <w:sz w:val="96"/>
              </w:rPr>
              <w:t xml:space="preserve">he Minnesota </w:t>
            </w:r>
            <w:r w:rsidRPr="00CA4465">
              <w:rPr>
                <w:smallCaps/>
                <w:sz w:val="96"/>
              </w:rPr>
              <w:br/>
              <w:t xml:space="preserve">Court of Appeals </w:t>
            </w:r>
            <w:r w:rsidRPr="00CA4465">
              <w:rPr>
                <w:smallCaps/>
                <w:sz w:val="96"/>
              </w:rPr>
              <w:br/>
              <w:t>Standards of Review</w:t>
            </w:r>
          </w:p>
        </w:tc>
      </w:tr>
      <w:tr w:rsidR="004F10A3" w:rsidRPr="00CA4465">
        <w:trPr>
          <w:cantSplit/>
          <w:trHeight w:val="9980"/>
        </w:trPr>
        <w:tc>
          <w:tcPr>
            <w:tcW w:w="10656" w:type="dxa"/>
            <w:tcBorders>
              <w:top w:val="single" w:sz="4" w:space="0" w:color="auto"/>
            </w:tcBorders>
            <w:vAlign w:val="bottom"/>
          </w:tcPr>
          <w:p w:rsidR="004F10A3" w:rsidRPr="00CA4465" w:rsidRDefault="00AC7AC7" w:rsidP="006A4E16">
            <w:pPr>
              <w:jc w:val="right"/>
              <w:rPr>
                <w:smallCaps/>
                <w:sz w:val="52"/>
              </w:rPr>
            </w:pPr>
            <w:r>
              <w:rPr>
                <w:smallCaps/>
                <w:sz w:val="52"/>
              </w:rPr>
              <w:t>Updated</w:t>
            </w:r>
            <w:r w:rsidR="004F10A3" w:rsidRPr="00CA4465">
              <w:rPr>
                <w:smallCaps/>
                <w:sz w:val="52"/>
              </w:rPr>
              <w:t xml:space="preserve"> August 20</w:t>
            </w:r>
            <w:r w:rsidR="00310E21" w:rsidRPr="00CA4465">
              <w:rPr>
                <w:smallCaps/>
                <w:sz w:val="52"/>
              </w:rPr>
              <w:t>1</w:t>
            </w:r>
            <w:r w:rsidR="00072151">
              <w:rPr>
                <w:smallCaps/>
                <w:sz w:val="52"/>
              </w:rPr>
              <w:t>4</w:t>
            </w:r>
          </w:p>
          <w:p w:rsidR="00B20B06" w:rsidRPr="00CA4465" w:rsidRDefault="00B20B06" w:rsidP="006A4E16">
            <w:pPr>
              <w:jc w:val="right"/>
              <w:rPr>
                <w:smallCaps/>
                <w:sz w:val="30"/>
              </w:rPr>
            </w:pPr>
          </w:p>
        </w:tc>
      </w:tr>
    </w:tbl>
    <w:p w:rsidR="004F10A3" w:rsidRPr="00CA4465" w:rsidRDefault="004F10A3" w:rsidP="006A4E16">
      <w:pPr>
        <w:spacing w:after="360"/>
        <w:jc w:val="center"/>
        <w:rPr>
          <w:smallCaps/>
          <w:sz w:val="40"/>
        </w:rPr>
        <w:sectPr w:rsidR="004F10A3" w:rsidRPr="00CA4465" w:rsidSect="004F10A3">
          <w:footerReference w:type="even" r:id="rId9"/>
          <w:footerReference w:type="default" r:id="rId10"/>
          <w:pgSz w:w="12240" w:h="15840" w:code="1"/>
          <w:pgMar w:top="720" w:right="720" w:bottom="720" w:left="1080" w:header="720" w:footer="360" w:gutter="0"/>
          <w:pgNumType w:fmt="lowerRoman"/>
          <w:cols w:space="720"/>
          <w:docGrid w:linePitch="360"/>
        </w:sectPr>
      </w:pPr>
    </w:p>
    <w:p w:rsidR="004F10A3" w:rsidRPr="00CA4465" w:rsidRDefault="004F10A3" w:rsidP="006A4E16">
      <w:pPr>
        <w:spacing w:after="120"/>
        <w:jc w:val="center"/>
        <w:rPr>
          <w:b/>
          <w:bCs/>
          <w:smallCaps/>
          <w:sz w:val="32"/>
          <w:szCs w:val="32"/>
        </w:rPr>
      </w:pPr>
      <w:r w:rsidRPr="00CA4465">
        <w:rPr>
          <w:b/>
          <w:bCs/>
          <w:smallCaps/>
          <w:sz w:val="32"/>
          <w:szCs w:val="32"/>
        </w:rPr>
        <w:lastRenderedPageBreak/>
        <w:t>Introduction</w:t>
      </w:r>
    </w:p>
    <w:p w:rsidR="004F10A3" w:rsidRPr="00CA4465" w:rsidRDefault="004F10A3" w:rsidP="006A4E16">
      <w:pPr>
        <w:spacing w:after="120"/>
        <w:jc w:val="center"/>
        <w:rPr>
          <w:b/>
          <w:bCs/>
          <w:smallCaps/>
          <w:sz w:val="32"/>
          <w:szCs w:val="32"/>
        </w:rPr>
      </w:pPr>
    </w:p>
    <w:p w:rsidR="004F10A3" w:rsidRPr="00CA4465" w:rsidRDefault="004F10A3" w:rsidP="006A4E16">
      <w:pPr>
        <w:spacing w:line="480" w:lineRule="auto"/>
        <w:ind w:firstLine="720"/>
        <w:rPr>
          <w:sz w:val="23"/>
          <w:szCs w:val="23"/>
        </w:rPr>
      </w:pPr>
      <w:r w:rsidRPr="00CA4465">
        <w:rPr>
          <w:sz w:val="23"/>
          <w:szCs w:val="23"/>
        </w:rPr>
        <w:t>When deciding a case, the first task of an appellate court is to identify the applicable standard of review.  The standard of review defines the manner in which each issue is reviewed, delineates the boundaries of appellate argument, and often determines the outcome on appeal.  Accordingly, the Minnesota Court of Appeals conscientiously identifies and applies a specific standard of review to each issue before the court.</w:t>
      </w:r>
    </w:p>
    <w:p w:rsidR="004F10A3" w:rsidRPr="00CA4465" w:rsidRDefault="004F10A3" w:rsidP="006A4E16">
      <w:pPr>
        <w:spacing w:line="480" w:lineRule="auto"/>
        <w:ind w:firstLine="720"/>
        <w:rPr>
          <w:sz w:val="23"/>
          <w:szCs w:val="23"/>
        </w:rPr>
      </w:pPr>
      <w:r w:rsidRPr="00CA4465">
        <w:rPr>
          <w:sz w:val="23"/>
          <w:szCs w:val="23"/>
        </w:rPr>
        <w:t>The most persuasive appellate briefs explicitly state the applicable standard of review at the beginning of each issue and then apply it.  This outline is intended as a tool for finding and applying various standards of review. Although this manual contains many standards of review, the cases set forth herein are not meant to provide the definitive standard of review for every appeal.  Further research may be necessary, depending on the facts and issues on appeal.  This manual does not address the scope of review, which concerns the extent to which specific questions or decisions may be raised on appeal.</w:t>
      </w:r>
    </w:p>
    <w:p w:rsidR="004F10A3" w:rsidRPr="00CA4465" w:rsidRDefault="004F10A3" w:rsidP="006A4E16">
      <w:pPr>
        <w:spacing w:line="480" w:lineRule="auto"/>
        <w:ind w:firstLine="720"/>
        <w:rPr>
          <w:sz w:val="23"/>
          <w:szCs w:val="23"/>
        </w:rPr>
      </w:pPr>
      <w:r w:rsidRPr="00CA4465">
        <w:rPr>
          <w:sz w:val="23"/>
          <w:szCs w:val="23"/>
        </w:rPr>
        <w:t>This outline was originally proposed by Justice Peter Popovich, the first Chief Judge of the Minnesota Court of Appeals and later Chief Justice of the Minnesota Supreme Court.  It has been updated periodically, under the supervision of other chief judges and with the efforts of law clerks and staff of the court.  I want to thank all of the law clerks and staff attorneys of the Minnesota Court of Appeals who have researched, compiled, and edited this outline.  I am confident that their efforts will assist Minnesota attorneys in locating the applicable standard of review and focusing their appellate arguments.</w:t>
      </w:r>
    </w:p>
    <w:p w:rsidR="004F10A3" w:rsidRPr="00CA4465" w:rsidRDefault="004F10A3" w:rsidP="006A4E16">
      <w:pPr>
        <w:rPr>
          <w:sz w:val="23"/>
          <w:szCs w:val="23"/>
        </w:rPr>
      </w:pPr>
    </w:p>
    <w:p w:rsidR="004F10A3" w:rsidRPr="00CA4465" w:rsidRDefault="004F10A3" w:rsidP="006A4E16">
      <w:pPr>
        <w:keepNext/>
        <w:tabs>
          <w:tab w:val="left" w:pos="5760"/>
        </w:tabs>
        <w:rPr>
          <w:sz w:val="23"/>
          <w:szCs w:val="23"/>
        </w:rPr>
      </w:pPr>
      <w:r w:rsidRPr="00CA4465">
        <w:rPr>
          <w:sz w:val="23"/>
          <w:szCs w:val="23"/>
        </w:rPr>
        <w:t>August 20</w:t>
      </w:r>
      <w:r w:rsidR="00310E21" w:rsidRPr="00CA4465">
        <w:rPr>
          <w:sz w:val="23"/>
          <w:szCs w:val="23"/>
        </w:rPr>
        <w:t>1</w:t>
      </w:r>
      <w:r w:rsidR="00643964">
        <w:rPr>
          <w:sz w:val="23"/>
          <w:szCs w:val="23"/>
        </w:rPr>
        <w:t>4</w:t>
      </w:r>
      <w:r w:rsidRPr="00CA4465">
        <w:rPr>
          <w:sz w:val="23"/>
          <w:szCs w:val="23"/>
        </w:rPr>
        <w:tab/>
      </w:r>
      <w:r w:rsidR="00643964">
        <w:rPr>
          <w:sz w:val="23"/>
          <w:szCs w:val="23"/>
        </w:rPr>
        <w:t>Edward J. Cleary</w:t>
      </w:r>
    </w:p>
    <w:p w:rsidR="004F10A3" w:rsidRPr="00CA4465" w:rsidRDefault="000F3051" w:rsidP="006A4E16">
      <w:pPr>
        <w:tabs>
          <w:tab w:val="left" w:pos="5760"/>
        </w:tabs>
        <w:rPr>
          <w:sz w:val="23"/>
          <w:szCs w:val="23"/>
        </w:rPr>
      </w:pPr>
      <w:r>
        <w:rPr>
          <w:sz w:val="23"/>
          <w:szCs w:val="23"/>
        </w:rPr>
        <w:tab/>
      </w:r>
      <w:r w:rsidR="004F10A3" w:rsidRPr="00CA4465">
        <w:rPr>
          <w:sz w:val="23"/>
          <w:szCs w:val="23"/>
        </w:rPr>
        <w:t>Chief Judge</w:t>
      </w:r>
    </w:p>
    <w:p w:rsidR="004336D1" w:rsidRPr="00CA4465" w:rsidRDefault="004336D1" w:rsidP="006A4E16">
      <w:pPr>
        <w:tabs>
          <w:tab w:val="left" w:pos="720"/>
          <w:tab w:val="left" w:pos="1080"/>
          <w:tab w:val="left" w:pos="1440"/>
          <w:tab w:val="left" w:pos="1800"/>
          <w:tab w:val="left" w:pos="2160"/>
          <w:tab w:val="left" w:pos="2520"/>
          <w:tab w:val="right" w:leader="dot" w:pos="9360"/>
        </w:tabs>
        <w:jc w:val="center"/>
        <w:rPr>
          <w:b/>
          <w:sz w:val="32"/>
          <w:szCs w:val="32"/>
        </w:rPr>
        <w:sectPr w:rsidR="004336D1" w:rsidRPr="00CA4465" w:rsidSect="004F10A3">
          <w:headerReference w:type="default" r:id="rId11"/>
          <w:footerReference w:type="default" r:id="rId12"/>
          <w:pgSz w:w="12240" w:h="15840" w:code="1"/>
          <w:pgMar w:top="1440" w:right="1440" w:bottom="1440" w:left="1440" w:header="720" w:footer="720" w:gutter="0"/>
          <w:pgNumType w:fmt="lowerRoman" w:start="1"/>
          <w:cols w:space="720"/>
          <w:titlePg/>
          <w:docGrid w:linePitch="360"/>
        </w:sectPr>
      </w:pPr>
    </w:p>
    <w:p w:rsidR="004F10A3" w:rsidRPr="00CA4465" w:rsidRDefault="004F10A3" w:rsidP="006A4E16">
      <w:pPr>
        <w:tabs>
          <w:tab w:val="left" w:pos="720"/>
          <w:tab w:val="left" w:pos="1080"/>
          <w:tab w:val="left" w:pos="1440"/>
          <w:tab w:val="left" w:pos="1800"/>
          <w:tab w:val="left" w:pos="2160"/>
          <w:tab w:val="left" w:pos="2520"/>
          <w:tab w:val="right" w:leader="dot" w:pos="9360"/>
        </w:tabs>
        <w:jc w:val="center"/>
        <w:rPr>
          <w:b/>
          <w:sz w:val="32"/>
          <w:szCs w:val="32"/>
        </w:rPr>
      </w:pPr>
      <w:r w:rsidRPr="00CA4465">
        <w:rPr>
          <w:b/>
          <w:sz w:val="32"/>
          <w:szCs w:val="32"/>
        </w:rPr>
        <w:lastRenderedPageBreak/>
        <w:t>TABLE OF CONTENTS</w:t>
      </w:r>
    </w:p>
    <w:p w:rsidR="004F10A3" w:rsidRPr="00CA4465" w:rsidRDefault="004F10A3" w:rsidP="006A4E16">
      <w:pPr>
        <w:tabs>
          <w:tab w:val="left" w:pos="720"/>
          <w:tab w:val="left" w:pos="1080"/>
          <w:tab w:val="left" w:pos="1440"/>
          <w:tab w:val="left" w:pos="1800"/>
          <w:tab w:val="left" w:pos="2160"/>
          <w:tab w:val="left" w:pos="2520"/>
          <w:tab w:val="right" w:leader="dot" w:pos="9360"/>
        </w:tabs>
        <w:jc w:val="center"/>
        <w:rPr>
          <w:b/>
          <w:sz w:val="32"/>
          <w:szCs w:val="32"/>
        </w:rPr>
      </w:pPr>
    </w:p>
    <w:bookmarkStart w:id="2" w:name="_Toc48979503"/>
    <w:p w:rsidR="00A64830" w:rsidRDefault="00D11F68" w:rsidP="00334983">
      <w:pPr>
        <w:pStyle w:val="TOC1"/>
        <w:rPr>
          <w:rStyle w:val="Hyperlink"/>
          <w:noProof/>
        </w:rPr>
      </w:pPr>
      <w:r>
        <w:fldChar w:fldCharType="begin"/>
      </w:r>
      <w:r>
        <w:instrText xml:space="preserve"> TOC \o "1-6" \h \z \u </w:instrText>
      </w:r>
      <w:r>
        <w:fldChar w:fldCharType="separate"/>
      </w:r>
      <w:hyperlink w:anchor="_Toc395604428" w:history="1">
        <w:r w:rsidR="00A64830" w:rsidRPr="00965590">
          <w:rPr>
            <w:rStyle w:val="Hyperlink"/>
            <w:noProof/>
          </w:rPr>
          <w:t>I.</w:t>
        </w:r>
        <w:r w:rsidR="00A64830">
          <w:rPr>
            <w:rFonts w:asciiTheme="minorHAnsi" w:eastAsiaTheme="minorEastAsia" w:hAnsiTheme="minorHAnsi" w:cstheme="minorBidi"/>
            <w:noProof/>
            <w:sz w:val="22"/>
            <w:szCs w:val="22"/>
          </w:rPr>
          <w:tab/>
        </w:r>
        <w:r w:rsidR="00A64830" w:rsidRPr="00965590">
          <w:rPr>
            <w:rStyle w:val="Hyperlink"/>
            <w:noProof/>
          </w:rPr>
          <w:t>CIVIL – GENERAL</w:t>
        </w:r>
        <w:r w:rsidR="00A64830">
          <w:rPr>
            <w:noProof/>
            <w:webHidden/>
          </w:rPr>
          <w:tab/>
        </w:r>
        <w:r w:rsidR="00A64830">
          <w:rPr>
            <w:noProof/>
            <w:webHidden/>
          </w:rPr>
          <w:fldChar w:fldCharType="begin"/>
        </w:r>
        <w:r w:rsidR="00A64830">
          <w:rPr>
            <w:noProof/>
            <w:webHidden/>
          </w:rPr>
          <w:instrText xml:space="preserve"> PAGEREF _Toc395604428 \h </w:instrText>
        </w:r>
        <w:r w:rsidR="00A64830">
          <w:rPr>
            <w:noProof/>
            <w:webHidden/>
          </w:rPr>
        </w:r>
        <w:r w:rsidR="00A64830">
          <w:rPr>
            <w:noProof/>
            <w:webHidden/>
          </w:rPr>
          <w:fldChar w:fldCharType="separate"/>
        </w:r>
        <w:r w:rsidR="00042677">
          <w:rPr>
            <w:noProof/>
            <w:webHidden/>
          </w:rPr>
          <w:t>1</w:t>
        </w:r>
        <w:r w:rsidR="00A64830">
          <w:rPr>
            <w:noProof/>
            <w:webHidden/>
          </w:rPr>
          <w:fldChar w:fldCharType="end"/>
        </w:r>
      </w:hyperlink>
    </w:p>
    <w:p w:rsidR="00A64830" w:rsidRPr="00A64830" w:rsidRDefault="00A64830" w:rsidP="00334983">
      <w:pPr>
        <w:rPr>
          <w:rFonts w:eastAsiaTheme="minorEastAsia"/>
        </w:rPr>
      </w:pPr>
    </w:p>
    <w:p w:rsidR="00A64830" w:rsidRPr="00A64830" w:rsidRDefault="000F30C0" w:rsidP="00334983">
      <w:pPr>
        <w:pStyle w:val="TOC2"/>
        <w:rPr>
          <w:noProof/>
          <w:color w:val="0000FF" w:themeColor="hyperlink"/>
          <w:u w:val="single"/>
        </w:rPr>
      </w:pPr>
      <w:hyperlink w:anchor="_Toc395604429" w:history="1">
        <w:r w:rsidR="00A64830" w:rsidRPr="00965590">
          <w:rPr>
            <w:rStyle w:val="Hyperlink"/>
            <w:noProof/>
          </w:rPr>
          <w:t>A.</w:t>
        </w:r>
        <w:r w:rsidR="00A64830">
          <w:rPr>
            <w:rFonts w:asciiTheme="minorHAnsi" w:eastAsiaTheme="minorEastAsia" w:hAnsiTheme="minorHAnsi" w:cstheme="minorBidi"/>
            <w:noProof/>
            <w:sz w:val="22"/>
            <w:szCs w:val="22"/>
          </w:rPr>
          <w:tab/>
        </w:r>
        <w:r w:rsidR="00A64830" w:rsidRPr="00965590">
          <w:rPr>
            <w:rStyle w:val="Hyperlink"/>
            <w:noProof/>
          </w:rPr>
          <w:t>IN GENERAL</w:t>
        </w:r>
        <w:r w:rsidR="00A64830">
          <w:rPr>
            <w:noProof/>
            <w:webHidden/>
          </w:rPr>
          <w:tab/>
        </w:r>
        <w:r w:rsidR="00A64830">
          <w:rPr>
            <w:noProof/>
            <w:webHidden/>
          </w:rPr>
          <w:fldChar w:fldCharType="begin"/>
        </w:r>
        <w:r w:rsidR="00A64830">
          <w:rPr>
            <w:noProof/>
            <w:webHidden/>
          </w:rPr>
          <w:instrText xml:space="preserve"> PAGEREF _Toc395604429 \h </w:instrText>
        </w:r>
        <w:r w:rsidR="00A64830">
          <w:rPr>
            <w:noProof/>
            <w:webHidden/>
          </w:rPr>
        </w:r>
        <w:r w:rsidR="00A64830">
          <w:rPr>
            <w:noProof/>
            <w:webHidden/>
          </w:rPr>
          <w:fldChar w:fldCharType="separate"/>
        </w:r>
        <w:r w:rsidR="00042677">
          <w:rPr>
            <w:noProof/>
            <w:webHidden/>
          </w:rPr>
          <w:t>1</w:t>
        </w:r>
        <w:r w:rsidR="00A64830">
          <w:rPr>
            <w:noProof/>
            <w:webHidden/>
          </w:rPr>
          <w:fldChar w:fldCharType="end"/>
        </w:r>
      </w:hyperlink>
    </w:p>
    <w:p w:rsidR="00A64830" w:rsidRDefault="000F30C0" w:rsidP="00334983">
      <w:pPr>
        <w:pStyle w:val="TOC3"/>
        <w:rPr>
          <w:rFonts w:asciiTheme="minorHAnsi" w:eastAsiaTheme="minorEastAsia" w:hAnsiTheme="minorHAnsi" w:cstheme="minorBidi"/>
          <w:noProof/>
          <w:sz w:val="22"/>
          <w:szCs w:val="22"/>
        </w:rPr>
      </w:pPr>
      <w:hyperlink w:anchor="_Toc395604430" w:history="1">
        <w:r w:rsidR="00A64830" w:rsidRPr="00965590">
          <w:rPr>
            <w:rStyle w:val="Hyperlink"/>
            <w:noProof/>
          </w:rPr>
          <w:t>1.</w:t>
        </w:r>
        <w:r w:rsidR="00A64830">
          <w:rPr>
            <w:rFonts w:asciiTheme="minorHAnsi" w:eastAsiaTheme="minorEastAsia" w:hAnsiTheme="minorHAnsi" w:cstheme="minorBidi"/>
            <w:noProof/>
            <w:sz w:val="22"/>
            <w:szCs w:val="22"/>
          </w:rPr>
          <w:tab/>
        </w:r>
        <w:r w:rsidR="00A64830" w:rsidRPr="00965590">
          <w:rPr>
            <w:rStyle w:val="Hyperlink"/>
            <w:noProof/>
          </w:rPr>
          <w:t>Jurisdiction</w:t>
        </w:r>
        <w:r w:rsidR="00A64830">
          <w:rPr>
            <w:noProof/>
            <w:webHidden/>
          </w:rPr>
          <w:tab/>
        </w:r>
        <w:r w:rsidR="00A64830">
          <w:rPr>
            <w:noProof/>
            <w:webHidden/>
          </w:rPr>
          <w:fldChar w:fldCharType="begin"/>
        </w:r>
        <w:r w:rsidR="00A64830">
          <w:rPr>
            <w:noProof/>
            <w:webHidden/>
          </w:rPr>
          <w:instrText xml:space="preserve"> PAGEREF _Toc395604430 \h </w:instrText>
        </w:r>
        <w:r w:rsidR="00A64830">
          <w:rPr>
            <w:noProof/>
            <w:webHidden/>
          </w:rPr>
        </w:r>
        <w:r w:rsidR="00A64830">
          <w:rPr>
            <w:noProof/>
            <w:webHidden/>
          </w:rPr>
          <w:fldChar w:fldCharType="separate"/>
        </w:r>
        <w:r w:rsidR="00042677">
          <w:rPr>
            <w:noProof/>
            <w:webHidden/>
          </w:rPr>
          <w:t>1</w:t>
        </w:r>
        <w:r w:rsidR="00A64830">
          <w:rPr>
            <w:noProof/>
            <w:webHidden/>
          </w:rPr>
          <w:fldChar w:fldCharType="end"/>
        </w:r>
      </w:hyperlink>
    </w:p>
    <w:p w:rsidR="00A64830" w:rsidRDefault="000F30C0" w:rsidP="00334983">
      <w:pPr>
        <w:pStyle w:val="TOC3"/>
        <w:rPr>
          <w:rFonts w:asciiTheme="minorHAnsi" w:eastAsiaTheme="minorEastAsia" w:hAnsiTheme="minorHAnsi" w:cstheme="minorBidi"/>
          <w:noProof/>
          <w:sz w:val="22"/>
          <w:szCs w:val="22"/>
        </w:rPr>
      </w:pPr>
      <w:hyperlink w:anchor="_Toc395604431" w:history="1">
        <w:r w:rsidR="00A64830" w:rsidRPr="00965590">
          <w:rPr>
            <w:rStyle w:val="Hyperlink"/>
            <w:noProof/>
          </w:rPr>
          <w:t>2.</w:t>
        </w:r>
        <w:r w:rsidR="00A64830">
          <w:rPr>
            <w:rFonts w:asciiTheme="minorHAnsi" w:eastAsiaTheme="minorEastAsia" w:hAnsiTheme="minorHAnsi" w:cstheme="minorBidi"/>
            <w:noProof/>
            <w:sz w:val="22"/>
            <w:szCs w:val="22"/>
          </w:rPr>
          <w:tab/>
        </w:r>
        <w:r w:rsidR="00A64830" w:rsidRPr="00965590">
          <w:rPr>
            <w:rStyle w:val="Hyperlink"/>
            <w:noProof/>
          </w:rPr>
          <w:t>General Standards of Review</w:t>
        </w:r>
        <w:r w:rsidR="00A64830">
          <w:rPr>
            <w:noProof/>
            <w:webHidden/>
          </w:rPr>
          <w:tab/>
        </w:r>
        <w:r w:rsidR="00A64830">
          <w:rPr>
            <w:noProof/>
            <w:webHidden/>
          </w:rPr>
          <w:fldChar w:fldCharType="begin"/>
        </w:r>
        <w:r w:rsidR="00A64830">
          <w:rPr>
            <w:noProof/>
            <w:webHidden/>
          </w:rPr>
          <w:instrText xml:space="preserve"> PAGEREF _Toc395604431 \h </w:instrText>
        </w:r>
        <w:r w:rsidR="00A64830">
          <w:rPr>
            <w:noProof/>
            <w:webHidden/>
          </w:rPr>
        </w:r>
        <w:r w:rsidR="00A64830">
          <w:rPr>
            <w:noProof/>
            <w:webHidden/>
          </w:rPr>
          <w:fldChar w:fldCharType="separate"/>
        </w:r>
        <w:r w:rsidR="00042677">
          <w:rPr>
            <w:noProof/>
            <w:webHidden/>
          </w:rPr>
          <w:t>1</w:t>
        </w:r>
        <w:r w:rsidR="00A64830">
          <w:rPr>
            <w:noProof/>
            <w:webHidden/>
          </w:rPr>
          <w:fldChar w:fldCharType="end"/>
        </w:r>
      </w:hyperlink>
    </w:p>
    <w:p w:rsidR="00A64830" w:rsidRDefault="000F30C0" w:rsidP="00334983">
      <w:pPr>
        <w:pStyle w:val="TOC4"/>
        <w:tabs>
          <w:tab w:val="left" w:pos="1200"/>
          <w:tab w:val="right" w:leader="dot" w:pos="9350"/>
        </w:tabs>
        <w:spacing w:after="0"/>
        <w:rPr>
          <w:rFonts w:asciiTheme="minorHAnsi" w:eastAsiaTheme="minorEastAsia" w:hAnsiTheme="minorHAnsi" w:cstheme="minorBidi"/>
          <w:noProof/>
          <w:sz w:val="22"/>
          <w:szCs w:val="22"/>
        </w:rPr>
      </w:pPr>
      <w:hyperlink w:anchor="_Toc395604432" w:history="1">
        <w:r w:rsidR="00A64830" w:rsidRPr="00965590">
          <w:rPr>
            <w:rStyle w:val="Hyperlink"/>
            <w:noProof/>
          </w:rPr>
          <w:t>a.</w:t>
        </w:r>
        <w:r w:rsidR="00A64830">
          <w:rPr>
            <w:rFonts w:asciiTheme="minorHAnsi" w:eastAsiaTheme="minorEastAsia" w:hAnsiTheme="minorHAnsi" w:cstheme="minorBidi"/>
            <w:noProof/>
            <w:sz w:val="22"/>
            <w:szCs w:val="22"/>
          </w:rPr>
          <w:tab/>
        </w:r>
        <w:r w:rsidR="00A64830" w:rsidRPr="00965590">
          <w:rPr>
            <w:rStyle w:val="Hyperlink"/>
            <w:noProof/>
          </w:rPr>
          <w:t>Questions of Law</w:t>
        </w:r>
        <w:r w:rsidR="00A64830">
          <w:rPr>
            <w:noProof/>
            <w:webHidden/>
          </w:rPr>
          <w:tab/>
        </w:r>
        <w:r w:rsidR="00A64830">
          <w:rPr>
            <w:noProof/>
            <w:webHidden/>
          </w:rPr>
          <w:fldChar w:fldCharType="begin"/>
        </w:r>
        <w:r w:rsidR="00A64830">
          <w:rPr>
            <w:noProof/>
            <w:webHidden/>
          </w:rPr>
          <w:instrText xml:space="preserve"> PAGEREF _Toc395604432 \h </w:instrText>
        </w:r>
        <w:r w:rsidR="00A64830">
          <w:rPr>
            <w:noProof/>
            <w:webHidden/>
          </w:rPr>
        </w:r>
        <w:r w:rsidR="00A64830">
          <w:rPr>
            <w:noProof/>
            <w:webHidden/>
          </w:rPr>
          <w:fldChar w:fldCharType="separate"/>
        </w:r>
        <w:r w:rsidR="00042677">
          <w:rPr>
            <w:noProof/>
            <w:webHidden/>
          </w:rPr>
          <w:t>1</w:t>
        </w:r>
        <w:r w:rsidR="00A64830">
          <w:rPr>
            <w:noProof/>
            <w:webHidden/>
          </w:rPr>
          <w:fldChar w:fldCharType="end"/>
        </w:r>
      </w:hyperlink>
    </w:p>
    <w:p w:rsidR="00A64830" w:rsidRDefault="000F30C0" w:rsidP="00334983">
      <w:pPr>
        <w:pStyle w:val="TOC4"/>
        <w:tabs>
          <w:tab w:val="left" w:pos="1200"/>
          <w:tab w:val="right" w:leader="dot" w:pos="9350"/>
        </w:tabs>
        <w:spacing w:after="0"/>
        <w:rPr>
          <w:rFonts w:asciiTheme="minorHAnsi" w:eastAsiaTheme="minorEastAsia" w:hAnsiTheme="minorHAnsi" w:cstheme="minorBidi"/>
          <w:noProof/>
          <w:sz w:val="22"/>
          <w:szCs w:val="22"/>
        </w:rPr>
      </w:pPr>
      <w:hyperlink w:anchor="_Toc395604433" w:history="1">
        <w:r w:rsidR="00A64830" w:rsidRPr="00965590">
          <w:rPr>
            <w:rStyle w:val="Hyperlink"/>
            <w:noProof/>
          </w:rPr>
          <w:t>b.</w:t>
        </w:r>
        <w:r w:rsidR="00A64830">
          <w:rPr>
            <w:rFonts w:asciiTheme="minorHAnsi" w:eastAsiaTheme="minorEastAsia" w:hAnsiTheme="minorHAnsi" w:cstheme="minorBidi"/>
            <w:noProof/>
            <w:sz w:val="22"/>
            <w:szCs w:val="22"/>
          </w:rPr>
          <w:tab/>
        </w:r>
        <w:r w:rsidR="00A64830" w:rsidRPr="00965590">
          <w:rPr>
            <w:rStyle w:val="Hyperlink"/>
            <w:noProof/>
          </w:rPr>
          <w:t>Mixed Questions of Law and Fact</w:t>
        </w:r>
        <w:r w:rsidR="00A64830">
          <w:rPr>
            <w:noProof/>
            <w:webHidden/>
          </w:rPr>
          <w:tab/>
        </w:r>
        <w:r w:rsidR="00A64830">
          <w:rPr>
            <w:noProof/>
            <w:webHidden/>
          </w:rPr>
          <w:fldChar w:fldCharType="begin"/>
        </w:r>
        <w:r w:rsidR="00A64830">
          <w:rPr>
            <w:noProof/>
            <w:webHidden/>
          </w:rPr>
          <w:instrText xml:space="preserve"> PAGEREF _Toc395604433 \h </w:instrText>
        </w:r>
        <w:r w:rsidR="00A64830">
          <w:rPr>
            <w:noProof/>
            <w:webHidden/>
          </w:rPr>
        </w:r>
        <w:r w:rsidR="00A64830">
          <w:rPr>
            <w:noProof/>
            <w:webHidden/>
          </w:rPr>
          <w:fldChar w:fldCharType="separate"/>
        </w:r>
        <w:r w:rsidR="00042677">
          <w:rPr>
            <w:noProof/>
            <w:webHidden/>
          </w:rPr>
          <w:t>1</w:t>
        </w:r>
        <w:r w:rsidR="00A64830">
          <w:rPr>
            <w:noProof/>
            <w:webHidden/>
          </w:rPr>
          <w:fldChar w:fldCharType="end"/>
        </w:r>
      </w:hyperlink>
    </w:p>
    <w:p w:rsidR="00A64830" w:rsidRDefault="000F30C0" w:rsidP="00334983">
      <w:pPr>
        <w:pStyle w:val="TOC4"/>
        <w:tabs>
          <w:tab w:val="left" w:pos="1200"/>
          <w:tab w:val="right" w:leader="dot" w:pos="9350"/>
        </w:tabs>
        <w:spacing w:after="0"/>
        <w:rPr>
          <w:rFonts w:asciiTheme="minorHAnsi" w:eastAsiaTheme="minorEastAsia" w:hAnsiTheme="minorHAnsi" w:cstheme="minorBidi"/>
          <w:noProof/>
          <w:sz w:val="22"/>
          <w:szCs w:val="22"/>
        </w:rPr>
      </w:pPr>
      <w:hyperlink w:anchor="_Toc395604434" w:history="1">
        <w:r w:rsidR="00A64830" w:rsidRPr="00965590">
          <w:rPr>
            <w:rStyle w:val="Hyperlink"/>
            <w:noProof/>
          </w:rPr>
          <w:t>c.</w:t>
        </w:r>
        <w:r w:rsidR="00A64830">
          <w:rPr>
            <w:rFonts w:asciiTheme="minorHAnsi" w:eastAsiaTheme="minorEastAsia" w:hAnsiTheme="minorHAnsi" w:cstheme="minorBidi"/>
            <w:noProof/>
            <w:sz w:val="22"/>
            <w:szCs w:val="22"/>
          </w:rPr>
          <w:tab/>
        </w:r>
        <w:r w:rsidR="00A64830" w:rsidRPr="00965590">
          <w:rPr>
            <w:rStyle w:val="Hyperlink"/>
            <w:noProof/>
          </w:rPr>
          <w:t>Questions of Fact</w:t>
        </w:r>
        <w:r w:rsidR="00A64830">
          <w:rPr>
            <w:noProof/>
            <w:webHidden/>
          </w:rPr>
          <w:tab/>
        </w:r>
        <w:r w:rsidR="00A64830">
          <w:rPr>
            <w:noProof/>
            <w:webHidden/>
          </w:rPr>
          <w:fldChar w:fldCharType="begin"/>
        </w:r>
        <w:r w:rsidR="00A64830">
          <w:rPr>
            <w:noProof/>
            <w:webHidden/>
          </w:rPr>
          <w:instrText xml:space="preserve"> PAGEREF _Toc395604434 \h </w:instrText>
        </w:r>
        <w:r w:rsidR="00A64830">
          <w:rPr>
            <w:noProof/>
            <w:webHidden/>
          </w:rPr>
        </w:r>
        <w:r w:rsidR="00A64830">
          <w:rPr>
            <w:noProof/>
            <w:webHidden/>
          </w:rPr>
          <w:fldChar w:fldCharType="separate"/>
        </w:r>
        <w:r w:rsidR="00042677">
          <w:rPr>
            <w:noProof/>
            <w:webHidden/>
          </w:rPr>
          <w:t>2</w:t>
        </w:r>
        <w:r w:rsidR="00A64830">
          <w:rPr>
            <w:noProof/>
            <w:webHidden/>
          </w:rPr>
          <w:fldChar w:fldCharType="end"/>
        </w:r>
      </w:hyperlink>
    </w:p>
    <w:p w:rsidR="00A64830" w:rsidRDefault="000F30C0" w:rsidP="00334983">
      <w:pPr>
        <w:pStyle w:val="TOC4"/>
        <w:tabs>
          <w:tab w:val="left" w:pos="1200"/>
          <w:tab w:val="right" w:leader="dot" w:pos="9350"/>
        </w:tabs>
        <w:spacing w:after="0"/>
        <w:rPr>
          <w:rFonts w:asciiTheme="minorHAnsi" w:eastAsiaTheme="minorEastAsia" w:hAnsiTheme="minorHAnsi" w:cstheme="minorBidi"/>
          <w:noProof/>
          <w:sz w:val="22"/>
          <w:szCs w:val="22"/>
        </w:rPr>
      </w:pPr>
      <w:hyperlink w:anchor="_Toc395604435" w:history="1">
        <w:r w:rsidR="00A64830" w:rsidRPr="00965590">
          <w:rPr>
            <w:rStyle w:val="Hyperlink"/>
            <w:noProof/>
          </w:rPr>
          <w:t>d.</w:t>
        </w:r>
        <w:r w:rsidR="00A64830">
          <w:rPr>
            <w:rFonts w:asciiTheme="minorHAnsi" w:eastAsiaTheme="minorEastAsia" w:hAnsiTheme="minorHAnsi" w:cstheme="minorBidi"/>
            <w:noProof/>
            <w:sz w:val="22"/>
            <w:szCs w:val="22"/>
          </w:rPr>
          <w:tab/>
        </w:r>
        <w:r w:rsidR="00A64830" w:rsidRPr="00965590">
          <w:rPr>
            <w:rStyle w:val="Hyperlink"/>
            <w:noProof/>
          </w:rPr>
          <w:t>Equitable Determinations</w:t>
        </w:r>
        <w:r w:rsidR="00A64830">
          <w:rPr>
            <w:noProof/>
            <w:webHidden/>
          </w:rPr>
          <w:tab/>
        </w:r>
        <w:r w:rsidR="00A64830">
          <w:rPr>
            <w:noProof/>
            <w:webHidden/>
          </w:rPr>
          <w:fldChar w:fldCharType="begin"/>
        </w:r>
        <w:r w:rsidR="00A64830">
          <w:rPr>
            <w:noProof/>
            <w:webHidden/>
          </w:rPr>
          <w:instrText xml:space="preserve"> PAGEREF _Toc395604435 \h </w:instrText>
        </w:r>
        <w:r w:rsidR="00A64830">
          <w:rPr>
            <w:noProof/>
            <w:webHidden/>
          </w:rPr>
        </w:r>
        <w:r w:rsidR="00A64830">
          <w:rPr>
            <w:noProof/>
            <w:webHidden/>
          </w:rPr>
          <w:fldChar w:fldCharType="separate"/>
        </w:r>
        <w:r w:rsidR="00042677">
          <w:rPr>
            <w:noProof/>
            <w:webHidden/>
          </w:rPr>
          <w:t>2</w:t>
        </w:r>
        <w:r w:rsidR="00A64830">
          <w:rPr>
            <w:noProof/>
            <w:webHidden/>
          </w:rPr>
          <w:fldChar w:fldCharType="end"/>
        </w:r>
      </w:hyperlink>
    </w:p>
    <w:p w:rsidR="00A64830" w:rsidRDefault="000F30C0" w:rsidP="00334983">
      <w:pPr>
        <w:pStyle w:val="TOC3"/>
        <w:rPr>
          <w:rFonts w:asciiTheme="minorHAnsi" w:eastAsiaTheme="minorEastAsia" w:hAnsiTheme="minorHAnsi" w:cstheme="minorBidi"/>
          <w:noProof/>
          <w:sz w:val="22"/>
          <w:szCs w:val="22"/>
        </w:rPr>
      </w:pPr>
      <w:hyperlink w:anchor="_Toc395604436" w:history="1">
        <w:r w:rsidR="00A64830" w:rsidRPr="00965590">
          <w:rPr>
            <w:rStyle w:val="Hyperlink"/>
            <w:noProof/>
          </w:rPr>
          <w:t>3.</w:t>
        </w:r>
        <w:r w:rsidR="00A64830">
          <w:rPr>
            <w:rFonts w:asciiTheme="minorHAnsi" w:eastAsiaTheme="minorEastAsia" w:hAnsiTheme="minorHAnsi" w:cstheme="minorBidi"/>
            <w:noProof/>
            <w:sz w:val="22"/>
            <w:szCs w:val="22"/>
          </w:rPr>
          <w:tab/>
        </w:r>
        <w:r w:rsidR="00A64830" w:rsidRPr="00965590">
          <w:rPr>
            <w:rStyle w:val="Hyperlink"/>
            <w:noProof/>
          </w:rPr>
          <w:t>Rules of Construction</w:t>
        </w:r>
        <w:r w:rsidR="00A64830">
          <w:rPr>
            <w:noProof/>
            <w:webHidden/>
          </w:rPr>
          <w:tab/>
        </w:r>
        <w:r w:rsidR="00A64830">
          <w:rPr>
            <w:noProof/>
            <w:webHidden/>
          </w:rPr>
          <w:fldChar w:fldCharType="begin"/>
        </w:r>
        <w:r w:rsidR="00A64830">
          <w:rPr>
            <w:noProof/>
            <w:webHidden/>
          </w:rPr>
          <w:instrText xml:space="preserve"> PAGEREF _Toc395604436 \h </w:instrText>
        </w:r>
        <w:r w:rsidR="00A64830">
          <w:rPr>
            <w:noProof/>
            <w:webHidden/>
          </w:rPr>
        </w:r>
        <w:r w:rsidR="00A64830">
          <w:rPr>
            <w:noProof/>
            <w:webHidden/>
          </w:rPr>
          <w:fldChar w:fldCharType="separate"/>
        </w:r>
        <w:r w:rsidR="00042677">
          <w:rPr>
            <w:noProof/>
            <w:webHidden/>
          </w:rPr>
          <w:t>2</w:t>
        </w:r>
        <w:r w:rsidR="00A64830">
          <w:rPr>
            <w:noProof/>
            <w:webHidden/>
          </w:rPr>
          <w:fldChar w:fldCharType="end"/>
        </w:r>
      </w:hyperlink>
    </w:p>
    <w:p w:rsidR="00A64830" w:rsidRDefault="000F30C0" w:rsidP="00334983">
      <w:pPr>
        <w:pStyle w:val="TOC4"/>
        <w:tabs>
          <w:tab w:val="left" w:pos="1200"/>
          <w:tab w:val="right" w:leader="dot" w:pos="9350"/>
        </w:tabs>
        <w:spacing w:after="0"/>
        <w:rPr>
          <w:rFonts w:asciiTheme="minorHAnsi" w:eastAsiaTheme="minorEastAsia" w:hAnsiTheme="minorHAnsi" w:cstheme="minorBidi"/>
          <w:noProof/>
          <w:sz w:val="22"/>
          <w:szCs w:val="22"/>
        </w:rPr>
      </w:pPr>
      <w:hyperlink w:anchor="_Toc395604437" w:history="1">
        <w:r w:rsidR="00A64830" w:rsidRPr="00965590">
          <w:rPr>
            <w:rStyle w:val="Hyperlink"/>
            <w:noProof/>
          </w:rPr>
          <w:t>a.</w:t>
        </w:r>
        <w:r w:rsidR="00A64830">
          <w:rPr>
            <w:rFonts w:asciiTheme="minorHAnsi" w:eastAsiaTheme="minorEastAsia" w:hAnsiTheme="minorHAnsi" w:cstheme="minorBidi"/>
            <w:noProof/>
            <w:sz w:val="22"/>
            <w:szCs w:val="22"/>
          </w:rPr>
          <w:tab/>
        </w:r>
        <w:r w:rsidR="00A64830" w:rsidRPr="00965590">
          <w:rPr>
            <w:rStyle w:val="Hyperlink"/>
            <w:noProof/>
          </w:rPr>
          <w:t>Statutes</w:t>
        </w:r>
        <w:r w:rsidR="00A64830">
          <w:rPr>
            <w:noProof/>
            <w:webHidden/>
          </w:rPr>
          <w:tab/>
        </w:r>
        <w:r w:rsidR="00A64830">
          <w:rPr>
            <w:noProof/>
            <w:webHidden/>
          </w:rPr>
          <w:fldChar w:fldCharType="begin"/>
        </w:r>
        <w:r w:rsidR="00A64830">
          <w:rPr>
            <w:noProof/>
            <w:webHidden/>
          </w:rPr>
          <w:instrText xml:space="preserve"> PAGEREF _Toc395604437 \h </w:instrText>
        </w:r>
        <w:r w:rsidR="00A64830">
          <w:rPr>
            <w:noProof/>
            <w:webHidden/>
          </w:rPr>
        </w:r>
        <w:r w:rsidR="00A64830">
          <w:rPr>
            <w:noProof/>
            <w:webHidden/>
          </w:rPr>
          <w:fldChar w:fldCharType="separate"/>
        </w:r>
        <w:r w:rsidR="00042677">
          <w:rPr>
            <w:noProof/>
            <w:webHidden/>
          </w:rPr>
          <w:t>2</w:t>
        </w:r>
        <w:r w:rsidR="00A64830">
          <w:rPr>
            <w:noProof/>
            <w:webHidden/>
          </w:rPr>
          <w:fldChar w:fldCharType="end"/>
        </w:r>
      </w:hyperlink>
    </w:p>
    <w:p w:rsidR="00A64830" w:rsidRDefault="000F30C0" w:rsidP="00334983">
      <w:pPr>
        <w:pStyle w:val="TOC5"/>
        <w:tabs>
          <w:tab w:val="left" w:pos="1540"/>
          <w:tab w:val="right" w:leader="dot" w:pos="9350"/>
        </w:tabs>
        <w:spacing w:after="0"/>
        <w:rPr>
          <w:rFonts w:asciiTheme="minorHAnsi" w:eastAsiaTheme="minorEastAsia" w:hAnsiTheme="minorHAnsi" w:cstheme="minorBidi"/>
          <w:noProof/>
          <w:sz w:val="22"/>
          <w:szCs w:val="22"/>
        </w:rPr>
      </w:pPr>
      <w:hyperlink w:anchor="_Toc395604438" w:history="1">
        <w:r w:rsidR="00A64830" w:rsidRPr="00965590">
          <w:rPr>
            <w:rStyle w:val="Hyperlink"/>
            <w:noProof/>
          </w:rPr>
          <w:t>(1)</w:t>
        </w:r>
        <w:r w:rsidR="00A64830">
          <w:rPr>
            <w:rFonts w:asciiTheme="minorHAnsi" w:eastAsiaTheme="minorEastAsia" w:hAnsiTheme="minorHAnsi" w:cstheme="minorBidi"/>
            <w:noProof/>
            <w:sz w:val="22"/>
            <w:szCs w:val="22"/>
          </w:rPr>
          <w:tab/>
        </w:r>
        <w:r w:rsidR="00A64830" w:rsidRPr="00965590">
          <w:rPr>
            <w:rStyle w:val="Hyperlink"/>
            <w:noProof/>
          </w:rPr>
          <w:t>Constitutionality of Statutes</w:t>
        </w:r>
        <w:r w:rsidR="00A64830">
          <w:rPr>
            <w:noProof/>
            <w:webHidden/>
          </w:rPr>
          <w:tab/>
        </w:r>
        <w:r w:rsidR="00A64830">
          <w:rPr>
            <w:noProof/>
            <w:webHidden/>
          </w:rPr>
          <w:fldChar w:fldCharType="begin"/>
        </w:r>
        <w:r w:rsidR="00A64830">
          <w:rPr>
            <w:noProof/>
            <w:webHidden/>
          </w:rPr>
          <w:instrText xml:space="preserve"> PAGEREF _Toc395604438 \h </w:instrText>
        </w:r>
        <w:r w:rsidR="00A64830">
          <w:rPr>
            <w:noProof/>
            <w:webHidden/>
          </w:rPr>
        </w:r>
        <w:r w:rsidR="00A64830">
          <w:rPr>
            <w:noProof/>
            <w:webHidden/>
          </w:rPr>
          <w:fldChar w:fldCharType="separate"/>
        </w:r>
        <w:r w:rsidR="00042677">
          <w:rPr>
            <w:noProof/>
            <w:webHidden/>
          </w:rPr>
          <w:t>2</w:t>
        </w:r>
        <w:r w:rsidR="00A64830">
          <w:rPr>
            <w:noProof/>
            <w:webHidden/>
          </w:rPr>
          <w:fldChar w:fldCharType="end"/>
        </w:r>
      </w:hyperlink>
    </w:p>
    <w:p w:rsidR="00A64830" w:rsidRDefault="000F30C0" w:rsidP="00334983">
      <w:pPr>
        <w:pStyle w:val="TOC5"/>
        <w:tabs>
          <w:tab w:val="left" w:pos="1540"/>
          <w:tab w:val="right" w:leader="dot" w:pos="9350"/>
        </w:tabs>
        <w:spacing w:after="0"/>
        <w:rPr>
          <w:rFonts w:asciiTheme="minorHAnsi" w:eastAsiaTheme="minorEastAsia" w:hAnsiTheme="minorHAnsi" w:cstheme="minorBidi"/>
          <w:noProof/>
          <w:sz w:val="22"/>
          <w:szCs w:val="22"/>
        </w:rPr>
      </w:pPr>
      <w:hyperlink w:anchor="_Toc395604439" w:history="1">
        <w:r w:rsidR="00A64830" w:rsidRPr="00965590">
          <w:rPr>
            <w:rStyle w:val="Hyperlink"/>
            <w:noProof/>
          </w:rPr>
          <w:t>(2)</w:t>
        </w:r>
        <w:r w:rsidR="00A64830">
          <w:rPr>
            <w:rFonts w:asciiTheme="minorHAnsi" w:eastAsiaTheme="minorEastAsia" w:hAnsiTheme="minorHAnsi" w:cstheme="minorBidi"/>
            <w:noProof/>
            <w:sz w:val="22"/>
            <w:szCs w:val="22"/>
          </w:rPr>
          <w:tab/>
        </w:r>
        <w:r w:rsidR="00A64830" w:rsidRPr="00965590">
          <w:rPr>
            <w:rStyle w:val="Hyperlink"/>
            <w:noProof/>
          </w:rPr>
          <w:t>Interpretation/Construction and Application of Statutes</w:t>
        </w:r>
        <w:r w:rsidR="00A64830">
          <w:rPr>
            <w:noProof/>
            <w:webHidden/>
          </w:rPr>
          <w:tab/>
        </w:r>
        <w:r w:rsidR="00A64830">
          <w:rPr>
            <w:noProof/>
            <w:webHidden/>
          </w:rPr>
          <w:fldChar w:fldCharType="begin"/>
        </w:r>
        <w:r w:rsidR="00A64830">
          <w:rPr>
            <w:noProof/>
            <w:webHidden/>
          </w:rPr>
          <w:instrText xml:space="preserve"> PAGEREF _Toc395604439 \h </w:instrText>
        </w:r>
        <w:r w:rsidR="00A64830">
          <w:rPr>
            <w:noProof/>
            <w:webHidden/>
          </w:rPr>
        </w:r>
        <w:r w:rsidR="00A64830">
          <w:rPr>
            <w:noProof/>
            <w:webHidden/>
          </w:rPr>
          <w:fldChar w:fldCharType="separate"/>
        </w:r>
        <w:r w:rsidR="00042677">
          <w:rPr>
            <w:noProof/>
            <w:webHidden/>
          </w:rPr>
          <w:t>3</w:t>
        </w:r>
        <w:r w:rsidR="00A64830">
          <w:rPr>
            <w:noProof/>
            <w:webHidden/>
          </w:rPr>
          <w:fldChar w:fldCharType="end"/>
        </w:r>
      </w:hyperlink>
    </w:p>
    <w:p w:rsidR="00A64830" w:rsidRDefault="000F30C0" w:rsidP="00334983">
      <w:pPr>
        <w:pStyle w:val="TOC5"/>
        <w:tabs>
          <w:tab w:val="left" w:pos="1540"/>
          <w:tab w:val="right" w:leader="dot" w:pos="9350"/>
        </w:tabs>
        <w:spacing w:after="0"/>
        <w:rPr>
          <w:rFonts w:asciiTheme="minorHAnsi" w:eastAsiaTheme="minorEastAsia" w:hAnsiTheme="minorHAnsi" w:cstheme="minorBidi"/>
          <w:noProof/>
          <w:sz w:val="22"/>
          <w:szCs w:val="22"/>
        </w:rPr>
      </w:pPr>
      <w:hyperlink w:anchor="_Toc395604440" w:history="1">
        <w:r w:rsidR="00A64830" w:rsidRPr="00965590">
          <w:rPr>
            <w:rStyle w:val="Hyperlink"/>
            <w:noProof/>
          </w:rPr>
          <w:t>(3)</w:t>
        </w:r>
        <w:r w:rsidR="00A64830">
          <w:rPr>
            <w:rFonts w:asciiTheme="minorHAnsi" w:eastAsiaTheme="minorEastAsia" w:hAnsiTheme="minorHAnsi" w:cstheme="minorBidi"/>
            <w:noProof/>
            <w:sz w:val="22"/>
            <w:szCs w:val="22"/>
          </w:rPr>
          <w:tab/>
        </w:r>
        <w:r w:rsidR="00A64830" w:rsidRPr="00965590">
          <w:rPr>
            <w:rStyle w:val="Hyperlink"/>
            <w:noProof/>
          </w:rPr>
          <w:t>Statutes of Limitations/Repose</w:t>
        </w:r>
        <w:r w:rsidR="00A64830">
          <w:rPr>
            <w:noProof/>
            <w:webHidden/>
          </w:rPr>
          <w:tab/>
        </w:r>
        <w:r w:rsidR="00A64830">
          <w:rPr>
            <w:noProof/>
            <w:webHidden/>
          </w:rPr>
          <w:fldChar w:fldCharType="begin"/>
        </w:r>
        <w:r w:rsidR="00A64830">
          <w:rPr>
            <w:noProof/>
            <w:webHidden/>
          </w:rPr>
          <w:instrText xml:space="preserve"> PAGEREF _Toc395604440 \h </w:instrText>
        </w:r>
        <w:r w:rsidR="00A64830">
          <w:rPr>
            <w:noProof/>
            <w:webHidden/>
          </w:rPr>
        </w:r>
        <w:r w:rsidR="00A64830">
          <w:rPr>
            <w:noProof/>
            <w:webHidden/>
          </w:rPr>
          <w:fldChar w:fldCharType="separate"/>
        </w:r>
        <w:r w:rsidR="00042677">
          <w:rPr>
            <w:noProof/>
            <w:webHidden/>
          </w:rPr>
          <w:t>4</w:t>
        </w:r>
        <w:r w:rsidR="00A64830">
          <w:rPr>
            <w:noProof/>
            <w:webHidden/>
          </w:rPr>
          <w:fldChar w:fldCharType="end"/>
        </w:r>
      </w:hyperlink>
    </w:p>
    <w:p w:rsidR="00A64830" w:rsidRDefault="000F30C0" w:rsidP="00334983">
      <w:pPr>
        <w:pStyle w:val="TOC4"/>
        <w:tabs>
          <w:tab w:val="left" w:pos="1200"/>
          <w:tab w:val="right" w:leader="dot" w:pos="9350"/>
        </w:tabs>
        <w:spacing w:after="0"/>
        <w:rPr>
          <w:rFonts w:asciiTheme="minorHAnsi" w:eastAsiaTheme="minorEastAsia" w:hAnsiTheme="minorHAnsi" w:cstheme="minorBidi"/>
          <w:noProof/>
          <w:sz w:val="22"/>
          <w:szCs w:val="22"/>
        </w:rPr>
      </w:pPr>
      <w:hyperlink w:anchor="_Toc395604441" w:history="1">
        <w:r w:rsidR="00A64830" w:rsidRPr="00965590">
          <w:rPr>
            <w:rStyle w:val="Hyperlink"/>
            <w:noProof/>
          </w:rPr>
          <w:t>b.</w:t>
        </w:r>
        <w:r w:rsidR="00A64830">
          <w:rPr>
            <w:rFonts w:asciiTheme="minorHAnsi" w:eastAsiaTheme="minorEastAsia" w:hAnsiTheme="minorHAnsi" w:cstheme="minorBidi"/>
            <w:noProof/>
            <w:sz w:val="22"/>
            <w:szCs w:val="22"/>
          </w:rPr>
          <w:tab/>
        </w:r>
        <w:r w:rsidR="00A64830" w:rsidRPr="00965590">
          <w:rPr>
            <w:rStyle w:val="Hyperlink"/>
            <w:noProof/>
          </w:rPr>
          <w:t>Rules of Procedure</w:t>
        </w:r>
        <w:r w:rsidR="00A64830">
          <w:rPr>
            <w:noProof/>
            <w:webHidden/>
          </w:rPr>
          <w:tab/>
        </w:r>
        <w:r w:rsidR="00A64830">
          <w:rPr>
            <w:noProof/>
            <w:webHidden/>
          </w:rPr>
          <w:fldChar w:fldCharType="begin"/>
        </w:r>
        <w:r w:rsidR="00A64830">
          <w:rPr>
            <w:noProof/>
            <w:webHidden/>
          </w:rPr>
          <w:instrText xml:space="preserve"> PAGEREF _Toc395604441 \h </w:instrText>
        </w:r>
        <w:r w:rsidR="00A64830">
          <w:rPr>
            <w:noProof/>
            <w:webHidden/>
          </w:rPr>
        </w:r>
        <w:r w:rsidR="00A64830">
          <w:rPr>
            <w:noProof/>
            <w:webHidden/>
          </w:rPr>
          <w:fldChar w:fldCharType="separate"/>
        </w:r>
        <w:r w:rsidR="00042677">
          <w:rPr>
            <w:noProof/>
            <w:webHidden/>
          </w:rPr>
          <w:t>4</w:t>
        </w:r>
        <w:r w:rsidR="00A64830">
          <w:rPr>
            <w:noProof/>
            <w:webHidden/>
          </w:rPr>
          <w:fldChar w:fldCharType="end"/>
        </w:r>
      </w:hyperlink>
    </w:p>
    <w:p w:rsidR="00A64830" w:rsidRDefault="000F30C0" w:rsidP="00334983">
      <w:pPr>
        <w:pStyle w:val="TOC4"/>
        <w:tabs>
          <w:tab w:val="left" w:pos="1200"/>
          <w:tab w:val="right" w:leader="dot" w:pos="9350"/>
        </w:tabs>
        <w:spacing w:after="0"/>
        <w:rPr>
          <w:rFonts w:asciiTheme="minorHAnsi" w:eastAsiaTheme="minorEastAsia" w:hAnsiTheme="minorHAnsi" w:cstheme="minorBidi"/>
          <w:noProof/>
          <w:sz w:val="22"/>
          <w:szCs w:val="22"/>
        </w:rPr>
      </w:pPr>
      <w:hyperlink w:anchor="_Toc395604442" w:history="1">
        <w:r w:rsidR="00A64830" w:rsidRPr="00965590">
          <w:rPr>
            <w:rStyle w:val="Hyperlink"/>
            <w:noProof/>
          </w:rPr>
          <w:t>c.</w:t>
        </w:r>
        <w:r w:rsidR="00A64830">
          <w:rPr>
            <w:rFonts w:asciiTheme="minorHAnsi" w:eastAsiaTheme="minorEastAsia" w:hAnsiTheme="minorHAnsi" w:cstheme="minorBidi"/>
            <w:noProof/>
            <w:sz w:val="22"/>
            <w:szCs w:val="22"/>
          </w:rPr>
          <w:tab/>
        </w:r>
        <w:r w:rsidR="00A64830" w:rsidRPr="00965590">
          <w:rPr>
            <w:rStyle w:val="Hyperlink"/>
            <w:noProof/>
          </w:rPr>
          <w:t>Municipal Ordinances</w:t>
        </w:r>
        <w:r w:rsidR="00A64830">
          <w:rPr>
            <w:noProof/>
            <w:webHidden/>
          </w:rPr>
          <w:tab/>
        </w:r>
        <w:r w:rsidR="00A64830">
          <w:rPr>
            <w:noProof/>
            <w:webHidden/>
          </w:rPr>
          <w:fldChar w:fldCharType="begin"/>
        </w:r>
        <w:r w:rsidR="00A64830">
          <w:rPr>
            <w:noProof/>
            <w:webHidden/>
          </w:rPr>
          <w:instrText xml:space="preserve"> PAGEREF _Toc395604442 \h </w:instrText>
        </w:r>
        <w:r w:rsidR="00A64830">
          <w:rPr>
            <w:noProof/>
            <w:webHidden/>
          </w:rPr>
        </w:r>
        <w:r w:rsidR="00A64830">
          <w:rPr>
            <w:noProof/>
            <w:webHidden/>
          </w:rPr>
          <w:fldChar w:fldCharType="separate"/>
        </w:r>
        <w:r w:rsidR="00042677">
          <w:rPr>
            <w:noProof/>
            <w:webHidden/>
          </w:rPr>
          <w:t>5</w:t>
        </w:r>
        <w:r w:rsidR="00A64830">
          <w:rPr>
            <w:noProof/>
            <w:webHidden/>
          </w:rPr>
          <w:fldChar w:fldCharType="end"/>
        </w:r>
      </w:hyperlink>
    </w:p>
    <w:p w:rsidR="00A64830" w:rsidRDefault="000F30C0" w:rsidP="00334983">
      <w:pPr>
        <w:pStyle w:val="TOC5"/>
        <w:tabs>
          <w:tab w:val="left" w:pos="1540"/>
          <w:tab w:val="right" w:leader="dot" w:pos="9350"/>
        </w:tabs>
        <w:spacing w:after="0"/>
        <w:rPr>
          <w:rFonts w:asciiTheme="minorHAnsi" w:eastAsiaTheme="minorEastAsia" w:hAnsiTheme="minorHAnsi" w:cstheme="minorBidi"/>
          <w:noProof/>
          <w:sz w:val="22"/>
          <w:szCs w:val="22"/>
        </w:rPr>
      </w:pPr>
      <w:hyperlink w:anchor="_Toc395604443" w:history="1">
        <w:r w:rsidR="00A64830" w:rsidRPr="00965590">
          <w:rPr>
            <w:rStyle w:val="Hyperlink"/>
            <w:noProof/>
          </w:rPr>
          <w:t>(1)</w:t>
        </w:r>
        <w:r w:rsidR="00A64830">
          <w:rPr>
            <w:rFonts w:asciiTheme="minorHAnsi" w:eastAsiaTheme="minorEastAsia" w:hAnsiTheme="minorHAnsi" w:cstheme="minorBidi"/>
            <w:noProof/>
            <w:sz w:val="22"/>
            <w:szCs w:val="22"/>
          </w:rPr>
          <w:tab/>
        </w:r>
        <w:r w:rsidR="00A64830" w:rsidRPr="00965590">
          <w:rPr>
            <w:rStyle w:val="Hyperlink"/>
            <w:noProof/>
          </w:rPr>
          <w:t>Constitutionality/Reasonableness of an Ordinance</w:t>
        </w:r>
        <w:r w:rsidR="00A64830">
          <w:rPr>
            <w:noProof/>
            <w:webHidden/>
          </w:rPr>
          <w:tab/>
        </w:r>
        <w:r w:rsidR="00A64830">
          <w:rPr>
            <w:noProof/>
            <w:webHidden/>
          </w:rPr>
          <w:fldChar w:fldCharType="begin"/>
        </w:r>
        <w:r w:rsidR="00A64830">
          <w:rPr>
            <w:noProof/>
            <w:webHidden/>
          </w:rPr>
          <w:instrText xml:space="preserve"> PAGEREF _Toc395604443 \h </w:instrText>
        </w:r>
        <w:r w:rsidR="00A64830">
          <w:rPr>
            <w:noProof/>
            <w:webHidden/>
          </w:rPr>
        </w:r>
        <w:r w:rsidR="00A64830">
          <w:rPr>
            <w:noProof/>
            <w:webHidden/>
          </w:rPr>
          <w:fldChar w:fldCharType="separate"/>
        </w:r>
        <w:r w:rsidR="00042677">
          <w:rPr>
            <w:noProof/>
            <w:webHidden/>
          </w:rPr>
          <w:t>5</w:t>
        </w:r>
        <w:r w:rsidR="00A64830">
          <w:rPr>
            <w:noProof/>
            <w:webHidden/>
          </w:rPr>
          <w:fldChar w:fldCharType="end"/>
        </w:r>
      </w:hyperlink>
    </w:p>
    <w:p w:rsidR="00A64830" w:rsidRDefault="000F30C0" w:rsidP="00334983">
      <w:pPr>
        <w:pStyle w:val="TOC5"/>
        <w:tabs>
          <w:tab w:val="left" w:pos="1540"/>
          <w:tab w:val="right" w:leader="dot" w:pos="9350"/>
        </w:tabs>
        <w:spacing w:after="0"/>
        <w:rPr>
          <w:rFonts w:asciiTheme="minorHAnsi" w:eastAsiaTheme="minorEastAsia" w:hAnsiTheme="minorHAnsi" w:cstheme="minorBidi"/>
          <w:noProof/>
          <w:sz w:val="22"/>
          <w:szCs w:val="22"/>
        </w:rPr>
      </w:pPr>
      <w:hyperlink w:anchor="_Toc395604444" w:history="1">
        <w:r w:rsidR="00A64830" w:rsidRPr="00965590">
          <w:rPr>
            <w:rStyle w:val="Hyperlink"/>
            <w:noProof/>
          </w:rPr>
          <w:t>(2)</w:t>
        </w:r>
        <w:r w:rsidR="00A64830">
          <w:rPr>
            <w:rFonts w:asciiTheme="minorHAnsi" w:eastAsiaTheme="minorEastAsia" w:hAnsiTheme="minorHAnsi" w:cstheme="minorBidi"/>
            <w:noProof/>
            <w:sz w:val="22"/>
            <w:szCs w:val="22"/>
          </w:rPr>
          <w:tab/>
        </w:r>
        <w:r w:rsidR="00A64830" w:rsidRPr="00965590">
          <w:rPr>
            <w:rStyle w:val="Hyperlink"/>
            <w:noProof/>
          </w:rPr>
          <w:t>Interpretation of Municipal Ordinances</w:t>
        </w:r>
        <w:r w:rsidR="00A64830">
          <w:rPr>
            <w:noProof/>
            <w:webHidden/>
          </w:rPr>
          <w:tab/>
        </w:r>
        <w:r w:rsidR="00A64830">
          <w:rPr>
            <w:noProof/>
            <w:webHidden/>
          </w:rPr>
          <w:fldChar w:fldCharType="begin"/>
        </w:r>
        <w:r w:rsidR="00A64830">
          <w:rPr>
            <w:noProof/>
            <w:webHidden/>
          </w:rPr>
          <w:instrText xml:space="preserve"> PAGEREF _Toc395604444 \h </w:instrText>
        </w:r>
        <w:r w:rsidR="00A64830">
          <w:rPr>
            <w:noProof/>
            <w:webHidden/>
          </w:rPr>
        </w:r>
        <w:r w:rsidR="00A64830">
          <w:rPr>
            <w:noProof/>
            <w:webHidden/>
          </w:rPr>
          <w:fldChar w:fldCharType="separate"/>
        </w:r>
        <w:r w:rsidR="00042677">
          <w:rPr>
            <w:noProof/>
            <w:webHidden/>
          </w:rPr>
          <w:t>5</w:t>
        </w:r>
        <w:r w:rsidR="00A64830">
          <w:rPr>
            <w:noProof/>
            <w:webHidden/>
          </w:rPr>
          <w:fldChar w:fldCharType="end"/>
        </w:r>
      </w:hyperlink>
    </w:p>
    <w:p w:rsidR="00A64830" w:rsidRDefault="000F30C0" w:rsidP="00334983">
      <w:pPr>
        <w:pStyle w:val="TOC4"/>
        <w:tabs>
          <w:tab w:val="left" w:pos="1200"/>
          <w:tab w:val="right" w:leader="dot" w:pos="9350"/>
        </w:tabs>
        <w:spacing w:after="0"/>
        <w:rPr>
          <w:rFonts w:asciiTheme="minorHAnsi" w:eastAsiaTheme="minorEastAsia" w:hAnsiTheme="minorHAnsi" w:cstheme="minorBidi"/>
          <w:noProof/>
          <w:sz w:val="22"/>
          <w:szCs w:val="22"/>
        </w:rPr>
      </w:pPr>
      <w:hyperlink w:anchor="_Toc395604445" w:history="1">
        <w:r w:rsidR="00A64830" w:rsidRPr="00965590">
          <w:rPr>
            <w:rStyle w:val="Hyperlink"/>
            <w:noProof/>
          </w:rPr>
          <w:t>d.</w:t>
        </w:r>
        <w:r w:rsidR="00A64830">
          <w:rPr>
            <w:rFonts w:asciiTheme="minorHAnsi" w:eastAsiaTheme="minorEastAsia" w:hAnsiTheme="minorHAnsi" w:cstheme="minorBidi"/>
            <w:noProof/>
            <w:sz w:val="22"/>
            <w:szCs w:val="22"/>
          </w:rPr>
          <w:tab/>
        </w:r>
        <w:r w:rsidR="00A64830" w:rsidRPr="00965590">
          <w:rPr>
            <w:rStyle w:val="Hyperlink"/>
            <w:noProof/>
          </w:rPr>
          <w:t>Board of Adjustment Decisions/Municipalities</w:t>
        </w:r>
        <w:r w:rsidR="00A64830">
          <w:rPr>
            <w:noProof/>
            <w:webHidden/>
          </w:rPr>
          <w:tab/>
        </w:r>
        <w:r w:rsidR="00A64830">
          <w:rPr>
            <w:noProof/>
            <w:webHidden/>
          </w:rPr>
          <w:fldChar w:fldCharType="begin"/>
        </w:r>
        <w:r w:rsidR="00A64830">
          <w:rPr>
            <w:noProof/>
            <w:webHidden/>
          </w:rPr>
          <w:instrText xml:space="preserve"> PAGEREF _Toc395604445 \h </w:instrText>
        </w:r>
        <w:r w:rsidR="00A64830">
          <w:rPr>
            <w:noProof/>
            <w:webHidden/>
          </w:rPr>
        </w:r>
        <w:r w:rsidR="00A64830">
          <w:rPr>
            <w:noProof/>
            <w:webHidden/>
          </w:rPr>
          <w:fldChar w:fldCharType="separate"/>
        </w:r>
        <w:r w:rsidR="00042677">
          <w:rPr>
            <w:noProof/>
            <w:webHidden/>
          </w:rPr>
          <w:t>5</w:t>
        </w:r>
        <w:r w:rsidR="00A64830">
          <w:rPr>
            <w:noProof/>
            <w:webHidden/>
          </w:rPr>
          <w:fldChar w:fldCharType="end"/>
        </w:r>
      </w:hyperlink>
    </w:p>
    <w:p w:rsidR="00A64830" w:rsidRDefault="000F30C0" w:rsidP="00334983">
      <w:pPr>
        <w:pStyle w:val="TOC5"/>
        <w:tabs>
          <w:tab w:val="left" w:pos="1540"/>
          <w:tab w:val="right" w:leader="dot" w:pos="9350"/>
        </w:tabs>
        <w:spacing w:after="0"/>
        <w:rPr>
          <w:rFonts w:asciiTheme="minorHAnsi" w:eastAsiaTheme="minorEastAsia" w:hAnsiTheme="minorHAnsi" w:cstheme="minorBidi"/>
          <w:noProof/>
          <w:sz w:val="22"/>
          <w:szCs w:val="22"/>
        </w:rPr>
      </w:pPr>
      <w:hyperlink w:anchor="_Toc395604446" w:history="1">
        <w:r w:rsidR="00A64830" w:rsidRPr="00965590">
          <w:rPr>
            <w:rStyle w:val="Hyperlink"/>
            <w:noProof/>
          </w:rPr>
          <w:t>(1)</w:t>
        </w:r>
        <w:r w:rsidR="00A64830">
          <w:rPr>
            <w:rFonts w:asciiTheme="minorHAnsi" w:eastAsiaTheme="minorEastAsia" w:hAnsiTheme="minorHAnsi" w:cstheme="minorBidi"/>
            <w:noProof/>
            <w:sz w:val="22"/>
            <w:szCs w:val="22"/>
          </w:rPr>
          <w:tab/>
        </w:r>
        <w:r w:rsidR="00A64830" w:rsidRPr="00965590">
          <w:rPr>
            <w:rStyle w:val="Hyperlink"/>
            <w:noProof/>
          </w:rPr>
          <w:t>Standard of Review</w:t>
        </w:r>
        <w:r w:rsidR="00A64830">
          <w:rPr>
            <w:noProof/>
            <w:webHidden/>
          </w:rPr>
          <w:tab/>
        </w:r>
        <w:r w:rsidR="00A64830">
          <w:rPr>
            <w:noProof/>
            <w:webHidden/>
          </w:rPr>
          <w:fldChar w:fldCharType="begin"/>
        </w:r>
        <w:r w:rsidR="00A64830">
          <w:rPr>
            <w:noProof/>
            <w:webHidden/>
          </w:rPr>
          <w:instrText xml:space="preserve"> PAGEREF _Toc395604446 \h </w:instrText>
        </w:r>
        <w:r w:rsidR="00A64830">
          <w:rPr>
            <w:noProof/>
            <w:webHidden/>
          </w:rPr>
        </w:r>
        <w:r w:rsidR="00A64830">
          <w:rPr>
            <w:noProof/>
            <w:webHidden/>
          </w:rPr>
          <w:fldChar w:fldCharType="separate"/>
        </w:r>
        <w:r w:rsidR="00042677">
          <w:rPr>
            <w:noProof/>
            <w:webHidden/>
          </w:rPr>
          <w:t>5</w:t>
        </w:r>
        <w:r w:rsidR="00A64830">
          <w:rPr>
            <w:noProof/>
            <w:webHidden/>
          </w:rPr>
          <w:fldChar w:fldCharType="end"/>
        </w:r>
      </w:hyperlink>
    </w:p>
    <w:p w:rsidR="00A64830" w:rsidRDefault="000F30C0" w:rsidP="00334983">
      <w:pPr>
        <w:pStyle w:val="TOC5"/>
        <w:tabs>
          <w:tab w:val="left" w:pos="1540"/>
          <w:tab w:val="right" w:leader="dot" w:pos="9350"/>
        </w:tabs>
        <w:spacing w:after="0"/>
        <w:rPr>
          <w:rFonts w:asciiTheme="minorHAnsi" w:eastAsiaTheme="minorEastAsia" w:hAnsiTheme="minorHAnsi" w:cstheme="minorBidi"/>
          <w:noProof/>
          <w:sz w:val="22"/>
          <w:szCs w:val="22"/>
        </w:rPr>
      </w:pPr>
      <w:hyperlink w:anchor="_Toc395604447" w:history="1">
        <w:r w:rsidR="00A64830" w:rsidRPr="00965590">
          <w:rPr>
            <w:rStyle w:val="Hyperlink"/>
            <w:noProof/>
          </w:rPr>
          <w:t>(2)</w:t>
        </w:r>
        <w:r w:rsidR="00A64830">
          <w:rPr>
            <w:rFonts w:asciiTheme="minorHAnsi" w:eastAsiaTheme="minorEastAsia" w:hAnsiTheme="minorHAnsi" w:cstheme="minorBidi"/>
            <w:noProof/>
            <w:sz w:val="22"/>
            <w:szCs w:val="22"/>
          </w:rPr>
          <w:tab/>
        </w:r>
        <w:r w:rsidR="00A64830" w:rsidRPr="00965590">
          <w:rPr>
            <w:rStyle w:val="Hyperlink"/>
            <w:noProof/>
          </w:rPr>
          <w:t>Scope of Review</w:t>
        </w:r>
        <w:r w:rsidR="00A64830">
          <w:rPr>
            <w:noProof/>
            <w:webHidden/>
          </w:rPr>
          <w:tab/>
        </w:r>
        <w:r w:rsidR="00A64830">
          <w:rPr>
            <w:noProof/>
            <w:webHidden/>
          </w:rPr>
          <w:fldChar w:fldCharType="begin"/>
        </w:r>
        <w:r w:rsidR="00A64830">
          <w:rPr>
            <w:noProof/>
            <w:webHidden/>
          </w:rPr>
          <w:instrText xml:space="preserve"> PAGEREF _Toc395604447 \h </w:instrText>
        </w:r>
        <w:r w:rsidR="00A64830">
          <w:rPr>
            <w:noProof/>
            <w:webHidden/>
          </w:rPr>
        </w:r>
        <w:r w:rsidR="00A64830">
          <w:rPr>
            <w:noProof/>
            <w:webHidden/>
          </w:rPr>
          <w:fldChar w:fldCharType="separate"/>
        </w:r>
        <w:r w:rsidR="00042677">
          <w:rPr>
            <w:noProof/>
            <w:webHidden/>
          </w:rPr>
          <w:t>6</w:t>
        </w:r>
        <w:r w:rsidR="00A64830">
          <w:rPr>
            <w:noProof/>
            <w:webHidden/>
          </w:rPr>
          <w:fldChar w:fldCharType="end"/>
        </w:r>
      </w:hyperlink>
    </w:p>
    <w:p w:rsidR="00A64830" w:rsidRDefault="000F30C0" w:rsidP="00334983">
      <w:pPr>
        <w:pStyle w:val="TOC4"/>
        <w:tabs>
          <w:tab w:val="left" w:pos="1200"/>
          <w:tab w:val="right" w:leader="dot" w:pos="9350"/>
        </w:tabs>
        <w:spacing w:after="0"/>
        <w:rPr>
          <w:rFonts w:asciiTheme="minorHAnsi" w:eastAsiaTheme="minorEastAsia" w:hAnsiTheme="minorHAnsi" w:cstheme="minorBidi"/>
          <w:noProof/>
          <w:sz w:val="22"/>
          <w:szCs w:val="22"/>
        </w:rPr>
      </w:pPr>
      <w:hyperlink w:anchor="_Toc395604448" w:history="1">
        <w:r w:rsidR="00A64830" w:rsidRPr="00965590">
          <w:rPr>
            <w:rStyle w:val="Hyperlink"/>
            <w:noProof/>
          </w:rPr>
          <w:t>e.</w:t>
        </w:r>
        <w:r w:rsidR="00A64830">
          <w:rPr>
            <w:rFonts w:asciiTheme="minorHAnsi" w:eastAsiaTheme="minorEastAsia" w:hAnsiTheme="minorHAnsi" w:cstheme="minorBidi"/>
            <w:noProof/>
            <w:sz w:val="22"/>
            <w:szCs w:val="22"/>
          </w:rPr>
          <w:tab/>
        </w:r>
        <w:r w:rsidR="00A64830" w:rsidRPr="00965590">
          <w:rPr>
            <w:rStyle w:val="Hyperlink"/>
            <w:noProof/>
          </w:rPr>
          <w:t>Attorney General Opinions</w:t>
        </w:r>
        <w:r w:rsidR="00A64830">
          <w:rPr>
            <w:noProof/>
            <w:webHidden/>
          </w:rPr>
          <w:tab/>
        </w:r>
        <w:r w:rsidR="00A64830">
          <w:rPr>
            <w:noProof/>
            <w:webHidden/>
          </w:rPr>
          <w:fldChar w:fldCharType="begin"/>
        </w:r>
        <w:r w:rsidR="00A64830">
          <w:rPr>
            <w:noProof/>
            <w:webHidden/>
          </w:rPr>
          <w:instrText xml:space="preserve"> PAGEREF _Toc395604448 \h </w:instrText>
        </w:r>
        <w:r w:rsidR="00A64830">
          <w:rPr>
            <w:noProof/>
            <w:webHidden/>
          </w:rPr>
        </w:r>
        <w:r w:rsidR="00A64830">
          <w:rPr>
            <w:noProof/>
            <w:webHidden/>
          </w:rPr>
          <w:fldChar w:fldCharType="separate"/>
        </w:r>
        <w:r w:rsidR="00042677">
          <w:rPr>
            <w:noProof/>
            <w:webHidden/>
          </w:rPr>
          <w:t>6</w:t>
        </w:r>
        <w:r w:rsidR="00A64830">
          <w:rPr>
            <w:noProof/>
            <w:webHidden/>
          </w:rPr>
          <w:fldChar w:fldCharType="end"/>
        </w:r>
      </w:hyperlink>
    </w:p>
    <w:p w:rsidR="00A64830" w:rsidRDefault="000F30C0" w:rsidP="00334983">
      <w:pPr>
        <w:pStyle w:val="TOC4"/>
        <w:tabs>
          <w:tab w:val="left" w:pos="1200"/>
          <w:tab w:val="right" w:leader="dot" w:pos="9350"/>
        </w:tabs>
        <w:spacing w:after="0"/>
        <w:rPr>
          <w:rFonts w:asciiTheme="minorHAnsi" w:eastAsiaTheme="minorEastAsia" w:hAnsiTheme="minorHAnsi" w:cstheme="minorBidi"/>
          <w:noProof/>
          <w:sz w:val="22"/>
          <w:szCs w:val="22"/>
        </w:rPr>
      </w:pPr>
      <w:hyperlink w:anchor="_Toc395604449" w:history="1">
        <w:r w:rsidR="00A64830" w:rsidRPr="00965590">
          <w:rPr>
            <w:rStyle w:val="Hyperlink"/>
            <w:noProof/>
          </w:rPr>
          <w:t>f.</w:t>
        </w:r>
        <w:r w:rsidR="00A64830">
          <w:rPr>
            <w:rFonts w:asciiTheme="minorHAnsi" w:eastAsiaTheme="minorEastAsia" w:hAnsiTheme="minorHAnsi" w:cstheme="minorBidi"/>
            <w:noProof/>
            <w:sz w:val="22"/>
            <w:szCs w:val="22"/>
          </w:rPr>
          <w:tab/>
        </w:r>
        <w:r w:rsidR="00A64830" w:rsidRPr="00965590">
          <w:rPr>
            <w:rStyle w:val="Hyperlink"/>
            <w:noProof/>
          </w:rPr>
          <w:t>Contracts</w:t>
        </w:r>
        <w:r w:rsidR="00A64830">
          <w:rPr>
            <w:noProof/>
            <w:webHidden/>
          </w:rPr>
          <w:tab/>
        </w:r>
        <w:r w:rsidR="00A64830">
          <w:rPr>
            <w:noProof/>
            <w:webHidden/>
          </w:rPr>
          <w:fldChar w:fldCharType="begin"/>
        </w:r>
        <w:r w:rsidR="00A64830">
          <w:rPr>
            <w:noProof/>
            <w:webHidden/>
          </w:rPr>
          <w:instrText xml:space="preserve"> PAGEREF _Toc395604449 \h </w:instrText>
        </w:r>
        <w:r w:rsidR="00A64830">
          <w:rPr>
            <w:noProof/>
            <w:webHidden/>
          </w:rPr>
        </w:r>
        <w:r w:rsidR="00A64830">
          <w:rPr>
            <w:noProof/>
            <w:webHidden/>
          </w:rPr>
          <w:fldChar w:fldCharType="separate"/>
        </w:r>
        <w:r w:rsidR="00042677">
          <w:rPr>
            <w:noProof/>
            <w:webHidden/>
          </w:rPr>
          <w:t>6</w:t>
        </w:r>
        <w:r w:rsidR="00A64830">
          <w:rPr>
            <w:noProof/>
            <w:webHidden/>
          </w:rPr>
          <w:fldChar w:fldCharType="end"/>
        </w:r>
      </w:hyperlink>
    </w:p>
    <w:p w:rsidR="00A64830" w:rsidRDefault="000F30C0" w:rsidP="00334983">
      <w:pPr>
        <w:pStyle w:val="TOC5"/>
        <w:tabs>
          <w:tab w:val="left" w:pos="1540"/>
          <w:tab w:val="right" w:leader="dot" w:pos="9350"/>
        </w:tabs>
        <w:spacing w:after="0"/>
        <w:rPr>
          <w:rFonts w:asciiTheme="minorHAnsi" w:eastAsiaTheme="minorEastAsia" w:hAnsiTheme="minorHAnsi" w:cstheme="minorBidi"/>
          <w:noProof/>
          <w:sz w:val="22"/>
          <w:szCs w:val="22"/>
        </w:rPr>
      </w:pPr>
      <w:hyperlink w:anchor="_Toc395604450" w:history="1">
        <w:r w:rsidR="00A64830" w:rsidRPr="00965590">
          <w:rPr>
            <w:rStyle w:val="Hyperlink"/>
            <w:noProof/>
          </w:rPr>
          <w:t>(1)</w:t>
        </w:r>
        <w:r w:rsidR="00A64830">
          <w:rPr>
            <w:rFonts w:asciiTheme="minorHAnsi" w:eastAsiaTheme="minorEastAsia" w:hAnsiTheme="minorHAnsi" w:cstheme="minorBidi"/>
            <w:noProof/>
            <w:sz w:val="22"/>
            <w:szCs w:val="22"/>
          </w:rPr>
          <w:tab/>
        </w:r>
        <w:r w:rsidR="00A64830" w:rsidRPr="00965590">
          <w:rPr>
            <w:rStyle w:val="Hyperlink"/>
            <w:noProof/>
          </w:rPr>
          <w:t>In General</w:t>
        </w:r>
        <w:r w:rsidR="00A64830">
          <w:rPr>
            <w:noProof/>
            <w:webHidden/>
          </w:rPr>
          <w:tab/>
        </w:r>
        <w:r w:rsidR="00A64830">
          <w:rPr>
            <w:noProof/>
            <w:webHidden/>
          </w:rPr>
          <w:fldChar w:fldCharType="begin"/>
        </w:r>
        <w:r w:rsidR="00A64830">
          <w:rPr>
            <w:noProof/>
            <w:webHidden/>
          </w:rPr>
          <w:instrText xml:space="preserve"> PAGEREF _Toc395604450 \h </w:instrText>
        </w:r>
        <w:r w:rsidR="00A64830">
          <w:rPr>
            <w:noProof/>
            <w:webHidden/>
          </w:rPr>
        </w:r>
        <w:r w:rsidR="00A64830">
          <w:rPr>
            <w:noProof/>
            <w:webHidden/>
          </w:rPr>
          <w:fldChar w:fldCharType="separate"/>
        </w:r>
        <w:r w:rsidR="00042677">
          <w:rPr>
            <w:noProof/>
            <w:webHidden/>
          </w:rPr>
          <w:t>6</w:t>
        </w:r>
        <w:r w:rsidR="00A64830">
          <w:rPr>
            <w:noProof/>
            <w:webHidden/>
          </w:rPr>
          <w:fldChar w:fldCharType="end"/>
        </w:r>
      </w:hyperlink>
    </w:p>
    <w:p w:rsidR="00A64830" w:rsidRDefault="000F30C0" w:rsidP="00334983">
      <w:pPr>
        <w:pStyle w:val="TOC6"/>
        <w:tabs>
          <w:tab w:val="left" w:pos="1760"/>
          <w:tab w:val="right" w:leader="dot" w:pos="9350"/>
        </w:tabs>
        <w:spacing w:after="0"/>
        <w:rPr>
          <w:rFonts w:asciiTheme="minorHAnsi" w:eastAsiaTheme="minorEastAsia" w:hAnsiTheme="minorHAnsi" w:cstheme="minorBidi"/>
          <w:noProof/>
          <w:sz w:val="22"/>
          <w:szCs w:val="22"/>
        </w:rPr>
      </w:pPr>
      <w:hyperlink w:anchor="_Toc395604451" w:history="1">
        <w:r w:rsidR="00A64830" w:rsidRPr="00965590">
          <w:rPr>
            <w:rStyle w:val="Hyperlink"/>
            <w:noProof/>
          </w:rPr>
          <w:t>(a)</w:t>
        </w:r>
        <w:r w:rsidR="00A64830">
          <w:rPr>
            <w:rFonts w:asciiTheme="minorHAnsi" w:eastAsiaTheme="minorEastAsia" w:hAnsiTheme="minorHAnsi" w:cstheme="minorBidi"/>
            <w:noProof/>
            <w:sz w:val="22"/>
            <w:szCs w:val="22"/>
          </w:rPr>
          <w:tab/>
        </w:r>
        <w:r w:rsidR="00A64830" w:rsidRPr="00965590">
          <w:rPr>
            <w:rStyle w:val="Hyperlink"/>
            <w:noProof/>
          </w:rPr>
          <w:t>Ambiguous Contracts</w:t>
        </w:r>
        <w:r w:rsidR="00A64830">
          <w:rPr>
            <w:noProof/>
            <w:webHidden/>
          </w:rPr>
          <w:tab/>
        </w:r>
        <w:r w:rsidR="00A64830">
          <w:rPr>
            <w:noProof/>
            <w:webHidden/>
          </w:rPr>
          <w:fldChar w:fldCharType="begin"/>
        </w:r>
        <w:r w:rsidR="00A64830">
          <w:rPr>
            <w:noProof/>
            <w:webHidden/>
          </w:rPr>
          <w:instrText xml:space="preserve"> PAGEREF _Toc395604451 \h </w:instrText>
        </w:r>
        <w:r w:rsidR="00A64830">
          <w:rPr>
            <w:noProof/>
            <w:webHidden/>
          </w:rPr>
        </w:r>
        <w:r w:rsidR="00A64830">
          <w:rPr>
            <w:noProof/>
            <w:webHidden/>
          </w:rPr>
          <w:fldChar w:fldCharType="separate"/>
        </w:r>
        <w:r w:rsidR="00042677">
          <w:rPr>
            <w:noProof/>
            <w:webHidden/>
          </w:rPr>
          <w:t>6</w:t>
        </w:r>
        <w:r w:rsidR="00A64830">
          <w:rPr>
            <w:noProof/>
            <w:webHidden/>
          </w:rPr>
          <w:fldChar w:fldCharType="end"/>
        </w:r>
      </w:hyperlink>
    </w:p>
    <w:p w:rsidR="00A64830" w:rsidRDefault="000F30C0" w:rsidP="00334983">
      <w:pPr>
        <w:pStyle w:val="TOC6"/>
        <w:tabs>
          <w:tab w:val="left" w:pos="1760"/>
          <w:tab w:val="right" w:leader="dot" w:pos="9350"/>
        </w:tabs>
        <w:spacing w:after="0"/>
        <w:rPr>
          <w:rFonts w:asciiTheme="minorHAnsi" w:eastAsiaTheme="minorEastAsia" w:hAnsiTheme="minorHAnsi" w:cstheme="minorBidi"/>
          <w:noProof/>
          <w:sz w:val="22"/>
          <w:szCs w:val="22"/>
        </w:rPr>
      </w:pPr>
      <w:hyperlink w:anchor="_Toc395604452" w:history="1">
        <w:r w:rsidR="00A64830" w:rsidRPr="00965590">
          <w:rPr>
            <w:rStyle w:val="Hyperlink"/>
            <w:noProof/>
          </w:rPr>
          <w:t>(b)</w:t>
        </w:r>
        <w:r w:rsidR="00A64830">
          <w:rPr>
            <w:rFonts w:asciiTheme="minorHAnsi" w:eastAsiaTheme="minorEastAsia" w:hAnsiTheme="minorHAnsi" w:cstheme="minorBidi"/>
            <w:noProof/>
            <w:sz w:val="22"/>
            <w:szCs w:val="22"/>
          </w:rPr>
          <w:tab/>
        </w:r>
        <w:r w:rsidR="00A64830" w:rsidRPr="00965590">
          <w:rPr>
            <w:rStyle w:val="Hyperlink"/>
            <w:noProof/>
          </w:rPr>
          <w:t>Unambiguous Contracts</w:t>
        </w:r>
        <w:r w:rsidR="00A64830">
          <w:rPr>
            <w:noProof/>
            <w:webHidden/>
          </w:rPr>
          <w:tab/>
        </w:r>
        <w:r w:rsidR="00A64830">
          <w:rPr>
            <w:noProof/>
            <w:webHidden/>
          </w:rPr>
          <w:fldChar w:fldCharType="begin"/>
        </w:r>
        <w:r w:rsidR="00A64830">
          <w:rPr>
            <w:noProof/>
            <w:webHidden/>
          </w:rPr>
          <w:instrText xml:space="preserve"> PAGEREF _Toc395604452 \h </w:instrText>
        </w:r>
        <w:r w:rsidR="00A64830">
          <w:rPr>
            <w:noProof/>
            <w:webHidden/>
          </w:rPr>
        </w:r>
        <w:r w:rsidR="00A64830">
          <w:rPr>
            <w:noProof/>
            <w:webHidden/>
          </w:rPr>
          <w:fldChar w:fldCharType="separate"/>
        </w:r>
        <w:r w:rsidR="00042677">
          <w:rPr>
            <w:noProof/>
            <w:webHidden/>
          </w:rPr>
          <w:t>7</w:t>
        </w:r>
        <w:r w:rsidR="00A64830">
          <w:rPr>
            <w:noProof/>
            <w:webHidden/>
          </w:rPr>
          <w:fldChar w:fldCharType="end"/>
        </w:r>
      </w:hyperlink>
    </w:p>
    <w:p w:rsidR="00A64830" w:rsidRDefault="000F30C0" w:rsidP="00334983">
      <w:pPr>
        <w:pStyle w:val="TOC5"/>
        <w:tabs>
          <w:tab w:val="left" w:pos="1540"/>
          <w:tab w:val="right" w:leader="dot" w:pos="9350"/>
        </w:tabs>
        <w:spacing w:after="0"/>
        <w:rPr>
          <w:rFonts w:asciiTheme="minorHAnsi" w:eastAsiaTheme="minorEastAsia" w:hAnsiTheme="minorHAnsi" w:cstheme="minorBidi"/>
          <w:noProof/>
          <w:sz w:val="22"/>
          <w:szCs w:val="22"/>
        </w:rPr>
      </w:pPr>
      <w:hyperlink w:anchor="_Toc395604453" w:history="1">
        <w:r w:rsidR="00A64830" w:rsidRPr="00965590">
          <w:rPr>
            <w:rStyle w:val="Hyperlink"/>
            <w:noProof/>
          </w:rPr>
          <w:t>(2)</w:t>
        </w:r>
        <w:r w:rsidR="00A64830">
          <w:rPr>
            <w:rFonts w:asciiTheme="minorHAnsi" w:eastAsiaTheme="minorEastAsia" w:hAnsiTheme="minorHAnsi" w:cstheme="minorBidi"/>
            <w:noProof/>
            <w:sz w:val="22"/>
            <w:szCs w:val="22"/>
          </w:rPr>
          <w:tab/>
        </w:r>
        <w:r w:rsidR="00A64830" w:rsidRPr="00965590">
          <w:rPr>
            <w:rStyle w:val="Hyperlink"/>
            <w:noProof/>
          </w:rPr>
          <w:t>Specific Types of Contracts</w:t>
        </w:r>
        <w:r w:rsidR="00A64830">
          <w:rPr>
            <w:noProof/>
            <w:webHidden/>
          </w:rPr>
          <w:tab/>
        </w:r>
        <w:r w:rsidR="00A64830">
          <w:rPr>
            <w:noProof/>
            <w:webHidden/>
          </w:rPr>
          <w:fldChar w:fldCharType="begin"/>
        </w:r>
        <w:r w:rsidR="00A64830">
          <w:rPr>
            <w:noProof/>
            <w:webHidden/>
          </w:rPr>
          <w:instrText xml:space="preserve"> PAGEREF _Toc395604453 \h </w:instrText>
        </w:r>
        <w:r w:rsidR="00A64830">
          <w:rPr>
            <w:noProof/>
            <w:webHidden/>
          </w:rPr>
        </w:r>
        <w:r w:rsidR="00A64830">
          <w:rPr>
            <w:noProof/>
            <w:webHidden/>
          </w:rPr>
          <w:fldChar w:fldCharType="separate"/>
        </w:r>
        <w:r w:rsidR="00042677">
          <w:rPr>
            <w:noProof/>
            <w:webHidden/>
          </w:rPr>
          <w:t>7</w:t>
        </w:r>
        <w:r w:rsidR="00A64830">
          <w:rPr>
            <w:noProof/>
            <w:webHidden/>
          </w:rPr>
          <w:fldChar w:fldCharType="end"/>
        </w:r>
      </w:hyperlink>
    </w:p>
    <w:p w:rsidR="00A64830" w:rsidRDefault="000F30C0" w:rsidP="00334983">
      <w:pPr>
        <w:pStyle w:val="TOC6"/>
        <w:tabs>
          <w:tab w:val="left" w:pos="1760"/>
          <w:tab w:val="right" w:leader="dot" w:pos="9350"/>
        </w:tabs>
        <w:spacing w:after="0"/>
        <w:rPr>
          <w:rFonts w:asciiTheme="minorHAnsi" w:eastAsiaTheme="minorEastAsia" w:hAnsiTheme="minorHAnsi" w:cstheme="minorBidi"/>
          <w:noProof/>
          <w:sz w:val="22"/>
          <w:szCs w:val="22"/>
        </w:rPr>
      </w:pPr>
      <w:hyperlink w:anchor="_Toc395604454" w:history="1">
        <w:r w:rsidR="00A64830" w:rsidRPr="00965590">
          <w:rPr>
            <w:rStyle w:val="Hyperlink"/>
            <w:noProof/>
          </w:rPr>
          <w:t>(a)</w:t>
        </w:r>
        <w:r w:rsidR="00A64830">
          <w:rPr>
            <w:rFonts w:asciiTheme="minorHAnsi" w:eastAsiaTheme="minorEastAsia" w:hAnsiTheme="minorHAnsi" w:cstheme="minorBidi"/>
            <w:noProof/>
            <w:sz w:val="22"/>
            <w:szCs w:val="22"/>
          </w:rPr>
          <w:tab/>
        </w:r>
        <w:r w:rsidR="00A64830" w:rsidRPr="00965590">
          <w:rPr>
            <w:rStyle w:val="Hyperlink"/>
            <w:noProof/>
          </w:rPr>
          <w:t>Employment Contracts</w:t>
        </w:r>
        <w:r w:rsidR="00A64830">
          <w:rPr>
            <w:noProof/>
            <w:webHidden/>
          </w:rPr>
          <w:tab/>
        </w:r>
        <w:r w:rsidR="00A64830">
          <w:rPr>
            <w:noProof/>
            <w:webHidden/>
          </w:rPr>
          <w:fldChar w:fldCharType="begin"/>
        </w:r>
        <w:r w:rsidR="00A64830">
          <w:rPr>
            <w:noProof/>
            <w:webHidden/>
          </w:rPr>
          <w:instrText xml:space="preserve"> PAGEREF _Toc395604454 \h </w:instrText>
        </w:r>
        <w:r w:rsidR="00A64830">
          <w:rPr>
            <w:noProof/>
            <w:webHidden/>
          </w:rPr>
        </w:r>
        <w:r w:rsidR="00A64830">
          <w:rPr>
            <w:noProof/>
            <w:webHidden/>
          </w:rPr>
          <w:fldChar w:fldCharType="separate"/>
        </w:r>
        <w:r w:rsidR="00042677">
          <w:rPr>
            <w:noProof/>
            <w:webHidden/>
          </w:rPr>
          <w:t>7</w:t>
        </w:r>
        <w:r w:rsidR="00A64830">
          <w:rPr>
            <w:noProof/>
            <w:webHidden/>
          </w:rPr>
          <w:fldChar w:fldCharType="end"/>
        </w:r>
      </w:hyperlink>
    </w:p>
    <w:p w:rsidR="00A64830" w:rsidRDefault="000F30C0" w:rsidP="00334983">
      <w:pPr>
        <w:pStyle w:val="TOC6"/>
        <w:tabs>
          <w:tab w:val="left" w:pos="1760"/>
          <w:tab w:val="right" w:leader="dot" w:pos="9350"/>
        </w:tabs>
        <w:spacing w:after="0"/>
        <w:rPr>
          <w:rFonts w:asciiTheme="minorHAnsi" w:eastAsiaTheme="minorEastAsia" w:hAnsiTheme="minorHAnsi" w:cstheme="minorBidi"/>
          <w:noProof/>
          <w:sz w:val="22"/>
          <w:szCs w:val="22"/>
        </w:rPr>
      </w:pPr>
      <w:hyperlink w:anchor="_Toc395604455" w:history="1">
        <w:r w:rsidR="00A64830" w:rsidRPr="00965590">
          <w:rPr>
            <w:rStyle w:val="Hyperlink"/>
            <w:noProof/>
          </w:rPr>
          <w:t>(b)</w:t>
        </w:r>
        <w:r w:rsidR="00A64830">
          <w:rPr>
            <w:rFonts w:asciiTheme="minorHAnsi" w:eastAsiaTheme="minorEastAsia" w:hAnsiTheme="minorHAnsi" w:cstheme="minorBidi"/>
            <w:noProof/>
            <w:sz w:val="22"/>
            <w:szCs w:val="22"/>
          </w:rPr>
          <w:tab/>
        </w:r>
        <w:r w:rsidR="00A64830" w:rsidRPr="00965590">
          <w:rPr>
            <w:rStyle w:val="Hyperlink"/>
            <w:noProof/>
          </w:rPr>
          <w:t>Insurance Contracts</w:t>
        </w:r>
        <w:r w:rsidR="00A64830">
          <w:rPr>
            <w:noProof/>
            <w:webHidden/>
          </w:rPr>
          <w:tab/>
        </w:r>
        <w:r w:rsidR="00A64830">
          <w:rPr>
            <w:noProof/>
            <w:webHidden/>
          </w:rPr>
          <w:fldChar w:fldCharType="begin"/>
        </w:r>
        <w:r w:rsidR="00A64830">
          <w:rPr>
            <w:noProof/>
            <w:webHidden/>
          </w:rPr>
          <w:instrText xml:space="preserve"> PAGEREF _Toc395604455 \h </w:instrText>
        </w:r>
        <w:r w:rsidR="00A64830">
          <w:rPr>
            <w:noProof/>
            <w:webHidden/>
          </w:rPr>
        </w:r>
        <w:r w:rsidR="00A64830">
          <w:rPr>
            <w:noProof/>
            <w:webHidden/>
          </w:rPr>
          <w:fldChar w:fldCharType="separate"/>
        </w:r>
        <w:r w:rsidR="00042677">
          <w:rPr>
            <w:noProof/>
            <w:webHidden/>
          </w:rPr>
          <w:t>7</w:t>
        </w:r>
        <w:r w:rsidR="00A64830">
          <w:rPr>
            <w:noProof/>
            <w:webHidden/>
          </w:rPr>
          <w:fldChar w:fldCharType="end"/>
        </w:r>
      </w:hyperlink>
    </w:p>
    <w:p w:rsidR="00A64830" w:rsidRDefault="000F30C0" w:rsidP="00334983">
      <w:pPr>
        <w:pStyle w:val="TOC6"/>
        <w:tabs>
          <w:tab w:val="left" w:pos="1760"/>
          <w:tab w:val="right" w:leader="dot" w:pos="9350"/>
        </w:tabs>
        <w:spacing w:after="0"/>
        <w:rPr>
          <w:rStyle w:val="Hyperlink"/>
          <w:noProof/>
        </w:rPr>
      </w:pPr>
      <w:hyperlink w:anchor="_Toc395604456" w:history="1">
        <w:r w:rsidR="00A64830" w:rsidRPr="00965590">
          <w:rPr>
            <w:rStyle w:val="Hyperlink"/>
            <w:noProof/>
          </w:rPr>
          <w:t>(c)</w:t>
        </w:r>
        <w:r w:rsidR="00A64830">
          <w:rPr>
            <w:rFonts w:asciiTheme="minorHAnsi" w:eastAsiaTheme="minorEastAsia" w:hAnsiTheme="minorHAnsi" w:cstheme="minorBidi"/>
            <w:noProof/>
            <w:sz w:val="22"/>
            <w:szCs w:val="22"/>
          </w:rPr>
          <w:tab/>
        </w:r>
        <w:r w:rsidR="00A64830" w:rsidRPr="00965590">
          <w:rPr>
            <w:rStyle w:val="Hyperlink"/>
            <w:noProof/>
          </w:rPr>
          <w:t>Settlement Agreements</w:t>
        </w:r>
        <w:r w:rsidR="00A64830">
          <w:rPr>
            <w:noProof/>
            <w:webHidden/>
          </w:rPr>
          <w:tab/>
        </w:r>
        <w:r w:rsidR="00A64830">
          <w:rPr>
            <w:noProof/>
            <w:webHidden/>
          </w:rPr>
          <w:fldChar w:fldCharType="begin"/>
        </w:r>
        <w:r w:rsidR="00A64830">
          <w:rPr>
            <w:noProof/>
            <w:webHidden/>
          </w:rPr>
          <w:instrText xml:space="preserve"> PAGEREF _Toc395604456 \h </w:instrText>
        </w:r>
        <w:r w:rsidR="00A64830">
          <w:rPr>
            <w:noProof/>
            <w:webHidden/>
          </w:rPr>
        </w:r>
        <w:r w:rsidR="00A64830">
          <w:rPr>
            <w:noProof/>
            <w:webHidden/>
          </w:rPr>
          <w:fldChar w:fldCharType="separate"/>
        </w:r>
        <w:r w:rsidR="00042677">
          <w:rPr>
            <w:noProof/>
            <w:webHidden/>
          </w:rPr>
          <w:t>8</w:t>
        </w:r>
        <w:r w:rsidR="00A64830">
          <w:rPr>
            <w:noProof/>
            <w:webHidden/>
          </w:rPr>
          <w:fldChar w:fldCharType="end"/>
        </w:r>
      </w:hyperlink>
    </w:p>
    <w:p w:rsidR="00A64830" w:rsidRPr="00A64830" w:rsidRDefault="00A64830" w:rsidP="00334983">
      <w:pPr>
        <w:rPr>
          <w:rFonts w:eastAsiaTheme="minorEastAsia"/>
        </w:rPr>
      </w:pPr>
    </w:p>
    <w:p w:rsidR="00A64830" w:rsidRDefault="000F30C0" w:rsidP="00334983">
      <w:pPr>
        <w:pStyle w:val="TOC2"/>
        <w:rPr>
          <w:rFonts w:asciiTheme="minorHAnsi" w:eastAsiaTheme="minorEastAsia" w:hAnsiTheme="minorHAnsi" w:cstheme="minorBidi"/>
          <w:noProof/>
          <w:sz w:val="22"/>
          <w:szCs w:val="22"/>
        </w:rPr>
      </w:pPr>
      <w:hyperlink w:anchor="_Toc395604457" w:history="1">
        <w:r w:rsidR="00A64830" w:rsidRPr="00965590">
          <w:rPr>
            <w:rStyle w:val="Hyperlink"/>
            <w:noProof/>
          </w:rPr>
          <w:t>B.</w:t>
        </w:r>
        <w:r w:rsidR="00A64830">
          <w:rPr>
            <w:rFonts w:asciiTheme="minorHAnsi" w:eastAsiaTheme="minorEastAsia" w:hAnsiTheme="minorHAnsi" w:cstheme="minorBidi"/>
            <w:noProof/>
            <w:sz w:val="22"/>
            <w:szCs w:val="22"/>
          </w:rPr>
          <w:tab/>
        </w:r>
        <w:r w:rsidR="00A64830" w:rsidRPr="00965590">
          <w:rPr>
            <w:rStyle w:val="Hyperlink"/>
            <w:noProof/>
          </w:rPr>
          <w:t>PRETRIAL MATTERS</w:t>
        </w:r>
        <w:r w:rsidR="00A64830">
          <w:rPr>
            <w:noProof/>
            <w:webHidden/>
          </w:rPr>
          <w:tab/>
        </w:r>
        <w:r w:rsidR="00A64830">
          <w:rPr>
            <w:noProof/>
            <w:webHidden/>
          </w:rPr>
          <w:fldChar w:fldCharType="begin"/>
        </w:r>
        <w:r w:rsidR="00A64830">
          <w:rPr>
            <w:noProof/>
            <w:webHidden/>
          </w:rPr>
          <w:instrText xml:space="preserve"> PAGEREF _Toc395604457 \h </w:instrText>
        </w:r>
        <w:r w:rsidR="00A64830">
          <w:rPr>
            <w:noProof/>
            <w:webHidden/>
          </w:rPr>
        </w:r>
        <w:r w:rsidR="00A64830">
          <w:rPr>
            <w:noProof/>
            <w:webHidden/>
          </w:rPr>
          <w:fldChar w:fldCharType="separate"/>
        </w:r>
        <w:r w:rsidR="00042677">
          <w:rPr>
            <w:noProof/>
            <w:webHidden/>
          </w:rPr>
          <w:t>8</w:t>
        </w:r>
        <w:r w:rsidR="00A64830">
          <w:rPr>
            <w:noProof/>
            <w:webHidden/>
          </w:rPr>
          <w:fldChar w:fldCharType="end"/>
        </w:r>
      </w:hyperlink>
    </w:p>
    <w:p w:rsidR="00A64830" w:rsidRDefault="000F30C0" w:rsidP="00334983">
      <w:pPr>
        <w:pStyle w:val="TOC3"/>
        <w:rPr>
          <w:rFonts w:asciiTheme="minorHAnsi" w:eastAsiaTheme="minorEastAsia" w:hAnsiTheme="minorHAnsi" w:cstheme="minorBidi"/>
          <w:noProof/>
          <w:sz w:val="22"/>
          <w:szCs w:val="22"/>
        </w:rPr>
      </w:pPr>
      <w:hyperlink w:anchor="_Toc395604458" w:history="1">
        <w:r w:rsidR="00A64830" w:rsidRPr="00965590">
          <w:rPr>
            <w:rStyle w:val="Hyperlink"/>
            <w:noProof/>
          </w:rPr>
          <w:t>1.</w:t>
        </w:r>
        <w:r w:rsidR="00A64830">
          <w:rPr>
            <w:rFonts w:asciiTheme="minorHAnsi" w:eastAsiaTheme="minorEastAsia" w:hAnsiTheme="minorHAnsi" w:cstheme="minorBidi"/>
            <w:noProof/>
            <w:sz w:val="22"/>
            <w:szCs w:val="22"/>
          </w:rPr>
          <w:tab/>
        </w:r>
        <w:r w:rsidR="00A64830" w:rsidRPr="00965590">
          <w:rPr>
            <w:rStyle w:val="Hyperlink"/>
            <w:noProof/>
          </w:rPr>
          <w:t>Service of Process</w:t>
        </w:r>
        <w:r w:rsidR="00A64830">
          <w:rPr>
            <w:noProof/>
            <w:webHidden/>
          </w:rPr>
          <w:tab/>
        </w:r>
        <w:r w:rsidR="00A64830">
          <w:rPr>
            <w:noProof/>
            <w:webHidden/>
          </w:rPr>
          <w:fldChar w:fldCharType="begin"/>
        </w:r>
        <w:r w:rsidR="00A64830">
          <w:rPr>
            <w:noProof/>
            <w:webHidden/>
          </w:rPr>
          <w:instrText xml:space="preserve"> PAGEREF _Toc395604458 \h </w:instrText>
        </w:r>
        <w:r w:rsidR="00A64830">
          <w:rPr>
            <w:noProof/>
            <w:webHidden/>
          </w:rPr>
        </w:r>
        <w:r w:rsidR="00A64830">
          <w:rPr>
            <w:noProof/>
            <w:webHidden/>
          </w:rPr>
          <w:fldChar w:fldCharType="separate"/>
        </w:r>
        <w:r w:rsidR="00042677">
          <w:rPr>
            <w:noProof/>
            <w:webHidden/>
          </w:rPr>
          <w:t>8</w:t>
        </w:r>
        <w:r w:rsidR="00A64830">
          <w:rPr>
            <w:noProof/>
            <w:webHidden/>
          </w:rPr>
          <w:fldChar w:fldCharType="end"/>
        </w:r>
      </w:hyperlink>
    </w:p>
    <w:p w:rsidR="00A64830" w:rsidRDefault="000F30C0" w:rsidP="00334983">
      <w:pPr>
        <w:pStyle w:val="TOC3"/>
        <w:rPr>
          <w:rFonts w:asciiTheme="minorHAnsi" w:eastAsiaTheme="minorEastAsia" w:hAnsiTheme="minorHAnsi" w:cstheme="minorBidi"/>
          <w:noProof/>
          <w:sz w:val="22"/>
          <w:szCs w:val="22"/>
        </w:rPr>
      </w:pPr>
      <w:hyperlink w:anchor="_Toc395604459" w:history="1">
        <w:r w:rsidR="00A64830" w:rsidRPr="00965590">
          <w:rPr>
            <w:rStyle w:val="Hyperlink"/>
            <w:noProof/>
          </w:rPr>
          <w:t>2.</w:t>
        </w:r>
        <w:r w:rsidR="00A64830">
          <w:rPr>
            <w:rFonts w:asciiTheme="minorHAnsi" w:eastAsiaTheme="minorEastAsia" w:hAnsiTheme="minorHAnsi" w:cstheme="minorBidi"/>
            <w:noProof/>
            <w:sz w:val="22"/>
            <w:szCs w:val="22"/>
          </w:rPr>
          <w:tab/>
        </w:r>
        <w:r w:rsidR="00A64830" w:rsidRPr="00965590">
          <w:rPr>
            <w:rStyle w:val="Hyperlink"/>
            <w:noProof/>
          </w:rPr>
          <w:t>Amendment of Pleadings</w:t>
        </w:r>
        <w:r w:rsidR="00A64830">
          <w:rPr>
            <w:noProof/>
            <w:webHidden/>
          </w:rPr>
          <w:tab/>
        </w:r>
        <w:r w:rsidR="00A64830">
          <w:rPr>
            <w:noProof/>
            <w:webHidden/>
          </w:rPr>
          <w:fldChar w:fldCharType="begin"/>
        </w:r>
        <w:r w:rsidR="00A64830">
          <w:rPr>
            <w:noProof/>
            <w:webHidden/>
          </w:rPr>
          <w:instrText xml:space="preserve"> PAGEREF _Toc395604459 \h </w:instrText>
        </w:r>
        <w:r w:rsidR="00A64830">
          <w:rPr>
            <w:noProof/>
            <w:webHidden/>
          </w:rPr>
        </w:r>
        <w:r w:rsidR="00A64830">
          <w:rPr>
            <w:noProof/>
            <w:webHidden/>
          </w:rPr>
          <w:fldChar w:fldCharType="separate"/>
        </w:r>
        <w:r w:rsidR="00042677">
          <w:rPr>
            <w:noProof/>
            <w:webHidden/>
          </w:rPr>
          <w:t>8</w:t>
        </w:r>
        <w:r w:rsidR="00A64830">
          <w:rPr>
            <w:noProof/>
            <w:webHidden/>
          </w:rPr>
          <w:fldChar w:fldCharType="end"/>
        </w:r>
      </w:hyperlink>
    </w:p>
    <w:p w:rsidR="00A64830" w:rsidRDefault="000F30C0" w:rsidP="00334983">
      <w:pPr>
        <w:pStyle w:val="TOC3"/>
        <w:rPr>
          <w:rFonts w:asciiTheme="minorHAnsi" w:eastAsiaTheme="minorEastAsia" w:hAnsiTheme="minorHAnsi" w:cstheme="minorBidi"/>
          <w:noProof/>
          <w:sz w:val="22"/>
          <w:szCs w:val="22"/>
        </w:rPr>
      </w:pPr>
      <w:hyperlink w:anchor="_Toc395604460" w:history="1">
        <w:r w:rsidR="00A64830" w:rsidRPr="00965590">
          <w:rPr>
            <w:rStyle w:val="Hyperlink"/>
            <w:noProof/>
          </w:rPr>
          <w:t>3.</w:t>
        </w:r>
        <w:r w:rsidR="00A64830">
          <w:rPr>
            <w:rFonts w:asciiTheme="minorHAnsi" w:eastAsiaTheme="minorEastAsia" w:hAnsiTheme="minorHAnsi" w:cstheme="minorBidi"/>
            <w:noProof/>
            <w:sz w:val="22"/>
            <w:szCs w:val="22"/>
          </w:rPr>
          <w:tab/>
        </w:r>
        <w:r w:rsidR="00A64830" w:rsidRPr="00965590">
          <w:rPr>
            <w:rStyle w:val="Hyperlink"/>
            <w:noProof/>
          </w:rPr>
          <w:t>Discovery Issues</w:t>
        </w:r>
        <w:r w:rsidR="00A64830">
          <w:rPr>
            <w:noProof/>
            <w:webHidden/>
          </w:rPr>
          <w:tab/>
        </w:r>
        <w:r w:rsidR="00A64830">
          <w:rPr>
            <w:noProof/>
            <w:webHidden/>
          </w:rPr>
          <w:fldChar w:fldCharType="begin"/>
        </w:r>
        <w:r w:rsidR="00A64830">
          <w:rPr>
            <w:noProof/>
            <w:webHidden/>
          </w:rPr>
          <w:instrText xml:space="preserve"> PAGEREF _Toc395604460 \h </w:instrText>
        </w:r>
        <w:r w:rsidR="00A64830">
          <w:rPr>
            <w:noProof/>
            <w:webHidden/>
          </w:rPr>
        </w:r>
        <w:r w:rsidR="00A64830">
          <w:rPr>
            <w:noProof/>
            <w:webHidden/>
          </w:rPr>
          <w:fldChar w:fldCharType="separate"/>
        </w:r>
        <w:r w:rsidR="00042677">
          <w:rPr>
            <w:noProof/>
            <w:webHidden/>
          </w:rPr>
          <w:t>9</w:t>
        </w:r>
        <w:r w:rsidR="00A64830">
          <w:rPr>
            <w:noProof/>
            <w:webHidden/>
          </w:rPr>
          <w:fldChar w:fldCharType="end"/>
        </w:r>
      </w:hyperlink>
    </w:p>
    <w:p w:rsidR="00A64830" w:rsidRDefault="000F30C0" w:rsidP="00334983">
      <w:pPr>
        <w:pStyle w:val="TOC3"/>
        <w:rPr>
          <w:rFonts w:asciiTheme="minorHAnsi" w:eastAsiaTheme="minorEastAsia" w:hAnsiTheme="minorHAnsi" w:cstheme="minorBidi"/>
          <w:noProof/>
          <w:sz w:val="22"/>
          <w:szCs w:val="22"/>
        </w:rPr>
      </w:pPr>
      <w:hyperlink w:anchor="_Toc395604461" w:history="1">
        <w:r w:rsidR="00A64830" w:rsidRPr="00965590">
          <w:rPr>
            <w:rStyle w:val="Hyperlink"/>
            <w:noProof/>
          </w:rPr>
          <w:t>4.</w:t>
        </w:r>
        <w:r w:rsidR="00A64830">
          <w:rPr>
            <w:rFonts w:asciiTheme="minorHAnsi" w:eastAsiaTheme="minorEastAsia" w:hAnsiTheme="minorHAnsi" w:cstheme="minorBidi"/>
            <w:noProof/>
            <w:sz w:val="22"/>
            <w:szCs w:val="22"/>
          </w:rPr>
          <w:tab/>
        </w:r>
        <w:r w:rsidR="00A64830" w:rsidRPr="00965590">
          <w:rPr>
            <w:rStyle w:val="Hyperlink"/>
            <w:noProof/>
          </w:rPr>
          <w:t>Intervention of Parties/Interpleader</w:t>
        </w:r>
        <w:r w:rsidR="00A64830">
          <w:rPr>
            <w:noProof/>
            <w:webHidden/>
          </w:rPr>
          <w:tab/>
        </w:r>
        <w:r w:rsidR="00A64830">
          <w:rPr>
            <w:noProof/>
            <w:webHidden/>
          </w:rPr>
          <w:fldChar w:fldCharType="begin"/>
        </w:r>
        <w:r w:rsidR="00A64830">
          <w:rPr>
            <w:noProof/>
            <w:webHidden/>
          </w:rPr>
          <w:instrText xml:space="preserve"> PAGEREF _Toc395604461 \h </w:instrText>
        </w:r>
        <w:r w:rsidR="00A64830">
          <w:rPr>
            <w:noProof/>
            <w:webHidden/>
          </w:rPr>
        </w:r>
        <w:r w:rsidR="00A64830">
          <w:rPr>
            <w:noProof/>
            <w:webHidden/>
          </w:rPr>
          <w:fldChar w:fldCharType="separate"/>
        </w:r>
        <w:r w:rsidR="00042677">
          <w:rPr>
            <w:noProof/>
            <w:webHidden/>
          </w:rPr>
          <w:t>9</w:t>
        </w:r>
        <w:r w:rsidR="00A64830">
          <w:rPr>
            <w:noProof/>
            <w:webHidden/>
          </w:rPr>
          <w:fldChar w:fldCharType="end"/>
        </w:r>
      </w:hyperlink>
    </w:p>
    <w:p w:rsidR="00A64830" w:rsidRDefault="000F30C0" w:rsidP="00334983">
      <w:pPr>
        <w:pStyle w:val="TOC3"/>
        <w:rPr>
          <w:rFonts w:asciiTheme="minorHAnsi" w:eastAsiaTheme="minorEastAsia" w:hAnsiTheme="minorHAnsi" w:cstheme="minorBidi"/>
          <w:noProof/>
          <w:sz w:val="22"/>
          <w:szCs w:val="22"/>
        </w:rPr>
      </w:pPr>
      <w:hyperlink w:anchor="_Toc395604462" w:history="1">
        <w:r w:rsidR="00A64830" w:rsidRPr="00965590">
          <w:rPr>
            <w:rStyle w:val="Hyperlink"/>
            <w:noProof/>
          </w:rPr>
          <w:t>5.</w:t>
        </w:r>
        <w:r w:rsidR="00A64830">
          <w:rPr>
            <w:rFonts w:asciiTheme="minorHAnsi" w:eastAsiaTheme="minorEastAsia" w:hAnsiTheme="minorHAnsi" w:cstheme="minorBidi"/>
            <w:noProof/>
            <w:sz w:val="22"/>
            <w:szCs w:val="22"/>
          </w:rPr>
          <w:tab/>
        </w:r>
        <w:r w:rsidR="00A64830" w:rsidRPr="00965590">
          <w:rPr>
            <w:rStyle w:val="Hyperlink"/>
            <w:noProof/>
          </w:rPr>
          <w:t>Recusal and Removal of Judges</w:t>
        </w:r>
        <w:r w:rsidR="00A64830">
          <w:rPr>
            <w:noProof/>
            <w:webHidden/>
          </w:rPr>
          <w:tab/>
        </w:r>
        <w:r w:rsidR="00A64830">
          <w:rPr>
            <w:noProof/>
            <w:webHidden/>
          </w:rPr>
          <w:fldChar w:fldCharType="begin"/>
        </w:r>
        <w:r w:rsidR="00A64830">
          <w:rPr>
            <w:noProof/>
            <w:webHidden/>
          </w:rPr>
          <w:instrText xml:space="preserve"> PAGEREF _Toc395604462 \h </w:instrText>
        </w:r>
        <w:r w:rsidR="00A64830">
          <w:rPr>
            <w:noProof/>
            <w:webHidden/>
          </w:rPr>
        </w:r>
        <w:r w:rsidR="00A64830">
          <w:rPr>
            <w:noProof/>
            <w:webHidden/>
          </w:rPr>
          <w:fldChar w:fldCharType="separate"/>
        </w:r>
        <w:r w:rsidR="00042677">
          <w:rPr>
            <w:noProof/>
            <w:webHidden/>
          </w:rPr>
          <w:t>9</w:t>
        </w:r>
        <w:r w:rsidR="00A64830">
          <w:rPr>
            <w:noProof/>
            <w:webHidden/>
          </w:rPr>
          <w:fldChar w:fldCharType="end"/>
        </w:r>
      </w:hyperlink>
    </w:p>
    <w:p w:rsidR="00A64830" w:rsidRDefault="000F30C0" w:rsidP="00334983">
      <w:pPr>
        <w:pStyle w:val="TOC3"/>
        <w:rPr>
          <w:rFonts w:asciiTheme="minorHAnsi" w:eastAsiaTheme="minorEastAsia" w:hAnsiTheme="minorHAnsi" w:cstheme="minorBidi"/>
          <w:noProof/>
          <w:sz w:val="22"/>
          <w:szCs w:val="22"/>
        </w:rPr>
      </w:pPr>
      <w:hyperlink w:anchor="_Toc395604463" w:history="1">
        <w:r w:rsidR="00A64830" w:rsidRPr="00965590">
          <w:rPr>
            <w:rStyle w:val="Hyperlink"/>
            <w:noProof/>
          </w:rPr>
          <w:t>6.</w:t>
        </w:r>
        <w:r w:rsidR="00A64830">
          <w:rPr>
            <w:rFonts w:asciiTheme="minorHAnsi" w:eastAsiaTheme="minorEastAsia" w:hAnsiTheme="minorHAnsi" w:cstheme="minorBidi"/>
            <w:noProof/>
            <w:sz w:val="22"/>
            <w:szCs w:val="22"/>
          </w:rPr>
          <w:tab/>
        </w:r>
        <w:r w:rsidR="00A64830" w:rsidRPr="00965590">
          <w:rPr>
            <w:rStyle w:val="Hyperlink"/>
            <w:noProof/>
          </w:rPr>
          <w:t>Disqualification of Counsel</w:t>
        </w:r>
        <w:r w:rsidR="00A64830">
          <w:rPr>
            <w:noProof/>
            <w:webHidden/>
          </w:rPr>
          <w:tab/>
        </w:r>
        <w:r w:rsidR="00A64830">
          <w:rPr>
            <w:noProof/>
            <w:webHidden/>
          </w:rPr>
          <w:fldChar w:fldCharType="begin"/>
        </w:r>
        <w:r w:rsidR="00A64830">
          <w:rPr>
            <w:noProof/>
            <w:webHidden/>
          </w:rPr>
          <w:instrText xml:space="preserve"> PAGEREF _Toc395604463 \h </w:instrText>
        </w:r>
        <w:r w:rsidR="00A64830">
          <w:rPr>
            <w:noProof/>
            <w:webHidden/>
          </w:rPr>
        </w:r>
        <w:r w:rsidR="00A64830">
          <w:rPr>
            <w:noProof/>
            <w:webHidden/>
          </w:rPr>
          <w:fldChar w:fldCharType="separate"/>
        </w:r>
        <w:r w:rsidR="00042677">
          <w:rPr>
            <w:noProof/>
            <w:webHidden/>
          </w:rPr>
          <w:t>9</w:t>
        </w:r>
        <w:r w:rsidR="00A64830">
          <w:rPr>
            <w:noProof/>
            <w:webHidden/>
          </w:rPr>
          <w:fldChar w:fldCharType="end"/>
        </w:r>
      </w:hyperlink>
    </w:p>
    <w:p w:rsidR="00A64830" w:rsidRDefault="000F30C0" w:rsidP="00334983">
      <w:pPr>
        <w:pStyle w:val="TOC3"/>
        <w:rPr>
          <w:rFonts w:asciiTheme="minorHAnsi" w:eastAsiaTheme="minorEastAsia" w:hAnsiTheme="minorHAnsi" w:cstheme="minorBidi"/>
          <w:noProof/>
          <w:sz w:val="22"/>
          <w:szCs w:val="22"/>
        </w:rPr>
      </w:pPr>
      <w:hyperlink w:anchor="_Toc395604464" w:history="1">
        <w:r w:rsidR="00A64830" w:rsidRPr="00965590">
          <w:rPr>
            <w:rStyle w:val="Hyperlink"/>
            <w:noProof/>
          </w:rPr>
          <w:t>7.</w:t>
        </w:r>
        <w:r w:rsidR="00A64830">
          <w:rPr>
            <w:rFonts w:asciiTheme="minorHAnsi" w:eastAsiaTheme="minorEastAsia" w:hAnsiTheme="minorHAnsi" w:cstheme="minorBidi"/>
            <w:noProof/>
            <w:sz w:val="22"/>
            <w:szCs w:val="22"/>
          </w:rPr>
          <w:tab/>
        </w:r>
        <w:r w:rsidR="00A64830" w:rsidRPr="00965590">
          <w:rPr>
            <w:rStyle w:val="Hyperlink"/>
            <w:noProof/>
          </w:rPr>
          <w:t>Claim Preclusion and Issue Preclusion</w:t>
        </w:r>
        <w:r w:rsidR="00A64830">
          <w:rPr>
            <w:noProof/>
            <w:webHidden/>
          </w:rPr>
          <w:tab/>
        </w:r>
        <w:r w:rsidR="00A64830">
          <w:rPr>
            <w:noProof/>
            <w:webHidden/>
          </w:rPr>
          <w:fldChar w:fldCharType="begin"/>
        </w:r>
        <w:r w:rsidR="00A64830">
          <w:rPr>
            <w:noProof/>
            <w:webHidden/>
          </w:rPr>
          <w:instrText xml:space="preserve"> PAGEREF _Toc395604464 \h </w:instrText>
        </w:r>
        <w:r w:rsidR="00A64830">
          <w:rPr>
            <w:noProof/>
            <w:webHidden/>
          </w:rPr>
        </w:r>
        <w:r w:rsidR="00A64830">
          <w:rPr>
            <w:noProof/>
            <w:webHidden/>
          </w:rPr>
          <w:fldChar w:fldCharType="separate"/>
        </w:r>
        <w:r w:rsidR="00042677">
          <w:rPr>
            <w:noProof/>
            <w:webHidden/>
          </w:rPr>
          <w:t>9</w:t>
        </w:r>
        <w:r w:rsidR="00A64830">
          <w:rPr>
            <w:noProof/>
            <w:webHidden/>
          </w:rPr>
          <w:fldChar w:fldCharType="end"/>
        </w:r>
      </w:hyperlink>
    </w:p>
    <w:p w:rsidR="00A64830" w:rsidRDefault="000F30C0" w:rsidP="00334983">
      <w:pPr>
        <w:pStyle w:val="TOC3"/>
        <w:rPr>
          <w:rFonts w:asciiTheme="minorHAnsi" w:eastAsiaTheme="minorEastAsia" w:hAnsiTheme="minorHAnsi" w:cstheme="minorBidi"/>
          <w:noProof/>
          <w:sz w:val="22"/>
          <w:szCs w:val="22"/>
        </w:rPr>
      </w:pPr>
      <w:hyperlink w:anchor="_Toc395604465" w:history="1">
        <w:r w:rsidR="00A64830" w:rsidRPr="00965590">
          <w:rPr>
            <w:rStyle w:val="Hyperlink"/>
            <w:noProof/>
          </w:rPr>
          <w:t>8.</w:t>
        </w:r>
        <w:r w:rsidR="00A64830">
          <w:rPr>
            <w:rFonts w:asciiTheme="minorHAnsi" w:eastAsiaTheme="minorEastAsia" w:hAnsiTheme="minorHAnsi" w:cstheme="minorBidi"/>
            <w:noProof/>
            <w:sz w:val="22"/>
            <w:szCs w:val="22"/>
          </w:rPr>
          <w:tab/>
        </w:r>
        <w:r w:rsidR="00A64830" w:rsidRPr="00965590">
          <w:rPr>
            <w:rStyle w:val="Hyperlink"/>
            <w:noProof/>
          </w:rPr>
          <w:t>Motion for Continuance</w:t>
        </w:r>
        <w:r w:rsidR="00A64830">
          <w:rPr>
            <w:noProof/>
            <w:webHidden/>
          </w:rPr>
          <w:tab/>
        </w:r>
        <w:r w:rsidR="00A64830">
          <w:rPr>
            <w:noProof/>
            <w:webHidden/>
          </w:rPr>
          <w:fldChar w:fldCharType="begin"/>
        </w:r>
        <w:r w:rsidR="00A64830">
          <w:rPr>
            <w:noProof/>
            <w:webHidden/>
          </w:rPr>
          <w:instrText xml:space="preserve"> PAGEREF _Toc395604465 \h </w:instrText>
        </w:r>
        <w:r w:rsidR="00A64830">
          <w:rPr>
            <w:noProof/>
            <w:webHidden/>
          </w:rPr>
        </w:r>
        <w:r w:rsidR="00A64830">
          <w:rPr>
            <w:noProof/>
            <w:webHidden/>
          </w:rPr>
          <w:fldChar w:fldCharType="separate"/>
        </w:r>
        <w:r w:rsidR="00042677">
          <w:rPr>
            <w:noProof/>
            <w:webHidden/>
          </w:rPr>
          <w:t>10</w:t>
        </w:r>
        <w:r w:rsidR="00A64830">
          <w:rPr>
            <w:noProof/>
            <w:webHidden/>
          </w:rPr>
          <w:fldChar w:fldCharType="end"/>
        </w:r>
      </w:hyperlink>
    </w:p>
    <w:p w:rsidR="00A64830" w:rsidRDefault="000F30C0" w:rsidP="00334983">
      <w:pPr>
        <w:pStyle w:val="TOC3"/>
        <w:rPr>
          <w:rFonts w:asciiTheme="minorHAnsi" w:eastAsiaTheme="minorEastAsia" w:hAnsiTheme="minorHAnsi" w:cstheme="minorBidi"/>
          <w:noProof/>
          <w:sz w:val="22"/>
          <w:szCs w:val="22"/>
        </w:rPr>
      </w:pPr>
      <w:hyperlink w:anchor="_Toc395604466" w:history="1">
        <w:r w:rsidR="00A64830" w:rsidRPr="00965590">
          <w:rPr>
            <w:rStyle w:val="Hyperlink"/>
            <w:noProof/>
          </w:rPr>
          <w:t>9.</w:t>
        </w:r>
        <w:r w:rsidR="00A64830">
          <w:rPr>
            <w:rFonts w:asciiTheme="minorHAnsi" w:eastAsiaTheme="minorEastAsia" w:hAnsiTheme="minorHAnsi" w:cstheme="minorBidi"/>
            <w:noProof/>
            <w:sz w:val="22"/>
            <w:szCs w:val="22"/>
          </w:rPr>
          <w:tab/>
        </w:r>
        <w:r w:rsidR="00A64830" w:rsidRPr="00965590">
          <w:rPr>
            <w:rStyle w:val="Hyperlink"/>
            <w:noProof/>
          </w:rPr>
          <w:t>Temporary Injunctions and Restraining Orders</w:t>
        </w:r>
        <w:r w:rsidR="00A64830">
          <w:rPr>
            <w:noProof/>
            <w:webHidden/>
          </w:rPr>
          <w:tab/>
        </w:r>
        <w:r w:rsidR="00A64830">
          <w:rPr>
            <w:noProof/>
            <w:webHidden/>
          </w:rPr>
          <w:fldChar w:fldCharType="begin"/>
        </w:r>
        <w:r w:rsidR="00A64830">
          <w:rPr>
            <w:noProof/>
            <w:webHidden/>
          </w:rPr>
          <w:instrText xml:space="preserve"> PAGEREF _Toc395604466 \h </w:instrText>
        </w:r>
        <w:r w:rsidR="00A64830">
          <w:rPr>
            <w:noProof/>
            <w:webHidden/>
          </w:rPr>
        </w:r>
        <w:r w:rsidR="00A64830">
          <w:rPr>
            <w:noProof/>
            <w:webHidden/>
          </w:rPr>
          <w:fldChar w:fldCharType="separate"/>
        </w:r>
        <w:r w:rsidR="00042677">
          <w:rPr>
            <w:noProof/>
            <w:webHidden/>
          </w:rPr>
          <w:t>10</w:t>
        </w:r>
        <w:r w:rsidR="00A64830">
          <w:rPr>
            <w:noProof/>
            <w:webHidden/>
          </w:rPr>
          <w:fldChar w:fldCharType="end"/>
        </w:r>
      </w:hyperlink>
    </w:p>
    <w:p w:rsidR="00A64830" w:rsidRDefault="000F30C0" w:rsidP="00334983">
      <w:pPr>
        <w:pStyle w:val="TOC3"/>
        <w:rPr>
          <w:rStyle w:val="Hyperlink"/>
          <w:noProof/>
        </w:rPr>
      </w:pPr>
      <w:hyperlink w:anchor="_Toc395604467" w:history="1">
        <w:r w:rsidR="00A64830" w:rsidRPr="00965590">
          <w:rPr>
            <w:rStyle w:val="Hyperlink"/>
            <w:noProof/>
          </w:rPr>
          <w:t>10.</w:t>
        </w:r>
        <w:r w:rsidR="00A64830">
          <w:rPr>
            <w:rFonts w:asciiTheme="minorHAnsi" w:eastAsiaTheme="minorEastAsia" w:hAnsiTheme="minorHAnsi" w:cstheme="minorBidi"/>
            <w:noProof/>
            <w:sz w:val="22"/>
            <w:szCs w:val="22"/>
          </w:rPr>
          <w:tab/>
        </w:r>
        <w:r w:rsidR="00A64830" w:rsidRPr="00965590">
          <w:rPr>
            <w:rStyle w:val="Hyperlink"/>
            <w:noProof/>
          </w:rPr>
          <w:t>Class Certification</w:t>
        </w:r>
        <w:r w:rsidR="00A64830">
          <w:rPr>
            <w:noProof/>
            <w:webHidden/>
          </w:rPr>
          <w:tab/>
        </w:r>
        <w:r w:rsidR="00A64830">
          <w:rPr>
            <w:noProof/>
            <w:webHidden/>
          </w:rPr>
          <w:fldChar w:fldCharType="begin"/>
        </w:r>
        <w:r w:rsidR="00A64830">
          <w:rPr>
            <w:noProof/>
            <w:webHidden/>
          </w:rPr>
          <w:instrText xml:space="preserve"> PAGEREF _Toc395604467 \h </w:instrText>
        </w:r>
        <w:r w:rsidR="00A64830">
          <w:rPr>
            <w:noProof/>
            <w:webHidden/>
          </w:rPr>
        </w:r>
        <w:r w:rsidR="00A64830">
          <w:rPr>
            <w:noProof/>
            <w:webHidden/>
          </w:rPr>
          <w:fldChar w:fldCharType="separate"/>
        </w:r>
        <w:r w:rsidR="00042677">
          <w:rPr>
            <w:noProof/>
            <w:webHidden/>
          </w:rPr>
          <w:t>11</w:t>
        </w:r>
        <w:r w:rsidR="00A64830">
          <w:rPr>
            <w:noProof/>
            <w:webHidden/>
          </w:rPr>
          <w:fldChar w:fldCharType="end"/>
        </w:r>
      </w:hyperlink>
    </w:p>
    <w:p w:rsidR="00A64830" w:rsidRDefault="00A64830" w:rsidP="00334983">
      <w:pPr>
        <w:rPr>
          <w:rFonts w:eastAsiaTheme="minorEastAsia"/>
        </w:rPr>
      </w:pPr>
    </w:p>
    <w:p w:rsidR="009875C6" w:rsidRPr="00A64830" w:rsidRDefault="009875C6" w:rsidP="00334983">
      <w:pPr>
        <w:rPr>
          <w:rFonts w:eastAsiaTheme="minorEastAsia"/>
        </w:rPr>
      </w:pPr>
    </w:p>
    <w:p w:rsidR="00A64830" w:rsidRDefault="000F30C0" w:rsidP="00334983">
      <w:pPr>
        <w:pStyle w:val="TOC2"/>
        <w:rPr>
          <w:rFonts w:asciiTheme="minorHAnsi" w:eastAsiaTheme="minorEastAsia" w:hAnsiTheme="minorHAnsi" w:cstheme="minorBidi"/>
          <w:noProof/>
          <w:sz w:val="22"/>
          <w:szCs w:val="22"/>
        </w:rPr>
      </w:pPr>
      <w:hyperlink w:anchor="_Toc395604468" w:history="1">
        <w:r w:rsidR="00A64830" w:rsidRPr="00965590">
          <w:rPr>
            <w:rStyle w:val="Hyperlink"/>
            <w:noProof/>
          </w:rPr>
          <w:t>C.</w:t>
        </w:r>
        <w:r w:rsidR="00A64830">
          <w:rPr>
            <w:rFonts w:asciiTheme="minorHAnsi" w:eastAsiaTheme="minorEastAsia" w:hAnsiTheme="minorHAnsi" w:cstheme="minorBidi"/>
            <w:noProof/>
            <w:sz w:val="22"/>
            <w:szCs w:val="22"/>
          </w:rPr>
          <w:tab/>
        </w:r>
        <w:r w:rsidR="00A64830" w:rsidRPr="00965590">
          <w:rPr>
            <w:rStyle w:val="Hyperlink"/>
            <w:noProof/>
          </w:rPr>
          <w:t>PRETRIAL JUDGMENTS</w:t>
        </w:r>
        <w:r w:rsidR="00A64830">
          <w:rPr>
            <w:noProof/>
            <w:webHidden/>
          </w:rPr>
          <w:tab/>
        </w:r>
        <w:r w:rsidR="00A64830">
          <w:rPr>
            <w:noProof/>
            <w:webHidden/>
          </w:rPr>
          <w:fldChar w:fldCharType="begin"/>
        </w:r>
        <w:r w:rsidR="00A64830">
          <w:rPr>
            <w:noProof/>
            <w:webHidden/>
          </w:rPr>
          <w:instrText xml:space="preserve"> PAGEREF _Toc395604468 \h </w:instrText>
        </w:r>
        <w:r w:rsidR="00A64830">
          <w:rPr>
            <w:noProof/>
            <w:webHidden/>
          </w:rPr>
        </w:r>
        <w:r w:rsidR="00A64830">
          <w:rPr>
            <w:noProof/>
            <w:webHidden/>
          </w:rPr>
          <w:fldChar w:fldCharType="separate"/>
        </w:r>
        <w:r w:rsidR="00042677">
          <w:rPr>
            <w:noProof/>
            <w:webHidden/>
          </w:rPr>
          <w:t>11</w:t>
        </w:r>
        <w:r w:rsidR="00A64830">
          <w:rPr>
            <w:noProof/>
            <w:webHidden/>
          </w:rPr>
          <w:fldChar w:fldCharType="end"/>
        </w:r>
      </w:hyperlink>
    </w:p>
    <w:p w:rsidR="00A64830" w:rsidRDefault="000F30C0" w:rsidP="00334983">
      <w:pPr>
        <w:pStyle w:val="TOC3"/>
        <w:rPr>
          <w:rFonts w:asciiTheme="minorHAnsi" w:eastAsiaTheme="minorEastAsia" w:hAnsiTheme="minorHAnsi" w:cstheme="minorBidi"/>
          <w:noProof/>
          <w:sz w:val="22"/>
          <w:szCs w:val="22"/>
        </w:rPr>
      </w:pPr>
      <w:hyperlink w:anchor="_Toc395604469" w:history="1">
        <w:r w:rsidR="00A64830" w:rsidRPr="00965590">
          <w:rPr>
            <w:rStyle w:val="Hyperlink"/>
            <w:noProof/>
          </w:rPr>
          <w:t>1.</w:t>
        </w:r>
        <w:r w:rsidR="00A64830">
          <w:rPr>
            <w:rFonts w:asciiTheme="minorHAnsi" w:eastAsiaTheme="minorEastAsia" w:hAnsiTheme="minorHAnsi" w:cstheme="minorBidi"/>
            <w:noProof/>
            <w:sz w:val="22"/>
            <w:szCs w:val="22"/>
          </w:rPr>
          <w:tab/>
        </w:r>
        <w:r w:rsidR="00A64830" w:rsidRPr="00965590">
          <w:rPr>
            <w:rStyle w:val="Hyperlink"/>
            <w:noProof/>
          </w:rPr>
          <w:t>Default Judgment</w:t>
        </w:r>
        <w:r w:rsidR="00A64830">
          <w:rPr>
            <w:noProof/>
            <w:webHidden/>
          </w:rPr>
          <w:tab/>
        </w:r>
        <w:r w:rsidR="00A64830">
          <w:rPr>
            <w:noProof/>
            <w:webHidden/>
          </w:rPr>
          <w:fldChar w:fldCharType="begin"/>
        </w:r>
        <w:r w:rsidR="00A64830">
          <w:rPr>
            <w:noProof/>
            <w:webHidden/>
          </w:rPr>
          <w:instrText xml:space="preserve"> PAGEREF _Toc395604469 \h </w:instrText>
        </w:r>
        <w:r w:rsidR="00A64830">
          <w:rPr>
            <w:noProof/>
            <w:webHidden/>
          </w:rPr>
        </w:r>
        <w:r w:rsidR="00A64830">
          <w:rPr>
            <w:noProof/>
            <w:webHidden/>
          </w:rPr>
          <w:fldChar w:fldCharType="separate"/>
        </w:r>
        <w:r w:rsidR="00042677">
          <w:rPr>
            <w:noProof/>
            <w:webHidden/>
          </w:rPr>
          <w:t>11</w:t>
        </w:r>
        <w:r w:rsidR="00A64830">
          <w:rPr>
            <w:noProof/>
            <w:webHidden/>
          </w:rPr>
          <w:fldChar w:fldCharType="end"/>
        </w:r>
      </w:hyperlink>
    </w:p>
    <w:p w:rsidR="00A64830" w:rsidRDefault="000F30C0" w:rsidP="00334983">
      <w:pPr>
        <w:pStyle w:val="TOC3"/>
        <w:rPr>
          <w:rFonts w:asciiTheme="minorHAnsi" w:eastAsiaTheme="minorEastAsia" w:hAnsiTheme="minorHAnsi" w:cstheme="minorBidi"/>
          <w:noProof/>
          <w:sz w:val="22"/>
          <w:szCs w:val="22"/>
        </w:rPr>
      </w:pPr>
      <w:hyperlink w:anchor="_Toc395604470" w:history="1">
        <w:r w:rsidR="00A64830" w:rsidRPr="00965590">
          <w:rPr>
            <w:rStyle w:val="Hyperlink"/>
            <w:noProof/>
          </w:rPr>
          <w:t>2.</w:t>
        </w:r>
        <w:r w:rsidR="00A64830">
          <w:rPr>
            <w:rFonts w:asciiTheme="minorHAnsi" w:eastAsiaTheme="minorEastAsia" w:hAnsiTheme="minorHAnsi" w:cstheme="minorBidi"/>
            <w:noProof/>
            <w:sz w:val="22"/>
            <w:szCs w:val="22"/>
          </w:rPr>
          <w:tab/>
        </w:r>
        <w:r w:rsidR="00A64830" w:rsidRPr="00965590">
          <w:rPr>
            <w:rStyle w:val="Hyperlink"/>
            <w:noProof/>
          </w:rPr>
          <w:t>Judgment on the Pleadings and Dismissal of Actions</w:t>
        </w:r>
        <w:r w:rsidR="00A64830">
          <w:rPr>
            <w:noProof/>
            <w:webHidden/>
          </w:rPr>
          <w:tab/>
        </w:r>
        <w:r w:rsidR="00A64830">
          <w:rPr>
            <w:noProof/>
            <w:webHidden/>
          </w:rPr>
          <w:fldChar w:fldCharType="begin"/>
        </w:r>
        <w:r w:rsidR="00A64830">
          <w:rPr>
            <w:noProof/>
            <w:webHidden/>
          </w:rPr>
          <w:instrText xml:space="preserve"> PAGEREF _Toc395604470 \h </w:instrText>
        </w:r>
        <w:r w:rsidR="00A64830">
          <w:rPr>
            <w:noProof/>
            <w:webHidden/>
          </w:rPr>
        </w:r>
        <w:r w:rsidR="00A64830">
          <w:rPr>
            <w:noProof/>
            <w:webHidden/>
          </w:rPr>
          <w:fldChar w:fldCharType="separate"/>
        </w:r>
        <w:r w:rsidR="00042677">
          <w:rPr>
            <w:noProof/>
            <w:webHidden/>
          </w:rPr>
          <w:t>11</w:t>
        </w:r>
        <w:r w:rsidR="00A64830">
          <w:rPr>
            <w:noProof/>
            <w:webHidden/>
          </w:rPr>
          <w:fldChar w:fldCharType="end"/>
        </w:r>
      </w:hyperlink>
    </w:p>
    <w:p w:rsidR="00A64830" w:rsidRDefault="000F30C0" w:rsidP="00334983">
      <w:pPr>
        <w:pStyle w:val="TOC4"/>
        <w:tabs>
          <w:tab w:val="left" w:pos="1200"/>
          <w:tab w:val="right" w:leader="dot" w:pos="9350"/>
        </w:tabs>
        <w:spacing w:after="0"/>
        <w:rPr>
          <w:rFonts w:asciiTheme="minorHAnsi" w:eastAsiaTheme="minorEastAsia" w:hAnsiTheme="minorHAnsi" w:cstheme="minorBidi"/>
          <w:noProof/>
          <w:sz w:val="22"/>
          <w:szCs w:val="22"/>
        </w:rPr>
      </w:pPr>
      <w:hyperlink w:anchor="_Toc395604471" w:history="1">
        <w:r w:rsidR="00A64830" w:rsidRPr="00965590">
          <w:rPr>
            <w:rStyle w:val="Hyperlink"/>
            <w:noProof/>
          </w:rPr>
          <w:t>a.</w:t>
        </w:r>
        <w:r w:rsidR="00A64830">
          <w:rPr>
            <w:rFonts w:asciiTheme="minorHAnsi" w:eastAsiaTheme="minorEastAsia" w:hAnsiTheme="minorHAnsi" w:cstheme="minorBidi"/>
            <w:noProof/>
            <w:sz w:val="22"/>
            <w:szCs w:val="22"/>
          </w:rPr>
          <w:tab/>
        </w:r>
        <w:r w:rsidR="00A64830" w:rsidRPr="00965590">
          <w:rPr>
            <w:rStyle w:val="Hyperlink"/>
            <w:noProof/>
          </w:rPr>
          <w:t>Minn. R. Civ. P. 12.02(e)</w:t>
        </w:r>
        <w:r w:rsidR="00A64830">
          <w:rPr>
            <w:noProof/>
            <w:webHidden/>
          </w:rPr>
          <w:tab/>
        </w:r>
        <w:r w:rsidR="00A64830">
          <w:rPr>
            <w:noProof/>
            <w:webHidden/>
          </w:rPr>
          <w:fldChar w:fldCharType="begin"/>
        </w:r>
        <w:r w:rsidR="00A64830">
          <w:rPr>
            <w:noProof/>
            <w:webHidden/>
          </w:rPr>
          <w:instrText xml:space="preserve"> PAGEREF _Toc395604471 \h </w:instrText>
        </w:r>
        <w:r w:rsidR="00A64830">
          <w:rPr>
            <w:noProof/>
            <w:webHidden/>
          </w:rPr>
        </w:r>
        <w:r w:rsidR="00A64830">
          <w:rPr>
            <w:noProof/>
            <w:webHidden/>
          </w:rPr>
          <w:fldChar w:fldCharType="separate"/>
        </w:r>
        <w:r w:rsidR="00042677">
          <w:rPr>
            <w:noProof/>
            <w:webHidden/>
          </w:rPr>
          <w:t>11</w:t>
        </w:r>
        <w:r w:rsidR="00A64830">
          <w:rPr>
            <w:noProof/>
            <w:webHidden/>
          </w:rPr>
          <w:fldChar w:fldCharType="end"/>
        </w:r>
      </w:hyperlink>
    </w:p>
    <w:p w:rsidR="00A64830" w:rsidRDefault="000F30C0" w:rsidP="00334983">
      <w:pPr>
        <w:pStyle w:val="TOC4"/>
        <w:tabs>
          <w:tab w:val="left" w:pos="1200"/>
          <w:tab w:val="right" w:leader="dot" w:pos="9350"/>
        </w:tabs>
        <w:spacing w:after="0"/>
        <w:rPr>
          <w:rFonts w:asciiTheme="minorHAnsi" w:eastAsiaTheme="minorEastAsia" w:hAnsiTheme="minorHAnsi" w:cstheme="minorBidi"/>
          <w:noProof/>
          <w:sz w:val="22"/>
          <w:szCs w:val="22"/>
        </w:rPr>
      </w:pPr>
      <w:hyperlink w:anchor="_Toc395604472" w:history="1">
        <w:r w:rsidR="00A64830" w:rsidRPr="00965590">
          <w:rPr>
            <w:rStyle w:val="Hyperlink"/>
            <w:noProof/>
          </w:rPr>
          <w:t>b.</w:t>
        </w:r>
        <w:r w:rsidR="00A64830">
          <w:rPr>
            <w:rFonts w:asciiTheme="minorHAnsi" w:eastAsiaTheme="minorEastAsia" w:hAnsiTheme="minorHAnsi" w:cstheme="minorBidi"/>
            <w:noProof/>
            <w:sz w:val="22"/>
            <w:szCs w:val="22"/>
          </w:rPr>
          <w:tab/>
        </w:r>
        <w:r w:rsidR="00A64830" w:rsidRPr="00965590">
          <w:rPr>
            <w:rStyle w:val="Hyperlink"/>
            <w:noProof/>
          </w:rPr>
          <w:t>Minn. R. Civ. P. 41.01-.02</w:t>
        </w:r>
        <w:r w:rsidR="00A64830">
          <w:rPr>
            <w:noProof/>
            <w:webHidden/>
          </w:rPr>
          <w:tab/>
        </w:r>
        <w:r w:rsidR="00A64830">
          <w:rPr>
            <w:noProof/>
            <w:webHidden/>
          </w:rPr>
          <w:fldChar w:fldCharType="begin"/>
        </w:r>
        <w:r w:rsidR="00A64830">
          <w:rPr>
            <w:noProof/>
            <w:webHidden/>
          </w:rPr>
          <w:instrText xml:space="preserve"> PAGEREF _Toc395604472 \h </w:instrText>
        </w:r>
        <w:r w:rsidR="00A64830">
          <w:rPr>
            <w:noProof/>
            <w:webHidden/>
          </w:rPr>
        </w:r>
        <w:r w:rsidR="00A64830">
          <w:rPr>
            <w:noProof/>
            <w:webHidden/>
          </w:rPr>
          <w:fldChar w:fldCharType="separate"/>
        </w:r>
        <w:r w:rsidR="00042677">
          <w:rPr>
            <w:noProof/>
            <w:webHidden/>
          </w:rPr>
          <w:t>13</w:t>
        </w:r>
        <w:r w:rsidR="00A64830">
          <w:rPr>
            <w:noProof/>
            <w:webHidden/>
          </w:rPr>
          <w:fldChar w:fldCharType="end"/>
        </w:r>
      </w:hyperlink>
    </w:p>
    <w:p w:rsidR="00A64830" w:rsidRDefault="000F30C0" w:rsidP="00334983">
      <w:pPr>
        <w:pStyle w:val="TOC4"/>
        <w:tabs>
          <w:tab w:val="left" w:pos="1200"/>
          <w:tab w:val="right" w:leader="dot" w:pos="9350"/>
        </w:tabs>
        <w:spacing w:after="0"/>
        <w:rPr>
          <w:rFonts w:asciiTheme="minorHAnsi" w:eastAsiaTheme="minorEastAsia" w:hAnsiTheme="minorHAnsi" w:cstheme="minorBidi"/>
          <w:noProof/>
          <w:sz w:val="22"/>
          <w:szCs w:val="22"/>
        </w:rPr>
      </w:pPr>
      <w:hyperlink w:anchor="_Toc395604473" w:history="1">
        <w:r w:rsidR="00A64830" w:rsidRPr="00965590">
          <w:rPr>
            <w:rStyle w:val="Hyperlink"/>
            <w:noProof/>
          </w:rPr>
          <w:t>c.</w:t>
        </w:r>
        <w:r w:rsidR="00A64830">
          <w:rPr>
            <w:rFonts w:asciiTheme="minorHAnsi" w:eastAsiaTheme="minorEastAsia" w:hAnsiTheme="minorHAnsi" w:cstheme="minorBidi"/>
            <w:noProof/>
            <w:sz w:val="22"/>
            <w:szCs w:val="22"/>
          </w:rPr>
          <w:tab/>
        </w:r>
        <w:r w:rsidR="00A64830" w:rsidRPr="00965590">
          <w:rPr>
            <w:rStyle w:val="Hyperlink"/>
            <w:noProof/>
          </w:rPr>
          <w:t>Other Bases for Dismissal</w:t>
        </w:r>
        <w:r w:rsidR="00A64830">
          <w:rPr>
            <w:noProof/>
            <w:webHidden/>
          </w:rPr>
          <w:tab/>
        </w:r>
        <w:r w:rsidR="00A64830">
          <w:rPr>
            <w:noProof/>
            <w:webHidden/>
          </w:rPr>
          <w:fldChar w:fldCharType="begin"/>
        </w:r>
        <w:r w:rsidR="00A64830">
          <w:rPr>
            <w:noProof/>
            <w:webHidden/>
          </w:rPr>
          <w:instrText xml:space="preserve"> PAGEREF _Toc395604473 \h </w:instrText>
        </w:r>
        <w:r w:rsidR="00A64830">
          <w:rPr>
            <w:noProof/>
            <w:webHidden/>
          </w:rPr>
        </w:r>
        <w:r w:rsidR="00A64830">
          <w:rPr>
            <w:noProof/>
            <w:webHidden/>
          </w:rPr>
          <w:fldChar w:fldCharType="separate"/>
        </w:r>
        <w:r w:rsidR="00042677">
          <w:rPr>
            <w:noProof/>
            <w:webHidden/>
          </w:rPr>
          <w:t>13</w:t>
        </w:r>
        <w:r w:rsidR="00A64830">
          <w:rPr>
            <w:noProof/>
            <w:webHidden/>
          </w:rPr>
          <w:fldChar w:fldCharType="end"/>
        </w:r>
      </w:hyperlink>
    </w:p>
    <w:p w:rsidR="00A64830" w:rsidRDefault="000F30C0" w:rsidP="00334983">
      <w:pPr>
        <w:pStyle w:val="TOC3"/>
        <w:rPr>
          <w:rFonts w:asciiTheme="minorHAnsi" w:eastAsiaTheme="minorEastAsia" w:hAnsiTheme="minorHAnsi" w:cstheme="minorBidi"/>
          <w:noProof/>
          <w:sz w:val="22"/>
          <w:szCs w:val="22"/>
        </w:rPr>
      </w:pPr>
      <w:hyperlink w:anchor="_Toc395604474" w:history="1">
        <w:r w:rsidR="00A64830" w:rsidRPr="00965590">
          <w:rPr>
            <w:rStyle w:val="Hyperlink"/>
            <w:noProof/>
          </w:rPr>
          <w:t>3.</w:t>
        </w:r>
        <w:r w:rsidR="00A64830">
          <w:rPr>
            <w:rFonts w:asciiTheme="minorHAnsi" w:eastAsiaTheme="minorEastAsia" w:hAnsiTheme="minorHAnsi" w:cstheme="minorBidi"/>
            <w:noProof/>
            <w:sz w:val="22"/>
            <w:szCs w:val="22"/>
          </w:rPr>
          <w:tab/>
        </w:r>
        <w:r w:rsidR="00A64830" w:rsidRPr="00965590">
          <w:rPr>
            <w:rStyle w:val="Hyperlink"/>
            <w:noProof/>
          </w:rPr>
          <w:t>Summary Judgment</w:t>
        </w:r>
        <w:r w:rsidR="00A64830">
          <w:rPr>
            <w:noProof/>
            <w:webHidden/>
          </w:rPr>
          <w:tab/>
        </w:r>
        <w:r w:rsidR="00A64830">
          <w:rPr>
            <w:noProof/>
            <w:webHidden/>
          </w:rPr>
          <w:fldChar w:fldCharType="begin"/>
        </w:r>
        <w:r w:rsidR="00A64830">
          <w:rPr>
            <w:noProof/>
            <w:webHidden/>
          </w:rPr>
          <w:instrText xml:space="preserve"> PAGEREF _Toc395604474 \h </w:instrText>
        </w:r>
        <w:r w:rsidR="00A64830">
          <w:rPr>
            <w:noProof/>
            <w:webHidden/>
          </w:rPr>
        </w:r>
        <w:r w:rsidR="00A64830">
          <w:rPr>
            <w:noProof/>
            <w:webHidden/>
          </w:rPr>
          <w:fldChar w:fldCharType="separate"/>
        </w:r>
        <w:r w:rsidR="00042677">
          <w:rPr>
            <w:noProof/>
            <w:webHidden/>
          </w:rPr>
          <w:t>13</w:t>
        </w:r>
        <w:r w:rsidR="00A64830">
          <w:rPr>
            <w:noProof/>
            <w:webHidden/>
          </w:rPr>
          <w:fldChar w:fldCharType="end"/>
        </w:r>
      </w:hyperlink>
    </w:p>
    <w:p w:rsidR="00A64830" w:rsidRDefault="000F30C0" w:rsidP="00334983">
      <w:pPr>
        <w:pStyle w:val="TOC4"/>
        <w:tabs>
          <w:tab w:val="left" w:pos="1200"/>
          <w:tab w:val="right" w:leader="dot" w:pos="9350"/>
        </w:tabs>
        <w:spacing w:after="0"/>
        <w:rPr>
          <w:rFonts w:asciiTheme="minorHAnsi" w:eastAsiaTheme="minorEastAsia" w:hAnsiTheme="minorHAnsi" w:cstheme="minorBidi"/>
          <w:noProof/>
          <w:sz w:val="22"/>
          <w:szCs w:val="22"/>
        </w:rPr>
      </w:pPr>
      <w:hyperlink w:anchor="_Toc395604475" w:history="1">
        <w:r w:rsidR="00A64830" w:rsidRPr="00965590">
          <w:rPr>
            <w:rStyle w:val="Hyperlink"/>
            <w:noProof/>
          </w:rPr>
          <w:t>a.</w:t>
        </w:r>
        <w:r w:rsidR="00A64830">
          <w:rPr>
            <w:rFonts w:asciiTheme="minorHAnsi" w:eastAsiaTheme="minorEastAsia" w:hAnsiTheme="minorHAnsi" w:cstheme="minorBidi"/>
            <w:noProof/>
            <w:sz w:val="22"/>
            <w:szCs w:val="22"/>
          </w:rPr>
          <w:tab/>
        </w:r>
        <w:r w:rsidR="00A64830" w:rsidRPr="00965590">
          <w:rPr>
            <w:rStyle w:val="Hyperlink"/>
            <w:noProof/>
          </w:rPr>
          <w:t>Scope of Review</w:t>
        </w:r>
        <w:r w:rsidR="00A64830">
          <w:rPr>
            <w:noProof/>
            <w:webHidden/>
          </w:rPr>
          <w:tab/>
        </w:r>
        <w:r w:rsidR="00A64830">
          <w:rPr>
            <w:noProof/>
            <w:webHidden/>
          </w:rPr>
          <w:fldChar w:fldCharType="begin"/>
        </w:r>
        <w:r w:rsidR="00A64830">
          <w:rPr>
            <w:noProof/>
            <w:webHidden/>
          </w:rPr>
          <w:instrText xml:space="preserve"> PAGEREF _Toc395604475 \h </w:instrText>
        </w:r>
        <w:r w:rsidR="00A64830">
          <w:rPr>
            <w:noProof/>
            <w:webHidden/>
          </w:rPr>
        </w:r>
        <w:r w:rsidR="00A64830">
          <w:rPr>
            <w:noProof/>
            <w:webHidden/>
          </w:rPr>
          <w:fldChar w:fldCharType="separate"/>
        </w:r>
        <w:r w:rsidR="00042677">
          <w:rPr>
            <w:noProof/>
            <w:webHidden/>
          </w:rPr>
          <w:t>13</w:t>
        </w:r>
        <w:r w:rsidR="00A64830">
          <w:rPr>
            <w:noProof/>
            <w:webHidden/>
          </w:rPr>
          <w:fldChar w:fldCharType="end"/>
        </w:r>
      </w:hyperlink>
    </w:p>
    <w:p w:rsidR="00A64830" w:rsidRDefault="000F30C0" w:rsidP="00334983">
      <w:pPr>
        <w:pStyle w:val="TOC4"/>
        <w:tabs>
          <w:tab w:val="left" w:pos="1200"/>
          <w:tab w:val="right" w:leader="dot" w:pos="9350"/>
        </w:tabs>
        <w:spacing w:after="0"/>
        <w:rPr>
          <w:rFonts w:asciiTheme="minorHAnsi" w:eastAsiaTheme="minorEastAsia" w:hAnsiTheme="minorHAnsi" w:cstheme="minorBidi"/>
          <w:noProof/>
          <w:sz w:val="22"/>
          <w:szCs w:val="22"/>
        </w:rPr>
      </w:pPr>
      <w:hyperlink w:anchor="_Toc395604476" w:history="1">
        <w:r w:rsidR="00A64830" w:rsidRPr="00965590">
          <w:rPr>
            <w:rStyle w:val="Hyperlink"/>
            <w:noProof/>
          </w:rPr>
          <w:t>b.</w:t>
        </w:r>
        <w:r w:rsidR="00A64830">
          <w:rPr>
            <w:rFonts w:asciiTheme="minorHAnsi" w:eastAsiaTheme="minorEastAsia" w:hAnsiTheme="minorHAnsi" w:cstheme="minorBidi"/>
            <w:noProof/>
            <w:sz w:val="22"/>
            <w:szCs w:val="22"/>
          </w:rPr>
          <w:tab/>
        </w:r>
        <w:r w:rsidR="00A64830" w:rsidRPr="00965590">
          <w:rPr>
            <w:rStyle w:val="Hyperlink"/>
            <w:noProof/>
          </w:rPr>
          <w:t>Review of Certification Under Minn. R. Civ. P. 54.02</w:t>
        </w:r>
        <w:r w:rsidR="00A64830">
          <w:rPr>
            <w:noProof/>
            <w:webHidden/>
          </w:rPr>
          <w:tab/>
        </w:r>
        <w:r w:rsidR="00A64830">
          <w:rPr>
            <w:noProof/>
            <w:webHidden/>
          </w:rPr>
          <w:fldChar w:fldCharType="begin"/>
        </w:r>
        <w:r w:rsidR="00A64830">
          <w:rPr>
            <w:noProof/>
            <w:webHidden/>
          </w:rPr>
          <w:instrText xml:space="preserve"> PAGEREF _Toc395604476 \h </w:instrText>
        </w:r>
        <w:r w:rsidR="00A64830">
          <w:rPr>
            <w:noProof/>
            <w:webHidden/>
          </w:rPr>
        </w:r>
        <w:r w:rsidR="00A64830">
          <w:rPr>
            <w:noProof/>
            <w:webHidden/>
          </w:rPr>
          <w:fldChar w:fldCharType="separate"/>
        </w:r>
        <w:r w:rsidR="00042677">
          <w:rPr>
            <w:noProof/>
            <w:webHidden/>
          </w:rPr>
          <w:t>13</w:t>
        </w:r>
        <w:r w:rsidR="00A64830">
          <w:rPr>
            <w:noProof/>
            <w:webHidden/>
          </w:rPr>
          <w:fldChar w:fldCharType="end"/>
        </w:r>
      </w:hyperlink>
    </w:p>
    <w:p w:rsidR="00A64830" w:rsidRDefault="000F30C0" w:rsidP="00334983">
      <w:pPr>
        <w:pStyle w:val="TOC4"/>
        <w:tabs>
          <w:tab w:val="left" w:pos="1200"/>
          <w:tab w:val="right" w:leader="dot" w:pos="9350"/>
        </w:tabs>
        <w:spacing w:after="0"/>
        <w:rPr>
          <w:rFonts w:asciiTheme="minorHAnsi" w:eastAsiaTheme="minorEastAsia" w:hAnsiTheme="minorHAnsi" w:cstheme="minorBidi"/>
          <w:noProof/>
          <w:sz w:val="22"/>
          <w:szCs w:val="22"/>
        </w:rPr>
      </w:pPr>
      <w:hyperlink w:anchor="_Toc395604477" w:history="1">
        <w:r w:rsidR="00A64830" w:rsidRPr="00965590">
          <w:rPr>
            <w:rStyle w:val="Hyperlink"/>
            <w:noProof/>
          </w:rPr>
          <w:t>c.</w:t>
        </w:r>
        <w:r w:rsidR="00A64830">
          <w:rPr>
            <w:rFonts w:asciiTheme="minorHAnsi" w:eastAsiaTheme="minorEastAsia" w:hAnsiTheme="minorHAnsi" w:cstheme="minorBidi"/>
            <w:noProof/>
            <w:sz w:val="22"/>
            <w:szCs w:val="22"/>
          </w:rPr>
          <w:tab/>
        </w:r>
        <w:r w:rsidR="00A64830" w:rsidRPr="00965590">
          <w:rPr>
            <w:rStyle w:val="Hyperlink"/>
            <w:noProof/>
          </w:rPr>
          <w:t>Standard of Review</w:t>
        </w:r>
        <w:r w:rsidR="00A64830">
          <w:rPr>
            <w:noProof/>
            <w:webHidden/>
          </w:rPr>
          <w:tab/>
        </w:r>
        <w:r w:rsidR="00A64830">
          <w:rPr>
            <w:noProof/>
            <w:webHidden/>
          </w:rPr>
          <w:fldChar w:fldCharType="begin"/>
        </w:r>
        <w:r w:rsidR="00A64830">
          <w:rPr>
            <w:noProof/>
            <w:webHidden/>
          </w:rPr>
          <w:instrText xml:space="preserve"> PAGEREF _Toc395604477 \h </w:instrText>
        </w:r>
        <w:r w:rsidR="00A64830">
          <w:rPr>
            <w:noProof/>
            <w:webHidden/>
          </w:rPr>
        </w:r>
        <w:r w:rsidR="00A64830">
          <w:rPr>
            <w:noProof/>
            <w:webHidden/>
          </w:rPr>
          <w:fldChar w:fldCharType="separate"/>
        </w:r>
        <w:r w:rsidR="00042677">
          <w:rPr>
            <w:noProof/>
            <w:webHidden/>
          </w:rPr>
          <w:t>14</w:t>
        </w:r>
        <w:r w:rsidR="00A64830">
          <w:rPr>
            <w:noProof/>
            <w:webHidden/>
          </w:rPr>
          <w:fldChar w:fldCharType="end"/>
        </w:r>
      </w:hyperlink>
    </w:p>
    <w:p w:rsidR="00A64830" w:rsidRDefault="000F30C0" w:rsidP="00334983">
      <w:pPr>
        <w:pStyle w:val="TOC4"/>
        <w:tabs>
          <w:tab w:val="left" w:pos="1200"/>
          <w:tab w:val="right" w:leader="dot" w:pos="9350"/>
        </w:tabs>
        <w:spacing w:after="0"/>
        <w:rPr>
          <w:rFonts w:asciiTheme="minorHAnsi" w:eastAsiaTheme="minorEastAsia" w:hAnsiTheme="minorHAnsi" w:cstheme="minorBidi"/>
          <w:noProof/>
          <w:sz w:val="22"/>
          <w:szCs w:val="22"/>
        </w:rPr>
      </w:pPr>
      <w:hyperlink w:anchor="_Toc395604478" w:history="1">
        <w:r w:rsidR="00A64830" w:rsidRPr="00965590">
          <w:rPr>
            <w:rStyle w:val="Hyperlink"/>
            <w:noProof/>
          </w:rPr>
          <w:t>d.</w:t>
        </w:r>
        <w:r w:rsidR="00A64830">
          <w:rPr>
            <w:rFonts w:asciiTheme="minorHAnsi" w:eastAsiaTheme="minorEastAsia" w:hAnsiTheme="minorHAnsi" w:cstheme="minorBidi"/>
            <w:noProof/>
            <w:sz w:val="22"/>
            <w:szCs w:val="22"/>
          </w:rPr>
          <w:tab/>
        </w:r>
        <w:r w:rsidR="00A64830" w:rsidRPr="00965590">
          <w:rPr>
            <w:rStyle w:val="Hyperlink"/>
            <w:noProof/>
          </w:rPr>
          <w:t>Equitable Issues</w:t>
        </w:r>
        <w:r w:rsidR="00A64830">
          <w:rPr>
            <w:noProof/>
            <w:webHidden/>
          </w:rPr>
          <w:tab/>
        </w:r>
        <w:r w:rsidR="00A64830">
          <w:rPr>
            <w:noProof/>
            <w:webHidden/>
          </w:rPr>
          <w:fldChar w:fldCharType="begin"/>
        </w:r>
        <w:r w:rsidR="00A64830">
          <w:rPr>
            <w:noProof/>
            <w:webHidden/>
          </w:rPr>
          <w:instrText xml:space="preserve"> PAGEREF _Toc395604478 \h </w:instrText>
        </w:r>
        <w:r w:rsidR="00A64830">
          <w:rPr>
            <w:noProof/>
            <w:webHidden/>
          </w:rPr>
        </w:r>
        <w:r w:rsidR="00A64830">
          <w:rPr>
            <w:noProof/>
            <w:webHidden/>
          </w:rPr>
          <w:fldChar w:fldCharType="separate"/>
        </w:r>
        <w:r w:rsidR="00042677">
          <w:rPr>
            <w:noProof/>
            <w:webHidden/>
          </w:rPr>
          <w:t>15</w:t>
        </w:r>
        <w:r w:rsidR="00A64830">
          <w:rPr>
            <w:noProof/>
            <w:webHidden/>
          </w:rPr>
          <w:fldChar w:fldCharType="end"/>
        </w:r>
      </w:hyperlink>
    </w:p>
    <w:p w:rsidR="00A64830" w:rsidRDefault="000F30C0" w:rsidP="00334983">
      <w:pPr>
        <w:pStyle w:val="TOC4"/>
        <w:tabs>
          <w:tab w:val="left" w:pos="1200"/>
          <w:tab w:val="right" w:leader="dot" w:pos="9350"/>
        </w:tabs>
        <w:spacing w:after="0"/>
        <w:rPr>
          <w:rStyle w:val="Hyperlink"/>
          <w:noProof/>
        </w:rPr>
      </w:pPr>
      <w:hyperlink w:anchor="_Toc395604479" w:history="1">
        <w:r w:rsidR="00A64830" w:rsidRPr="00965590">
          <w:rPr>
            <w:rStyle w:val="Hyperlink"/>
            <w:noProof/>
          </w:rPr>
          <w:t>e.</w:t>
        </w:r>
        <w:r w:rsidR="00A64830">
          <w:rPr>
            <w:rFonts w:asciiTheme="minorHAnsi" w:eastAsiaTheme="minorEastAsia" w:hAnsiTheme="minorHAnsi" w:cstheme="minorBidi"/>
            <w:noProof/>
            <w:sz w:val="22"/>
            <w:szCs w:val="22"/>
          </w:rPr>
          <w:tab/>
        </w:r>
        <w:r w:rsidR="00A64830" w:rsidRPr="00965590">
          <w:rPr>
            <w:rStyle w:val="Hyperlink"/>
            <w:noProof/>
          </w:rPr>
          <w:t>Affirmance on Other Grounds</w:t>
        </w:r>
        <w:r w:rsidR="00A64830">
          <w:rPr>
            <w:noProof/>
            <w:webHidden/>
          </w:rPr>
          <w:tab/>
        </w:r>
        <w:r w:rsidR="00A64830">
          <w:rPr>
            <w:noProof/>
            <w:webHidden/>
          </w:rPr>
          <w:fldChar w:fldCharType="begin"/>
        </w:r>
        <w:r w:rsidR="00A64830">
          <w:rPr>
            <w:noProof/>
            <w:webHidden/>
          </w:rPr>
          <w:instrText xml:space="preserve"> PAGEREF _Toc395604479 \h </w:instrText>
        </w:r>
        <w:r w:rsidR="00A64830">
          <w:rPr>
            <w:noProof/>
            <w:webHidden/>
          </w:rPr>
        </w:r>
        <w:r w:rsidR="00A64830">
          <w:rPr>
            <w:noProof/>
            <w:webHidden/>
          </w:rPr>
          <w:fldChar w:fldCharType="separate"/>
        </w:r>
        <w:r w:rsidR="00042677">
          <w:rPr>
            <w:noProof/>
            <w:webHidden/>
          </w:rPr>
          <w:t>15</w:t>
        </w:r>
        <w:r w:rsidR="00A64830">
          <w:rPr>
            <w:noProof/>
            <w:webHidden/>
          </w:rPr>
          <w:fldChar w:fldCharType="end"/>
        </w:r>
      </w:hyperlink>
    </w:p>
    <w:p w:rsidR="00A64830" w:rsidRPr="00A64830" w:rsidRDefault="00A64830" w:rsidP="00334983">
      <w:pPr>
        <w:rPr>
          <w:rFonts w:eastAsiaTheme="minorEastAsia"/>
        </w:rPr>
      </w:pPr>
    </w:p>
    <w:p w:rsidR="00A64830" w:rsidRDefault="000F30C0" w:rsidP="00334983">
      <w:pPr>
        <w:pStyle w:val="TOC2"/>
        <w:rPr>
          <w:rFonts w:asciiTheme="minorHAnsi" w:eastAsiaTheme="minorEastAsia" w:hAnsiTheme="minorHAnsi" w:cstheme="minorBidi"/>
          <w:noProof/>
          <w:sz w:val="22"/>
          <w:szCs w:val="22"/>
        </w:rPr>
      </w:pPr>
      <w:hyperlink w:anchor="_Toc395604480" w:history="1">
        <w:r w:rsidR="00A64830" w:rsidRPr="00965590">
          <w:rPr>
            <w:rStyle w:val="Hyperlink"/>
            <w:noProof/>
          </w:rPr>
          <w:t>D.</w:t>
        </w:r>
        <w:r w:rsidR="00A64830">
          <w:rPr>
            <w:rFonts w:asciiTheme="minorHAnsi" w:eastAsiaTheme="minorEastAsia" w:hAnsiTheme="minorHAnsi" w:cstheme="minorBidi"/>
            <w:noProof/>
            <w:sz w:val="22"/>
            <w:szCs w:val="22"/>
          </w:rPr>
          <w:tab/>
        </w:r>
        <w:r w:rsidR="00A64830" w:rsidRPr="00965590">
          <w:rPr>
            <w:rStyle w:val="Hyperlink"/>
            <w:noProof/>
          </w:rPr>
          <w:t>TRIAL MATTERS</w:t>
        </w:r>
        <w:r w:rsidR="00A64830">
          <w:rPr>
            <w:noProof/>
            <w:webHidden/>
          </w:rPr>
          <w:tab/>
        </w:r>
        <w:r w:rsidR="00A64830">
          <w:rPr>
            <w:noProof/>
            <w:webHidden/>
          </w:rPr>
          <w:fldChar w:fldCharType="begin"/>
        </w:r>
        <w:r w:rsidR="00A64830">
          <w:rPr>
            <w:noProof/>
            <w:webHidden/>
          </w:rPr>
          <w:instrText xml:space="preserve"> PAGEREF _Toc395604480 \h </w:instrText>
        </w:r>
        <w:r w:rsidR="00A64830">
          <w:rPr>
            <w:noProof/>
            <w:webHidden/>
          </w:rPr>
        </w:r>
        <w:r w:rsidR="00A64830">
          <w:rPr>
            <w:noProof/>
            <w:webHidden/>
          </w:rPr>
          <w:fldChar w:fldCharType="separate"/>
        </w:r>
        <w:r w:rsidR="00042677">
          <w:rPr>
            <w:noProof/>
            <w:webHidden/>
          </w:rPr>
          <w:t>15</w:t>
        </w:r>
        <w:r w:rsidR="00A64830">
          <w:rPr>
            <w:noProof/>
            <w:webHidden/>
          </w:rPr>
          <w:fldChar w:fldCharType="end"/>
        </w:r>
      </w:hyperlink>
    </w:p>
    <w:p w:rsidR="00A64830" w:rsidRDefault="000F30C0" w:rsidP="00334983">
      <w:pPr>
        <w:pStyle w:val="TOC3"/>
        <w:rPr>
          <w:rFonts w:asciiTheme="minorHAnsi" w:eastAsiaTheme="minorEastAsia" w:hAnsiTheme="minorHAnsi" w:cstheme="minorBidi"/>
          <w:noProof/>
          <w:sz w:val="22"/>
          <w:szCs w:val="22"/>
        </w:rPr>
      </w:pPr>
      <w:hyperlink w:anchor="_Toc395604481" w:history="1">
        <w:r w:rsidR="00A64830" w:rsidRPr="00965590">
          <w:rPr>
            <w:rStyle w:val="Hyperlink"/>
            <w:noProof/>
          </w:rPr>
          <w:t>1.</w:t>
        </w:r>
        <w:r w:rsidR="00A64830">
          <w:rPr>
            <w:rFonts w:asciiTheme="minorHAnsi" w:eastAsiaTheme="minorEastAsia" w:hAnsiTheme="minorHAnsi" w:cstheme="minorBidi"/>
            <w:noProof/>
            <w:sz w:val="22"/>
            <w:szCs w:val="22"/>
          </w:rPr>
          <w:tab/>
        </w:r>
        <w:r w:rsidR="00A64830" w:rsidRPr="00965590">
          <w:rPr>
            <w:rStyle w:val="Hyperlink"/>
            <w:noProof/>
          </w:rPr>
          <w:t>Evidentiary Issues</w:t>
        </w:r>
        <w:r w:rsidR="00A64830">
          <w:rPr>
            <w:noProof/>
            <w:webHidden/>
          </w:rPr>
          <w:tab/>
        </w:r>
        <w:r w:rsidR="00A64830">
          <w:rPr>
            <w:noProof/>
            <w:webHidden/>
          </w:rPr>
          <w:fldChar w:fldCharType="begin"/>
        </w:r>
        <w:r w:rsidR="00A64830">
          <w:rPr>
            <w:noProof/>
            <w:webHidden/>
          </w:rPr>
          <w:instrText xml:space="preserve"> PAGEREF _Toc395604481 \h </w:instrText>
        </w:r>
        <w:r w:rsidR="00A64830">
          <w:rPr>
            <w:noProof/>
            <w:webHidden/>
          </w:rPr>
        </w:r>
        <w:r w:rsidR="00A64830">
          <w:rPr>
            <w:noProof/>
            <w:webHidden/>
          </w:rPr>
          <w:fldChar w:fldCharType="separate"/>
        </w:r>
        <w:r w:rsidR="00042677">
          <w:rPr>
            <w:noProof/>
            <w:webHidden/>
          </w:rPr>
          <w:t>15</w:t>
        </w:r>
        <w:r w:rsidR="00A64830">
          <w:rPr>
            <w:noProof/>
            <w:webHidden/>
          </w:rPr>
          <w:fldChar w:fldCharType="end"/>
        </w:r>
      </w:hyperlink>
    </w:p>
    <w:p w:rsidR="00A64830" w:rsidRDefault="000F30C0" w:rsidP="00334983">
      <w:pPr>
        <w:pStyle w:val="TOC4"/>
        <w:tabs>
          <w:tab w:val="left" w:pos="1200"/>
          <w:tab w:val="right" w:leader="dot" w:pos="9350"/>
        </w:tabs>
        <w:spacing w:after="0"/>
        <w:rPr>
          <w:rFonts w:asciiTheme="minorHAnsi" w:eastAsiaTheme="minorEastAsia" w:hAnsiTheme="minorHAnsi" w:cstheme="minorBidi"/>
          <w:noProof/>
          <w:sz w:val="22"/>
          <w:szCs w:val="22"/>
        </w:rPr>
      </w:pPr>
      <w:hyperlink w:anchor="_Toc395604482" w:history="1">
        <w:r w:rsidR="00A64830" w:rsidRPr="00965590">
          <w:rPr>
            <w:rStyle w:val="Hyperlink"/>
            <w:noProof/>
          </w:rPr>
          <w:t>a.</w:t>
        </w:r>
        <w:r w:rsidR="00A64830">
          <w:rPr>
            <w:rFonts w:asciiTheme="minorHAnsi" w:eastAsiaTheme="minorEastAsia" w:hAnsiTheme="minorHAnsi" w:cstheme="minorBidi"/>
            <w:noProof/>
            <w:sz w:val="22"/>
            <w:szCs w:val="22"/>
          </w:rPr>
          <w:tab/>
        </w:r>
        <w:r w:rsidR="00A64830" w:rsidRPr="00965590">
          <w:rPr>
            <w:rStyle w:val="Hyperlink"/>
            <w:noProof/>
          </w:rPr>
          <w:t>Admission and Exclusion of Evidence</w:t>
        </w:r>
        <w:r w:rsidR="00A64830">
          <w:rPr>
            <w:noProof/>
            <w:webHidden/>
          </w:rPr>
          <w:tab/>
        </w:r>
        <w:r w:rsidR="00A64830">
          <w:rPr>
            <w:noProof/>
            <w:webHidden/>
          </w:rPr>
          <w:fldChar w:fldCharType="begin"/>
        </w:r>
        <w:r w:rsidR="00A64830">
          <w:rPr>
            <w:noProof/>
            <w:webHidden/>
          </w:rPr>
          <w:instrText xml:space="preserve"> PAGEREF _Toc395604482 \h </w:instrText>
        </w:r>
        <w:r w:rsidR="00A64830">
          <w:rPr>
            <w:noProof/>
            <w:webHidden/>
          </w:rPr>
        </w:r>
        <w:r w:rsidR="00A64830">
          <w:rPr>
            <w:noProof/>
            <w:webHidden/>
          </w:rPr>
          <w:fldChar w:fldCharType="separate"/>
        </w:r>
        <w:r w:rsidR="00042677">
          <w:rPr>
            <w:noProof/>
            <w:webHidden/>
          </w:rPr>
          <w:t>15</w:t>
        </w:r>
        <w:r w:rsidR="00A64830">
          <w:rPr>
            <w:noProof/>
            <w:webHidden/>
          </w:rPr>
          <w:fldChar w:fldCharType="end"/>
        </w:r>
      </w:hyperlink>
    </w:p>
    <w:p w:rsidR="00A64830" w:rsidRDefault="000F30C0" w:rsidP="00334983">
      <w:pPr>
        <w:pStyle w:val="TOC4"/>
        <w:tabs>
          <w:tab w:val="left" w:pos="1200"/>
          <w:tab w:val="right" w:leader="dot" w:pos="9350"/>
        </w:tabs>
        <w:spacing w:after="0"/>
        <w:rPr>
          <w:rFonts w:asciiTheme="minorHAnsi" w:eastAsiaTheme="minorEastAsia" w:hAnsiTheme="minorHAnsi" w:cstheme="minorBidi"/>
          <w:noProof/>
          <w:sz w:val="22"/>
          <w:szCs w:val="22"/>
        </w:rPr>
      </w:pPr>
      <w:hyperlink w:anchor="_Toc395604483" w:history="1">
        <w:r w:rsidR="00A64830" w:rsidRPr="00965590">
          <w:rPr>
            <w:rStyle w:val="Hyperlink"/>
            <w:noProof/>
          </w:rPr>
          <w:t>b.</w:t>
        </w:r>
        <w:r w:rsidR="00A64830">
          <w:rPr>
            <w:rFonts w:asciiTheme="minorHAnsi" w:eastAsiaTheme="minorEastAsia" w:hAnsiTheme="minorHAnsi" w:cstheme="minorBidi"/>
            <w:noProof/>
            <w:sz w:val="22"/>
            <w:szCs w:val="22"/>
          </w:rPr>
          <w:tab/>
        </w:r>
        <w:r w:rsidR="00A64830" w:rsidRPr="00965590">
          <w:rPr>
            <w:rStyle w:val="Hyperlink"/>
            <w:noProof/>
          </w:rPr>
          <w:t>Foundation for Evidence</w:t>
        </w:r>
        <w:r w:rsidR="00A64830">
          <w:rPr>
            <w:noProof/>
            <w:webHidden/>
          </w:rPr>
          <w:tab/>
        </w:r>
        <w:r w:rsidR="00A64830">
          <w:rPr>
            <w:noProof/>
            <w:webHidden/>
          </w:rPr>
          <w:fldChar w:fldCharType="begin"/>
        </w:r>
        <w:r w:rsidR="00A64830">
          <w:rPr>
            <w:noProof/>
            <w:webHidden/>
          </w:rPr>
          <w:instrText xml:space="preserve"> PAGEREF _Toc395604483 \h </w:instrText>
        </w:r>
        <w:r w:rsidR="00A64830">
          <w:rPr>
            <w:noProof/>
            <w:webHidden/>
          </w:rPr>
        </w:r>
        <w:r w:rsidR="00A64830">
          <w:rPr>
            <w:noProof/>
            <w:webHidden/>
          </w:rPr>
          <w:fldChar w:fldCharType="separate"/>
        </w:r>
        <w:r w:rsidR="00042677">
          <w:rPr>
            <w:noProof/>
            <w:webHidden/>
          </w:rPr>
          <w:t>16</w:t>
        </w:r>
        <w:r w:rsidR="00A64830">
          <w:rPr>
            <w:noProof/>
            <w:webHidden/>
          </w:rPr>
          <w:fldChar w:fldCharType="end"/>
        </w:r>
      </w:hyperlink>
    </w:p>
    <w:p w:rsidR="00A64830" w:rsidRDefault="000F30C0" w:rsidP="00334983">
      <w:pPr>
        <w:pStyle w:val="TOC4"/>
        <w:tabs>
          <w:tab w:val="left" w:pos="1200"/>
          <w:tab w:val="right" w:leader="dot" w:pos="9350"/>
        </w:tabs>
        <w:spacing w:after="0"/>
        <w:rPr>
          <w:rFonts w:asciiTheme="minorHAnsi" w:eastAsiaTheme="minorEastAsia" w:hAnsiTheme="minorHAnsi" w:cstheme="minorBidi"/>
          <w:noProof/>
          <w:sz w:val="22"/>
          <w:szCs w:val="22"/>
        </w:rPr>
      </w:pPr>
      <w:hyperlink w:anchor="_Toc395604484" w:history="1">
        <w:r w:rsidR="00A64830" w:rsidRPr="00965590">
          <w:rPr>
            <w:rStyle w:val="Hyperlink"/>
            <w:noProof/>
          </w:rPr>
          <w:t>c.</w:t>
        </w:r>
        <w:r w:rsidR="00A64830">
          <w:rPr>
            <w:rFonts w:asciiTheme="minorHAnsi" w:eastAsiaTheme="minorEastAsia" w:hAnsiTheme="minorHAnsi" w:cstheme="minorBidi"/>
            <w:noProof/>
            <w:sz w:val="22"/>
            <w:szCs w:val="22"/>
          </w:rPr>
          <w:tab/>
        </w:r>
        <w:r w:rsidR="00A64830" w:rsidRPr="00965590">
          <w:rPr>
            <w:rStyle w:val="Hyperlink"/>
            <w:noProof/>
          </w:rPr>
          <w:t>Novel Scientific Evidence</w:t>
        </w:r>
        <w:r w:rsidR="00A64830">
          <w:rPr>
            <w:noProof/>
            <w:webHidden/>
          </w:rPr>
          <w:tab/>
        </w:r>
        <w:r w:rsidR="00A64830">
          <w:rPr>
            <w:noProof/>
            <w:webHidden/>
          </w:rPr>
          <w:fldChar w:fldCharType="begin"/>
        </w:r>
        <w:r w:rsidR="00A64830">
          <w:rPr>
            <w:noProof/>
            <w:webHidden/>
          </w:rPr>
          <w:instrText xml:space="preserve"> PAGEREF _Toc395604484 \h </w:instrText>
        </w:r>
        <w:r w:rsidR="00A64830">
          <w:rPr>
            <w:noProof/>
            <w:webHidden/>
          </w:rPr>
        </w:r>
        <w:r w:rsidR="00A64830">
          <w:rPr>
            <w:noProof/>
            <w:webHidden/>
          </w:rPr>
          <w:fldChar w:fldCharType="separate"/>
        </w:r>
        <w:r w:rsidR="00042677">
          <w:rPr>
            <w:noProof/>
            <w:webHidden/>
          </w:rPr>
          <w:t>16</w:t>
        </w:r>
        <w:r w:rsidR="00A64830">
          <w:rPr>
            <w:noProof/>
            <w:webHidden/>
          </w:rPr>
          <w:fldChar w:fldCharType="end"/>
        </w:r>
      </w:hyperlink>
    </w:p>
    <w:p w:rsidR="00A64830" w:rsidRDefault="000F30C0" w:rsidP="00334983">
      <w:pPr>
        <w:pStyle w:val="TOC3"/>
        <w:rPr>
          <w:rFonts w:asciiTheme="minorHAnsi" w:eastAsiaTheme="minorEastAsia" w:hAnsiTheme="minorHAnsi" w:cstheme="minorBidi"/>
          <w:noProof/>
          <w:sz w:val="22"/>
          <w:szCs w:val="22"/>
        </w:rPr>
      </w:pPr>
      <w:hyperlink w:anchor="_Toc395604485" w:history="1">
        <w:r w:rsidR="00A64830" w:rsidRPr="00965590">
          <w:rPr>
            <w:rStyle w:val="Hyperlink"/>
            <w:noProof/>
          </w:rPr>
          <w:t>2.</w:t>
        </w:r>
        <w:r w:rsidR="00A64830">
          <w:rPr>
            <w:rFonts w:asciiTheme="minorHAnsi" w:eastAsiaTheme="minorEastAsia" w:hAnsiTheme="minorHAnsi" w:cstheme="minorBidi"/>
            <w:noProof/>
            <w:sz w:val="22"/>
            <w:szCs w:val="22"/>
          </w:rPr>
          <w:tab/>
        </w:r>
        <w:r w:rsidR="00A64830" w:rsidRPr="00965590">
          <w:rPr>
            <w:rStyle w:val="Hyperlink"/>
            <w:noProof/>
          </w:rPr>
          <w:t>Witnesses</w:t>
        </w:r>
        <w:r w:rsidR="00A64830">
          <w:rPr>
            <w:noProof/>
            <w:webHidden/>
          </w:rPr>
          <w:tab/>
        </w:r>
        <w:r w:rsidR="00A64830">
          <w:rPr>
            <w:noProof/>
            <w:webHidden/>
          </w:rPr>
          <w:fldChar w:fldCharType="begin"/>
        </w:r>
        <w:r w:rsidR="00A64830">
          <w:rPr>
            <w:noProof/>
            <w:webHidden/>
          </w:rPr>
          <w:instrText xml:space="preserve"> PAGEREF _Toc395604485 \h </w:instrText>
        </w:r>
        <w:r w:rsidR="00A64830">
          <w:rPr>
            <w:noProof/>
            <w:webHidden/>
          </w:rPr>
        </w:r>
        <w:r w:rsidR="00A64830">
          <w:rPr>
            <w:noProof/>
            <w:webHidden/>
          </w:rPr>
          <w:fldChar w:fldCharType="separate"/>
        </w:r>
        <w:r w:rsidR="00042677">
          <w:rPr>
            <w:noProof/>
            <w:webHidden/>
          </w:rPr>
          <w:t>16</w:t>
        </w:r>
        <w:r w:rsidR="00A64830">
          <w:rPr>
            <w:noProof/>
            <w:webHidden/>
          </w:rPr>
          <w:fldChar w:fldCharType="end"/>
        </w:r>
      </w:hyperlink>
    </w:p>
    <w:p w:rsidR="00A64830" w:rsidRDefault="000F30C0" w:rsidP="00334983">
      <w:pPr>
        <w:pStyle w:val="TOC4"/>
        <w:tabs>
          <w:tab w:val="left" w:pos="1200"/>
          <w:tab w:val="right" w:leader="dot" w:pos="9350"/>
        </w:tabs>
        <w:spacing w:after="0"/>
        <w:rPr>
          <w:rFonts w:asciiTheme="minorHAnsi" w:eastAsiaTheme="minorEastAsia" w:hAnsiTheme="minorHAnsi" w:cstheme="minorBidi"/>
          <w:noProof/>
          <w:sz w:val="22"/>
          <w:szCs w:val="22"/>
        </w:rPr>
      </w:pPr>
      <w:hyperlink w:anchor="_Toc395604486" w:history="1">
        <w:r w:rsidR="00A64830" w:rsidRPr="00965590">
          <w:rPr>
            <w:rStyle w:val="Hyperlink"/>
            <w:noProof/>
          </w:rPr>
          <w:t xml:space="preserve">a. </w:t>
        </w:r>
        <w:r w:rsidR="00A64830">
          <w:rPr>
            <w:rFonts w:asciiTheme="minorHAnsi" w:eastAsiaTheme="minorEastAsia" w:hAnsiTheme="minorHAnsi" w:cstheme="minorBidi"/>
            <w:noProof/>
            <w:sz w:val="22"/>
            <w:szCs w:val="22"/>
          </w:rPr>
          <w:tab/>
        </w:r>
        <w:r w:rsidR="00A64830" w:rsidRPr="00965590">
          <w:rPr>
            <w:rStyle w:val="Hyperlink"/>
            <w:noProof/>
          </w:rPr>
          <w:t>Examination of Witnesses</w:t>
        </w:r>
        <w:r w:rsidR="00A64830">
          <w:rPr>
            <w:noProof/>
            <w:webHidden/>
          </w:rPr>
          <w:tab/>
        </w:r>
        <w:r w:rsidR="00A64830">
          <w:rPr>
            <w:noProof/>
            <w:webHidden/>
          </w:rPr>
          <w:fldChar w:fldCharType="begin"/>
        </w:r>
        <w:r w:rsidR="00A64830">
          <w:rPr>
            <w:noProof/>
            <w:webHidden/>
          </w:rPr>
          <w:instrText xml:space="preserve"> PAGEREF _Toc395604486 \h </w:instrText>
        </w:r>
        <w:r w:rsidR="00A64830">
          <w:rPr>
            <w:noProof/>
            <w:webHidden/>
          </w:rPr>
        </w:r>
        <w:r w:rsidR="00A64830">
          <w:rPr>
            <w:noProof/>
            <w:webHidden/>
          </w:rPr>
          <w:fldChar w:fldCharType="separate"/>
        </w:r>
        <w:r w:rsidR="00042677">
          <w:rPr>
            <w:noProof/>
            <w:webHidden/>
          </w:rPr>
          <w:t>16</w:t>
        </w:r>
        <w:r w:rsidR="00A64830">
          <w:rPr>
            <w:noProof/>
            <w:webHidden/>
          </w:rPr>
          <w:fldChar w:fldCharType="end"/>
        </w:r>
      </w:hyperlink>
    </w:p>
    <w:p w:rsidR="00A64830" w:rsidRDefault="000F30C0" w:rsidP="00334983">
      <w:pPr>
        <w:pStyle w:val="TOC4"/>
        <w:tabs>
          <w:tab w:val="left" w:pos="1200"/>
          <w:tab w:val="right" w:leader="dot" w:pos="9350"/>
        </w:tabs>
        <w:spacing w:after="0"/>
        <w:rPr>
          <w:rFonts w:asciiTheme="minorHAnsi" w:eastAsiaTheme="minorEastAsia" w:hAnsiTheme="minorHAnsi" w:cstheme="minorBidi"/>
          <w:noProof/>
          <w:sz w:val="22"/>
          <w:szCs w:val="22"/>
        </w:rPr>
      </w:pPr>
      <w:hyperlink w:anchor="_Toc395604487" w:history="1">
        <w:r w:rsidR="00A64830" w:rsidRPr="00965590">
          <w:rPr>
            <w:rStyle w:val="Hyperlink"/>
            <w:noProof/>
          </w:rPr>
          <w:t>b.</w:t>
        </w:r>
        <w:r w:rsidR="00A64830">
          <w:rPr>
            <w:rFonts w:asciiTheme="minorHAnsi" w:eastAsiaTheme="minorEastAsia" w:hAnsiTheme="minorHAnsi" w:cstheme="minorBidi"/>
            <w:noProof/>
            <w:sz w:val="22"/>
            <w:szCs w:val="22"/>
          </w:rPr>
          <w:tab/>
        </w:r>
        <w:r w:rsidR="00A64830" w:rsidRPr="00965590">
          <w:rPr>
            <w:rStyle w:val="Hyperlink"/>
            <w:noProof/>
          </w:rPr>
          <w:t>Lay Witnesses</w:t>
        </w:r>
        <w:r w:rsidR="00A64830">
          <w:rPr>
            <w:noProof/>
            <w:webHidden/>
          </w:rPr>
          <w:tab/>
        </w:r>
        <w:r w:rsidR="00A64830">
          <w:rPr>
            <w:noProof/>
            <w:webHidden/>
          </w:rPr>
          <w:fldChar w:fldCharType="begin"/>
        </w:r>
        <w:r w:rsidR="00A64830">
          <w:rPr>
            <w:noProof/>
            <w:webHidden/>
          </w:rPr>
          <w:instrText xml:space="preserve"> PAGEREF _Toc395604487 \h </w:instrText>
        </w:r>
        <w:r w:rsidR="00A64830">
          <w:rPr>
            <w:noProof/>
            <w:webHidden/>
          </w:rPr>
        </w:r>
        <w:r w:rsidR="00A64830">
          <w:rPr>
            <w:noProof/>
            <w:webHidden/>
          </w:rPr>
          <w:fldChar w:fldCharType="separate"/>
        </w:r>
        <w:r w:rsidR="00042677">
          <w:rPr>
            <w:noProof/>
            <w:webHidden/>
          </w:rPr>
          <w:t>17</w:t>
        </w:r>
        <w:r w:rsidR="00A64830">
          <w:rPr>
            <w:noProof/>
            <w:webHidden/>
          </w:rPr>
          <w:fldChar w:fldCharType="end"/>
        </w:r>
      </w:hyperlink>
    </w:p>
    <w:p w:rsidR="00A64830" w:rsidRDefault="000F30C0" w:rsidP="00334983">
      <w:pPr>
        <w:pStyle w:val="TOC4"/>
        <w:tabs>
          <w:tab w:val="left" w:pos="1200"/>
          <w:tab w:val="right" w:leader="dot" w:pos="9350"/>
        </w:tabs>
        <w:spacing w:after="0"/>
        <w:rPr>
          <w:rFonts w:asciiTheme="minorHAnsi" w:eastAsiaTheme="minorEastAsia" w:hAnsiTheme="minorHAnsi" w:cstheme="minorBidi"/>
          <w:noProof/>
          <w:sz w:val="22"/>
          <w:szCs w:val="22"/>
        </w:rPr>
      </w:pPr>
      <w:hyperlink w:anchor="_Toc395604488" w:history="1">
        <w:r w:rsidR="00A64830" w:rsidRPr="00965590">
          <w:rPr>
            <w:rStyle w:val="Hyperlink"/>
            <w:noProof/>
          </w:rPr>
          <w:t>c.</w:t>
        </w:r>
        <w:r w:rsidR="00A64830">
          <w:rPr>
            <w:rFonts w:asciiTheme="minorHAnsi" w:eastAsiaTheme="minorEastAsia" w:hAnsiTheme="minorHAnsi" w:cstheme="minorBidi"/>
            <w:noProof/>
            <w:sz w:val="22"/>
            <w:szCs w:val="22"/>
          </w:rPr>
          <w:tab/>
        </w:r>
        <w:r w:rsidR="00A64830" w:rsidRPr="00965590">
          <w:rPr>
            <w:rStyle w:val="Hyperlink"/>
            <w:noProof/>
          </w:rPr>
          <w:t>Expert-Witness Testimony</w:t>
        </w:r>
        <w:r w:rsidR="00A64830">
          <w:rPr>
            <w:noProof/>
            <w:webHidden/>
          </w:rPr>
          <w:tab/>
        </w:r>
        <w:r w:rsidR="00A64830">
          <w:rPr>
            <w:noProof/>
            <w:webHidden/>
          </w:rPr>
          <w:fldChar w:fldCharType="begin"/>
        </w:r>
        <w:r w:rsidR="00A64830">
          <w:rPr>
            <w:noProof/>
            <w:webHidden/>
          </w:rPr>
          <w:instrText xml:space="preserve"> PAGEREF _Toc395604488 \h </w:instrText>
        </w:r>
        <w:r w:rsidR="00A64830">
          <w:rPr>
            <w:noProof/>
            <w:webHidden/>
          </w:rPr>
        </w:r>
        <w:r w:rsidR="00A64830">
          <w:rPr>
            <w:noProof/>
            <w:webHidden/>
          </w:rPr>
          <w:fldChar w:fldCharType="separate"/>
        </w:r>
        <w:r w:rsidR="00042677">
          <w:rPr>
            <w:noProof/>
            <w:webHidden/>
          </w:rPr>
          <w:t>17</w:t>
        </w:r>
        <w:r w:rsidR="00A64830">
          <w:rPr>
            <w:noProof/>
            <w:webHidden/>
          </w:rPr>
          <w:fldChar w:fldCharType="end"/>
        </w:r>
      </w:hyperlink>
    </w:p>
    <w:p w:rsidR="00A64830" w:rsidRDefault="000F30C0" w:rsidP="00334983">
      <w:pPr>
        <w:pStyle w:val="TOC3"/>
        <w:rPr>
          <w:rFonts w:asciiTheme="minorHAnsi" w:eastAsiaTheme="minorEastAsia" w:hAnsiTheme="minorHAnsi" w:cstheme="minorBidi"/>
          <w:noProof/>
          <w:sz w:val="22"/>
          <w:szCs w:val="22"/>
        </w:rPr>
      </w:pPr>
      <w:hyperlink w:anchor="_Toc395604489" w:history="1">
        <w:r w:rsidR="00A64830" w:rsidRPr="00965590">
          <w:rPr>
            <w:rStyle w:val="Hyperlink"/>
            <w:noProof/>
          </w:rPr>
          <w:t>3.</w:t>
        </w:r>
        <w:r w:rsidR="00A64830">
          <w:rPr>
            <w:rFonts w:asciiTheme="minorHAnsi" w:eastAsiaTheme="minorEastAsia" w:hAnsiTheme="minorHAnsi" w:cstheme="minorBidi"/>
            <w:noProof/>
            <w:sz w:val="22"/>
            <w:szCs w:val="22"/>
          </w:rPr>
          <w:tab/>
        </w:r>
        <w:r w:rsidR="00A64830" w:rsidRPr="00965590">
          <w:rPr>
            <w:rStyle w:val="Hyperlink"/>
            <w:noProof/>
          </w:rPr>
          <w:t>Presenting Questions to the Jury</w:t>
        </w:r>
        <w:r w:rsidR="00A64830">
          <w:rPr>
            <w:noProof/>
            <w:webHidden/>
          </w:rPr>
          <w:tab/>
        </w:r>
        <w:r w:rsidR="00A64830">
          <w:rPr>
            <w:noProof/>
            <w:webHidden/>
          </w:rPr>
          <w:fldChar w:fldCharType="begin"/>
        </w:r>
        <w:r w:rsidR="00A64830">
          <w:rPr>
            <w:noProof/>
            <w:webHidden/>
          </w:rPr>
          <w:instrText xml:space="preserve"> PAGEREF _Toc395604489 \h </w:instrText>
        </w:r>
        <w:r w:rsidR="00A64830">
          <w:rPr>
            <w:noProof/>
            <w:webHidden/>
          </w:rPr>
        </w:r>
        <w:r w:rsidR="00A64830">
          <w:rPr>
            <w:noProof/>
            <w:webHidden/>
          </w:rPr>
          <w:fldChar w:fldCharType="separate"/>
        </w:r>
        <w:r w:rsidR="00042677">
          <w:rPr>
            <w:noProof/>
            <w:webHidden/>
          </w:rPr>
          <w:t>17</w:t>
        </w:r>
        <w:r w:rsidR="00A64830">
          <w:rPr>
            <w:noProof/>
            <w:webHidden/>
          </w:rPr>
          <w:fldChar w:fldCharType="end"/>
        </w:r>
      </w:hyperlink>
    </w:p>
    <w:p w:rsidR="00A64830" w:rsidRDefault="000F30C0" w:rsidP="00334983">
      <w:pPr>
        <w:pStyle w:val="TOC4"/>
        <w:tabs>
          <w:tab w:val="left" w:pos="1200"/>
          <w:tab w:val="right" w:leader="dot" w:pos="9350"/>
        </w:tabs>
        <w:spacing w:after="0"/>
        <w:rPr>
          <w:rFonts w:asciiTheme="minorHAnsi" w:eastAsiaTheme="minorEastAsia" w:hAnsiTheme="minorHAnsi" w:cstheme="minorBidi"/>
          <w:noProof/>
          <w:sz w:val="22"/>
          <w:szCs w:val="22"/>
        </w:rPr>
      </w:pPr>
      <w:hyperlink w:anchor="_Toc395604490" w:history="1">
        <w:r w:rsidR="00A64830" w:rsidRPr="00965590">
          <w:rPr>
            <w:rStyle w:val="Hyperlink"/>
            <w:noProof/>
          </w:rPr>
          <w:t>a.</w:t>
        </w:r>
        <w:r w:rsidR="00A64830">
          <w:rPr>
            <w:rFonts w:asciiTheme="minorHAnsi" w:eastAsiaTheme="minorEastAsia" w:hAnsiTheme="minorHAnsi" w:cstheme="minorBidi"/>
            <w:noProof/>
            <w:sz w:val="22"/>
            <w:szCs w:val="22"/>
          </w:rPr>
          <w:tab/>
        </w:r>
        <w:r w:rsidR="00A64830" w:rsidRPr="00965590">
          <w:rPr>
            <w:rStyle w:val="Hyperlink"/>
            <w:noProof/>
          </w:rPr>
          <w:t>Framing Special-Verdict Questions</w:t>
        </w:r>
        <w:r w:rsidR="00A64830">
          <w:rPr>
            <w:noProof/>
            <w:webHidden/>
          </w:rPr>
          <w:tab/>
        </w:r>
        <w:r w:rsidR="00A64830">
          <w:rPr>
            <w:noProof/>
            <w:webHidden/>
          </w:rPr>
          <w:fldChar w:fldCharType="begin"/>
        </w:r>
        <w:r w:rsidR="00A64830">
          <w:rPr>
            <w:noProof/>
            <w:webHidden/>
          </w:rPr>
          <w:instrText xml:space="preserve"> PAGEREF _Toc395604490 \h </w:instrText>
        </w:r>
        <w:r w:rsidR="00A64830">
          <w:rPr>
            <w:noProof/>
            <w:webHidden/>
          </w:rPr>
        </w:r>
        <w:r w:rsidR="00A64830">
          <w:rPr>
            <w:noProof/>
            <w:webHidden/>
          </w:rPr>
          <w:fldChar w:fldCharType="separate"/>
        </w:r>
        <w:r w:rsidR="00042677">
          <w:rPr>
            <w:noProof/>
            <w:webHidden/>
          </w:rPr>
          <w:t>17</w:t>
        </w:r>
        <w:r w:rsidR="00A64830">
          <w:rPr>
            <w:noProof/>
            <w:webHidden/>
          </w:rPr>
          <w:fldChar w:fldCharType="end"/>
        </w:r>
      </w:hyperlink>
    </w:p>
    <w:p w:rsidR="00A64830" w:rsidRDefault="000F30C0" w:rsidP="00334983">
      <w:pPr>
        <w:pStyle w:val="TOC4"/>
        <w:tabs>
          <w:tab w:val="left" w:pos="1200"/>
          <w:tab w:val="right" w:leader="dot" w:pos="9350"/>
        </w:tabs>
        <w:spacing w:after="0"/>
        <w:rPr>
          <w:rFonts w:asciiTheme="minorHAnsi" w:eastAsiaTheme="minorEastAsia" w:hAnsiTheme="minorHAnsi" w:cstheme="minorBidi"/>
          <w:noProof/>
          <w:sz w:val="22"/>
          <w:szCs w:val="22"/>
        </w:rPr>
      </w:pPr>
      <w:hyperlink w:anchor="_Toc395604491" w:history="1">
        <w:r w:rsidR="00A64830" w:rsidRPr="00965590">
          <w:rPr>
            <w:rStyle w:val="Hyperlink"/>
            <w:noProof/>
          </w:rPr>
          <w:t>b.</w:t>
        </w:r>
        <w:r w:rsidR="00A64830">
          <w:rPr>
            <w:rFonts w:asciiTheme="minorHAnsi" w:eastAsiaTheme="minorEastAsia" w:hAnsiTheme="minorHAnsi" w:cstheme="minorBidi"/>
            <w:noProof/>
            <w:sz w:val="22"/>
            <w:szCs w:val="22"/>
          </w:rPr>
          <w:tab/>
        </w:r>
        <w:r w:rsidR="00A64830" w:rsidRPr="00965590">
          <w:rPr>
            <w:rStyle w:val="Hyperlink"/>
            <w:noProof/>
          </w:rPr>
          <w:t>Submission of Equitable Claims</w:t>
        </w:r>
        <w:r w:rsidR="00A64830">
          <w:rPr>
            <w:noProof/>
            <w:webHidden/>
          </w:rPr>
          <w:tab/>
        </w:r>
        <w:r w:rsidR="00A64830">
          <w:rPr>
            <w:noProof/>
            <w:webHidden/>
          </w:rPr>
          <w:fldChar w:fldCharType="begin"/>
        </w:r>
        <w:r w:rsidR="00A64830">
          <w:rPr>
            <w:noProof/>
            <w:webHidden/>
          </w:rPr>
          <w:instrText xml:space="preserve"> PAGEREF _Toc395604491 \h </w:instrText>
        </w:r>
        <w:r w:rsidR="00A64830">
          <w:rPr>
            <w:noProof/>
            <w:webHidden/>
          </w:rPr>
        </w:r>
        <w:r w:rsidR="00A64830">
          <w:rPr>
            <w:noProof/>
            <w:webHidden/>
          </w:rPr>
          <w:fldChar w:fldCharType="separate"/>
        </w:r>
        <w:r w:rsidR="00042677">
          <w:rPr>
            <w:noProof/>
            <w:webHidden/>
          </w:rPr>
          <w:t>18</w:t>
        </w:r>
        <w:r w:rsidR="00A64830">
          <w:rPr>
            <w:noProof/>
            <w:webHidden/>
          </w:rPr>
          <w:fldChar w:fldCharType="end"/>
        </w:r>
      </w:hyperlink>
    </w:p>
    <w:p w:rsidR="00A64830" w:rsidRDefault="000F30C0" w:rsidP="00334983">
      <w:pPr>
        <w:pStyle w:val="TOC3"/>
        <w:rPr>
          <w:rFonts w:asciiTheme="minorHAnsi" w:eastAsiaTheme="minorEastAsia" w:hAnsiTheme="minorHAnsi" w:cstheme="minorBidi"/>
          <w:noProof/>
          <w:sz w:val="22"/>
          <w:szCs w:val="22"/>
        </w:rPr>
      </w:pPr>
      <w:hyperlink w:anchor="_Toc395604492" w:history="1">
        <w:r w:rsidR="00A64830" w:rsidRPr="00965590">
          <w:rPr>
            <w:rStyle w:val="Hyperlink"/>
            <w:noProof/>
          </w:rPr>
          <w:t>4.</w:t>
        </w:r>
        <w:r w:rsidR="00A64830">
          <w:rPr>
            <w:rFonts w:asciiTheme="minorHAnsi" w:eastAsiaTheme="minorEastAsia" w:hAnsiTheme="minorHAnsi" w:cstheme="minorBidi"/>
            <w:noProof/>
            <w:sz w:val="22"/>
            <w:szCs w:val="22"/>
          </w:rPr>
          <w:tab/>
        </w:r>
        <w:r w:rsidR="00A64830" w:rsidRPr="00965590">
          <w:rPr>
            <w:rStyle w:val="Hyperlink"/>
            <w:noProof/>
          </w:rPr>
          <w:t>Directed Verdict, now known as Motion for Judgment as a Matter of Law (JMOL).  See Section F.2, at page 25.</w:t>
        </w:r>
        <w:r w:rsidR="00A64830">
          <w:rPr>
            <w:noProof/>
            <w:webHidden/>
          </w:rPr>
          <w:tab/>
        </w:r>
        <w:r w:rsidR="00A64830">
          <w:rPr>
            <w:noProof/>
            <w:webHidden/>
          </w:rPr>
          <w:fldChar w:fldCharType="begin"/>
        </w:r>
        <w:r w:rsidR="00A64830">
          <w:rPr>
            <w:noProof/>
            <w:webHidden/>
          </w:rPr>
          <w:instrText xml:space="preserve"> PAGEREF _Toc395604492 \h </w:instrText>
        </w:r>
        <w:r w:rsidR="00A64830">
          <w:rPr>
            <w:noProof/>
            <w:webHidden/>
          </w:rPr>
        </w:r>
        <w:r w:rsidR="00A64830">
          <w:rPr>
            <w:noProof/>
            <w:webHidden/>
          </w:rPr>
          <w:fldChar w:fldCharType="separate"/>
        </w:r>
        <w:r w:rsidR="00042677">
          <w:rPr>
            <w:noProof/>
            <w:webHidden/>
          </w:rPr>
          <w:t>18</w:t>
        </w:r>
        <w:r w:rsidR="00A64830">
          <w:rPr>
            <w:noProof/>
            <w:webHidden/>
          </w:rPr>
          <w:fldChar w:fldCharType="end"/>
        </w:r>
      </w:hyperlink>
    </w:p>
    <w:p w:rsidR="00A64830" w:rsidRDefault="000F30C0" w:rsidP="00334983">
      <w:pPr>
        <w:pStyle w:val="TOC3"/>
        <w:rPr>
          <w:rFonts w:asciiTheme="minorHAnsi" w:eastAsiaTheme="minorEastAsia" w:hAnsiTheme="minorHAnsi" w:cstheme="minorBidi"/>
          <w:noProof/>
          <w:sz w:val="22"/>
          <w:szCs w:val="22"/>
        </w:rPr>
      </w:pPr>
      <w:hyperlink w:anchor="_Toc395604493" w:history="1">
        <w:r w:rsidR="00A64830" w:rsidRPr="00965590">
          <w:rPr>
            <w:rStyle w:val="Hyperlink"/>
            <w:noProof/>
          </w:rPr>
          <w:t>5.</w:t>
        </w:r>
        <w:r w:rsidR="00A64830">
          <w:rPr>
            <w:rFonts w:asciiTheme="minorHAnsi" w:eastAsiaTheme="minorEastAsia" w:hAnsiTheme="minorHAnsi" w:cstheme="minorBidi"/>
            <w:noProof/>
            <w:sz w:val="22"/>
            <w:szCs w:val="22"/>
          </w:rPr>
          <w:tab/>
        </w:r>
        <w:r w:rsidR="00A64830" w:rsidRPr="00965590">
          <w:rPr>
            <w:rStyle w:val="Hyperlink"/>
            <w:noProof/>
          </w:rPr>
          <w:t>Jury Instructions</w:t>
        </w:r>
        <w:r w:rsidR="00A64830">
          <w:rPr>
            <w:noProof/>
            <w:webHidden/>
          </w:rPr>
          <w:tab/>
        </w:r>
        <w:r w:rsidR="00A64830">
          <w:rPr>
            <w:noProof/>
            <w:webHidden/>
          </w:rPr>
          <w:fldChar w:fldCharType="begin"/>
        </w:r>
        <w:r w:rsidR="00A64830">
          <w:rPr>
            <w:noProof/>
            <w:webHidden/>
          </w:rPr>
          <w:instrText xml:space="preserve"> PAGEREF _Toc395604493 \h </w:instrText>
        </w:r>
        <w:r w:rsidR="00A64830">
          <w:rPr>
            <w:noProof/>
            <w:webHidden/>
          </w:rPr>
        </w:r>
        <w:r w:rsidR="00A64830">
          <w:rPr>
            <w:noProof/>
            <w:webHidden/>
          </w:rPr>
          <w:fldChar w:fldCharType="separate"/>
        </w:r>
        <w:r w:rsidR="00042677">
          <w:rPr>
            <w:noProof/>
            <w:webHidden/>
          </w:rPr>
          <w:t>18</w:t>
        </w:r>
        <w:r w:rsidR="00A64830">
          <w:rPr>
            <w:noProof/>
            <w:webHidden/>
          </w:rPr>
          <w:fldChar w:fldCharType="end"/>
        </w:r>
      </w:hyperlink>
    </w:p>
    <w:p w:rsidR="00A64830" w:rsidRDefault="000F30C0" w:rsidP="00334983">
      <w:pPr>
        <w:pStyle w:val="TOC3"/>
        <w:rPr>
          <w:rFonts w:asciiTheme="minorHAnsi" w:eastAsiaTheme="minorEastAsia" w:hAnsiTheme="minorHAnsi" w:cstheme="minorBidi"/>
          <w:noProof/>
          <w:sz w:val="22"/>
          <w:szCs w:val="22"/>
        </w:rPr>
      </w:pPr>
      <w:hyperlink w:anchor="_Toc395604494" w:history="1">
        <w:r w:rsidR="00A64830" w:rsidRPr="00965590">
          <w:rPr>
            <w:rStyle w:val="Hyperlink"/>
            <w:noProof/>
          </w:rPr>
          <w:t>6.</w:t>
        </w:r>
        <w:r w:rsidR="00A64830">
          <w:rPr>
            <w:rFonts w:asciiTheme="minorHAnsi" w:eastAsiaTheme="minorEastAsia" w:hAnsiTheme="minorHAnsi" w:cstheme="minorBidi"/>
            <w:noProof/>
            <w:sz w:val="22"/>
            <w:szCs w:val="22"/>
          </w:rPr>
          <w:tab/>
        </w:r>
        <w:r w:rsidR="00A64830" w:rsidRPr="00965590">
          <w:rPr>
            <w:rStyle w:val="Hyperlink"/>
            <w:noProof/>
          </w:rPr>
          <w:t>Findings of Fact</w:t>
        </w:r>
        <w:r w:rsidR="00A64830">
          <w:rPr>
            <w:noProof/>
            <w:webHidden/>
          </w:rPr>
          <w:tab/>
        </w:r>
        <w:r w:rsidR="00A64830">
          <w:rPr>
            <w:noProof/>
            <w:webHidden/>
          </w:rPr>
          <w:fldChar w:fldCharType="begin"/>
        </w:r>
        <w:r w:rsidR="00A64830">
          <w:rPr>
            <w:noProof/>
            <w:webHidden/>
          </w:rPr>
          <w:instrText xml:space="preserve"> PAGEREF _Toc395604494 \h </w:instrText>
        </w:r>
        <w:r w:rsidR="00A64830">
          <w:rPr>
            <w:noProof/>
            <w:webHidden/>
          </w:rPr>
        </w:r>
        <w:r w:rsidR="00A64830">
          <w:rPr>
            <w:noProof/>
            <w:webHidden/>
          </w:rPr>
          <w:fldChar w:fldCharType="separate"/>
        </w:r>
        <w:r w:rsidR="00042677">
          <w:rPr>
            <w:noProof/>
            <w:webHidden/>
          </w:rPr>
          <w:t>18</w:t>
        </w:r>
        <w:r w:rsidR="00A64830">
          <w:rPr>
            <w:noProof/>
            <w:webHidden/>
          </w:rPr>
          <w:fldChar w:fldCharType="end"/>
        </w:r>
      </w:hyperlink>
    </w:p>
    <w:p w:rsidR="00A64830" w:rsidRDefault="000F30C0" w:rsidP="00334983">
      <w:pPr>
        <w:pStyle w:val="TOC4"/>
        <w:tabs>
          <w:tab w:val="left" w:pos="1200"/>
          <w:tab w:val="right" w:leader="dot" w:pos="9350"/>
        </w:tabs>
        <w:spacing w:after="0"/>
        <w:rPr>
          <w:rFonts w:asciiTheme="minorHAnsi" w:eastAsiaTheme="minorEastAsia" w:hAnsiTheme="minorHAnsi" w:cstheme="minorBidi"/>
          <w:noProof/>
          <w:sz w:val="22"/>
          <w:szCs w:val="22"/>
        </w:rPr>
      </w:pPr>
      <w:hyperlink w:anchor="_Toc395604495" w:history="1">
        <w:r w:rsidR="00A64830" w:rsidRPr="00965590">
          <w:rPr>
            <w:rStyle w:val="Hyperlink"/>
            <w:noProof/>
          </w:rPr>
          <w:t>a.</w:t>
        </w:r>
        <w:r w:rsidR="00A64830">
          <w:rPr>
            <w:rFonts w:asciiTheme="minorHAnsi" w:eastAsiaTheme="minorEastAsia" w:hAnsiTheme="minorHAnsi" w:cstheme="minorBidi"/>
            <w:noProof/>
            <w:sz w:val="22"/>
            <w:szCs w:val="22"/>
          </w:rPr>
          <w:tab/>
        </w:r>
        <w:r w:rsidR="00A64830" w:rsidRPr="00965590">
          <w:rPr>
            <w:rStyle w:val="Hyperlink"/>
            <w:noProof/>
          </w:rPr>
          <w:t>Jury Findings</w:t>
        </w:r>
        <w:r w:rsidR="00A64830">
          <w:rPr>
            <w:noProof/>
            <w:webHidden/>
          </w:rPr>
          <w:tab/>
        </w:r>
        <w:r w:rsidR="00A64830">
          <w:rPr>
            <w:noProof/>
            <w:webHidden/>
          </w:rPr>
          <w:fldChar w:fldCharType="begin"/>
        </w:r>
        <w:r w:rsidR="00A64830">
          <w:rPr>
            <w:noProof/>
            <w:webHidden/>
          </w:rPr>
          <w:instrText xml:space="preserve"> PAGEREF _Toc395604495 \h </w:instrText>
        </w:r>
        <w:r w:rsidR="00A64830">
          <w:rPr>
            <w:noProof/>
            <w:webHidden/>
          </w:rPr>
        </w:r>
        <w:r w:rsidR="00A64830">
          <w:rPr>
            <w:noProof/>
            <w:webHidden/>
          </w:rPr>
          <w:fldChar w:fldCharType="separate"/>
        </w:r>
        <w:r w:rsidR="00042677">
          <w:rPr>
            <w:noProof/>
            <w:webHidden/>
          </w:rPr>
          <w:t>18</w:t>
        </w:r>
        <w:r w:rsidR="00A64830">
          <w:rPr>
            <w:noProof/>
            <w:webHidden/>
          </w:rPr>
          <w:fldChar w:fldCharType="end"/>
        </w:r>
      </w:hyperlink>
    </w:p>
    <w:p w:rsidR="00A64830" w:rsidRDefault="000F30C0" w:rsidP="00334983">
      <w:pPr>
        <w:pStyle w:val="TOC5"/>
        <w:tabs>
          <w:tab w:val="left" w:pos="1540"/>
          <w:tab w:val="right" w:leader="dot" w:pos="9350"/>
        </w:tabs>
        <w:spacing w:after="0"/>
        <w:rPr>
          <w:rFonts w:asciiTheme="minorHAnsi" w:eastAsiaTheme="minorEastAsia" w:hAnsiTheme="minorHAnsi" w:cstheme="minorBidi"/>
          <w:noProof/>
          <w:sz w:val="22"/>
          <w:szCs w:val="22"/>
        </w:rPr>
      </w:pPr>
      <w:hyperlink w:anchor="_Toc395604496" w:history="1">
        <w:r w:rsidR="00A64830" w:rsidRPr="00965590">
          <w:rPr>
            <w:rStyle w:val="Hyperlink"/>
            <w:noProof/>
          </w:rPr>
          <w:t>(1)</w:t>
        </w:r>
        <w:r w:rsidR="00A64830">
          <w:rPr>
            <w:rFonts w:asciiTheme="minorHAnsi" w:eastAsiaTheme="minorEastAsia" w:hAnsiTheme="minorHAnsi" w:cstheme="minorBidi"/>
            <w:noProof/>
            <w:sz w:val="22"/>
            <w:szCs w:val="22"/>
          </w:rPr>
          <w:tab/>
        </w:r>
        <w:r w:rsidR="00A64830" w:rsidRPr="00965590">
          <w:rPr>
            <w:rStyle w:val="Hyperlink"/>
            <w:noProof/>
          </w:rPr>
          <w:t>General Verdicts</w:t>
        </w:r>
        <w:r w:rsidR="00A64830">
          <w:rPr>
            <w:noProof/>
            <w:webHidden/>
          </w:rPr>
          <w:tab/>
        </w:r>
        <w:r w:rsidR="00A64830">
          <w:rPr>
            <w:noProof/>
            <w:webHidden/>
          </w:rPr>
          <w:fldChar w:fldCharType="begin"/>
        </w:r>
        <w:r w:rsidR="00A64830">
          <w:rPr>
            <w:noProof/>
            <w:webHidden/>
          </w:rPr>
          <w:instrText xml:space="preserve"> PAGEREF _Toc395604496 \h </w:instrText>
        </w:r>
        <w:r w:rsidR="00A64830">
          <w:rPr>
            <w:noProof/>
            <w:webHidden/>
          </w:rPr>
        </w:r>
        <w:r w:rsidR="00A64830">
          <w:rPr>
            <w:noProof/>
            <w:webHidden/>
          </w:rPr>
          <w:fldChar w:fldCharType="separate"/>
        </w:r>
        <w:r w:rsidR="00042677">
          <w:rPr>
            <w:noProof/>
            <w:webHidden/>
          </w:rPr>
          <w:t>18</w:t>
        </w:r>
        <w:r w:rsidR="00A64830">
          <w:rPr>
            <w:noProof/>
            <w:webHidden/>
          </w:rPr>
          <w:fldChar w:fldCharType="end"/>
        </w:r>
      </w:hyperlink>
    </w:p>
    <w:p w:rsidR="00A64830" w:rsidRDefault="000F30C0" w:rsidP="00334983">
      <w:pPr>
        <w:pStyle w:val="TOC5"/>
        <w:tabs>
          <w:tab w:val="left" w:pos="1540"/>
          <w:tab w:val="right" w:leader="dot" w:pos="9350"/>
        </w:tabs>
        <w:spacing w:after="0"/>
        <w:rPr>
          <w:rFonts w:asciiTheme="minorHAnsi" w:eastAsiaTheme="minorEastAsia" w:hAnsiTheme="minorHAnsi" w:cstheme="minorBidi"/>
          <w:noProof/>
          <w:sz w:val="22"/>
          <w:szCs w:val="22"/>
        </w:rPr>
      </w:pPr>
      <w:hyperlink w:anchor="_Toc395604497" w:history="1">
        <w:r w:rsidR="00A64830" w:rsidRPr="00965590">
          <w:rPr>
            <w:rStyle w:val="Hyperlink"/>
            <w:noProof/>
          </w:rPr>
          <w:t>(2)</w:t>
        </w:r>
        <w:r w:rsidR="00A64830">
          <w:rPr>
            <w:rFonts w:asciiTheme="minorHAnsi" w:eastAsiaTheme="minorEastAsia" w:hAnsiTheme="minorHAnsi" w:cstheme="minorBidi"/>
            <w:noProof/>
            <w:sz w:val="22"/>
            <w:szCs w:val="22"/>
          </w:rPr>
          <w:tab/>
        </w:r>
        <w:r w:rsidR="00A64830" w:rsidRPr="00965590">
          <w:rPr>
            <w:rStyle w:val="Hyperlink"/>
            <w:noProof/>
          </w:rPr>
          <w:t>Special Verdicts</w:t>
        </w:r>
        <w:r w:rsidR="00A64830">
          <w:rPr>
            <w:noProof/>
            <w:webHidden/>
          </w:rPr>
          <w:tab/>
        </w:r>
        <w:r w:rsidR="00A64830">
          <w:rPr>
            <w:noProof/>
            <w:webHidden/>
          </w:rPr>
          <w:fldChar w:fldCharType="begin"/>
        </w:r>
        <w:r w:rsidR="00A64830">
          <w:rPr>
            <w:noProof/>
            <w:webHidden/>
          </w:rPr>
          <w:instrText xml:space="preserve"> PAGEREF _Toc395604497 \h </w:instrText>
        </w:r>
        <w:r w:rsidR="00A64830">
          <w:rPr>
            <w:noProof/>
            <w:webHidden/>
          </w:rPr>
        </w:r>
        <w:r w:rsidR="00A64830">
          <w:rPr>
            <w:noProof/>
            <w:webHidden/>
          </w:rPr>
          <w:fldChar w:fldCharType="separate"/>
        </w:r>
        <w:r w:rsidR="00042677">
          <w:rPr>
            <w:noProof/>
            <w:webHidden/>
          </w:rPr>
          <w:t>19</w:t>
        </w:r>
        <w:r w:rsidR="00A64830">
          <w:rPr>
            <w:noProof/>
            <w:webHidden/>
          </w:rPr>
          <w:fldChar w:fldCharType="end"/>
        </w:r>
      </w:hyperlink>
    </w:p>
    <w:p w:rsidR="00A64830" w:rsidRDefault="000F30C0" w:rsidP="00334983">
      <w:pPr>
        <w:pStyle w:val="TOC4"/>
        <w:tabs>
          <w:tab w:val="left" w:pos="1200"/>
          <w:tab w:val="right" w:leader="dot" w:pos="9350"/>
        </w:tabs>
        <w:spacing w:after="0"/>
        <w:rPr>
          <w:rStyle w:val="Hyperlink"/>
          <w:noProof/>
        </w:rPr>
      </w:pPr>
      <w:hyperlink w:anchor="_Toc395604498" w:history="1">
        <w:r w:rsidR="00A64830" w:rsidRPr="00965590">
          <w:rPr>
            <w:rStyle w:val="Hyperlink"/>
            <w:noProof/>
          </w:rPr>
          <w:t>b.</w:t>
        </w:r>
        <w:r w:rsidR="00A64830">
          <w:rPr>
            <w:rFonts w:asciiTheme="minorHAnsi" w:eastAsiaTheme="minorEastAsia" w:hAnsiTheme="minorHAnsi" w:cstheme="minorBidi"/>
            <w:noProof/>
            <w:sz w:val="22"/>
            <w:szCs w:val="22"/>
          </w:rPr>
          <w:tab/>
        </w:r>
        <w:r w:rsidR="00A64830" w:rsidRPr="00965590">
          <w:rPr>
            <w:rStyle w:val="Hyperlink"/>
            <w:noProof/>
          </w:rPr>
          <w:t>District Court Findings</w:t>
        </w:r>
        <w:r w:rsidR="00A64830">
          <w:rPr>
            <w:noProof/>
            <w:webHidden/>
          </w:rPr>
          <w:tab/>
        </w:r>
        <w:r w:rsidR="00A64830">
          <w:rPr>
            <w:noProof/>
            <w:webHidden/>
          </w:rPr>
          <w:fldChar w:fldCharType="begin"/>
        </w:r>
        <w:r w:rsidR="00A64830">
          <w:rPr>
            <w:noProof/>
            <w:webHidden/>
          </w:rPr>
          <w:instrText xml:space="preserve"> PAGEREF _Toc395604498 \h </w:instrText>
        </w:r>
        <w:r w:rsidR="00A64830">
          <w:rPr>
            <w:noProof/>
            <w:webHidden/>
          </w:rPr>
        </w:r>
        <w:r w:rsidR="00A64830">
          <w:rPr>
            <w:noProof/>
            <w:webHidden/>
          </w:rPr>
          <w:fldChar w:fldCharType="separate"/>
        </w:r>
        <w:r w:rsidR="00042677">
          <w:rPr>
            <w:noProof/>
            <w:webHidden/>
          </w:rPr>
          <w:t>19</w:t>
        </w:r>
        <w:r w:rsidR="00A64830">
          <w:rPr>
            <w:noProof/>
            <w:webHidden/>
          </w:rPr>
          <w:fldChar w:fldCharType="end"/>
        </w:r>
      </w:hyperlink>
    </w:p>
    <w:p w:rsidR="00A64830" w:rsidRPr="00A64830" w:rsidRDefault="00A64830" w:rsidP="00334983">
      <w:pPr>
        <w:rPr>
          <w:rFonts w:eastAsiaTheme="minorEastAsia"/>
        </w:rPr>
      </w:pPr>
    </w:p>
    <w:p w:rsidR="00A64830" w:rsidRDefault="000F30C0" w:rsidP="00334983">
      <w:pPr>
        <w:pStyle w:val="TOC2"/>
        <w:rPr>
          <w:rFonts w:asciiTheme="minorHAnsi" w:eastAsiaTheme="minorEastAsia" w:hAnsiTheme="minorHAnsi" w:cstheme="minorBidi"/>
          <w:noProof/>
          <w:sz w:val="22"/>
          <w:szCs w:val="22"/>
        </w:rPr>
      </w:pPr>
      <w:hyperlink w:anchor="_Toc395604499" w:history="1">
        <w:r w:rsidR="00A64830" w:rsidRPr="00965590">
          <w:rPr>
            <w:rStyle w:val="Hyperlink"/>
            <w:noProof/>
          </w:rPr>
          <w:t>E.</w:t>
        </w:r>
        <w:r w:rsidR="00A64830">
          <w:rPr>
            <w:rFonts w:asciiTheme="minorHAnsi" w:eastAsiaTheme="minorEastAsia" w:hAnsiTheme="minorHAnsi" w:cstheme="minorBidi"/>
            <w:noProof/>
            <w:sz w:val="22"/>
            <w:szCs w:val="22"/>
          </w:rPr>
          <w:tab/>
        </w:r>
        <w:r w:rsidR="00A64830" w:rsidRPr="00965590">
          <w:rPr>
            <w:rStyle w:val="Hyperlink"/>
            <w:noProof/>
          </w:rPr>
          <w:t>REMEDIES</w:t>
        </w:r>
        <w:r w:rsidR="00A64830">
          <w:rPr>
            <w:noProof/>
            <w:webHidden/>
          </w:rPr>
          <w:tab/>
        </w:r>
        <w:r w:rsidR="00A64830">
          <w:rPr>
            <w:noProof/>
            <w:webHidden/>
          </w:rPr>
          <w:fldChar w:fldCharType="begin"/>
        </w:r>
        <w:r w:rsidR="00A64830">
          <w:rPr>
            <w:noProof/>
            <w:webHidden/>
          </w:rPr>
          <w:instrText xml:space="preserve"> PAGEREF _Toc395604499 \h </w:instrText>
        </w:r>
        <w:r w:rsidR="00A64830">
          <w:rPr>
            <w:noProof/>
            <w:webHidden/>
          </w:rPr>
        </w:r>
        <w:r w:rsidR="00A64830">
          <w:rPr>
            <w:noProof/>
            <w:webHidden/>
          </w:rPr>
          <w:fldChar w:fldCharType="separate"/>
        </w:r>
        <w:r w:rsidR="00042677">
          <w:rPr>
            <w:noProof/>
            <w:webHidden/>
          </w:rPr>
          <w:t>20</w:t>
        </w:r>
        <w:r w:rsidR="00A64830">
          <w:rPr>
            <w:noProof/>
            <w:webHidden/>
          </w:rPr>
          <w:fldChar w:fldCharType="end"/>
        </w:r>
      </w:hyperlink>
    </w:p>
    <w:p w:rsidR="00A64830" w:rsidRDefault="000F30C0" w:rsidP="00334983">
      <w:pPr>
        <w:pStyle w:val="TOC3"/>
        <w:rPr>
          <w:rFonts w:asciiTheme="minorHAnsi" w:eastAsiaTheme="minorEastAsia" w:hAnsiTheme="minorHAnsi" w:cstheme="minorBidi"/>
          <w:noProof/>
          <w:sz w:val="22"/>
          <w:szCs w:val="22"/>
        </w:rPr>
      </w:pPr>
      <w:hyperlink w:anchor="_Toc395604500" w:history="1">
        <w:r w:rsidR="00A64830" w:rsidRPr="00965590">
          <w:rPr>
            <w:rStyle w:val="Hyperlink"/>
            <w:noProof/>
          </w:rPr>
          <w:t>1.</w:t>
        </w:r>
        <w:r w:rsidR="00A64830">
          <w:rPr>
            <w:rFonts w:asciiTheme="minorHAnsi" w:eastAsiaTheme="minorEastAsia" w:hAnsiTheme="minorHAnsi" w:cstheme="minorBidi"/>
            <w:noProof/>
            <w:sz w:val="22"/>
            <w:szCs w:val="22"/>
          </w:rPr>
          <w:tab/>
        </w:r>
        <w:r w:rsidR="00A64830" w:rsidRPr="00965590">
          <w:rPr>
            <w:rStyle w:val="Hyperlink"/>
            <w:noProof/>
          </w:rPr>
          <w:t>Monetary Remedies</w:t>
        </w:r>
        <w:r w:rsidR="00A64830">
          <w:rPr>
            <w:noProof/>
            <w:webHidden/>
          </w:rPr>
          <w:tab/>
        </w:r>
        <w:r w:rsidR="00A64830">
          <w:rPr>
            <w:noProof/>
            <w:webHidden/>
          </w:rPr>
          <w:fldChar w:fldCharType="begin"/>
        </w:r>
        <w:r w:rsidR="00A64830">
          <w:rPr>
            <w:noProof/>
            <w:webHidden/>
          </w:rPr>
          <w:instrText xml:space="preserve"> PAGEREF _Toc395604500 \h </w:instrText>
        </w:r>
        <w:r w:rsidR="00A64830">
          <w:rPr>
            <w:noProof/>
            <w:webHidden/>
          </w:rPr>
        </w:r>
        <w:r w:rsidR="00A64830">
          <w:rPr>
            <w:noProof/>
            <w:webHidden/>
          </w:rPr>
          <w:fldChar w:fldCharType="separate"/>
        </w:r>
        <w:r w:rsidR="00042677">
          <w:rPr>
            <w:noProof/>
            <w:webHidden/>
          </w:rPr>
          <w:t>20</w:t>
        </w:r>
        <w:r w:rsidR="00A64830">
          <w:rPr>
            <w:noProof/>
            <w:webHidden/>
          </w:rPr>
          <w:fldChar w:fldCharType="end"/>
        </w:r>
      </w:hyperlink>
    </w:p>
    <w:p w:rsidR="00A64830" w:rsidRDefault="000F30C0" w:rsidP="00334983">
      <w:pPr>
        <w:pStyle w:val="TOC4"/>
        <w:tabs>
          <w:tab w:val="left" w:pos="1200"/>
          <w:tab w:val="right" w:leader="dot" w:pos="9350"/>
        </w:tabs>
        <w:spacing w:after="0"/>
        <w:rPr>
          <w:rFonts w:asciiTheme="minorHAnsi" w:eastAsiaTheme="minorEastAsia" w:hAnsiTheme="minorHAnsi" w:cstheme="minorBidi"/>
          <w:noProof/>
          <w:sz w:val="22"/>
          <w:szCs w:val="22"/>
        </w:rPr>
      </w:pPr>
      <w:hyperlink w:anchor="_Toc395604501" w:history="1">
        <w:r w:rsidR="00A64830" w:rsidRPr="00965590">
          <w:rPr>
            <w:rStyle w:val="Hyperlink"/>
            <w:noProof/>
          </w:rPr>
          <w:t>a.</w:t>
        </w:r>
        <w:r w:rsidR="00A64830">
          <w:rPr>
            <w:rFonts w:asciiTheme="minorHAnsi" w:eastAsiaTheme="minorEastAsia" w:hAnsiTheme="minorHAnsi" w:cstheme="minorBidi"/>
            <w:noProof/>
            <w:sz w:val="22"/>
            <w:szCs w:val="22"/>
          </w:rPr>
          <w:tab/>
        </w:r>
        <w:r w:rsidR="00A64830" w:rsidRPr="00965590">
          <w:rPr>
            <w:rStyle w:val="Hyperlink"/>
            <w:noProof/>
          </w:rPr>
          <w:t>Amount of Award in General</w:t>
        </w:r>
        <w:r w:rsidR="00A64830">
          <w:rPr>
            <w:noProof/>
            <w:webHidden/>
          </w:rPr>
          <w:tab/>
        </w:r>
        <w:r w:rsidR="00A64830">
          <w:rPr>
            <w:noProof/>
            <w:webHidden/>
          </w:rPr>
          <w:fldChar w:fldCharType="begin"/>
        </w:r>
        <w:r w:rsidR="00A64830">
          <w:rPr>
            <w:noProof/>
            <w:webHidden/>
          </w:rPr>
          <w:instrText xml:space="preserve"> PAGEREF _Toc395604501 \h </w:instrText>
        </w:r>
        <w:r w:rsidR="00A64830">
          <w:rPr>
            <w:noProof/>
            <w:webHidden/>
          </w:rPr>
        </w:r>
        <w:r w:rsidR="00A64830">
          <w:rPr>
            <w:noProof/>
            <w:webHidden/>
          </w:rPr>
          <w:fldChar w:fldCharType="separate"/>
        </w:r>
        <w:r w:rsidR="00042677">
          <w:rPr>
            <w:noProof/>
            <w:webHidden/>
          </w:rPr>
          <w:t>20</w:t>
        </w:r>
        <w:r w:rsidR="00A64830">
          <w:rPr>
            <w:noProof/>
            <w:webHidden/>
          </w:rPr>
          <w:fldChar w:fldCharType="end"/>
        </w:r>
      </w:hyperlink>
    </w:p>
    <w:p w:rsidR="00A64830" w:rsidRDefault="000F30C0" w:rsidP="00334983">
      <w:pPr>
        <w:pStyle w:val="TOC4"/>
        <w:tabs>
          <w:tab w:val="left" w:pos="1200"/>
          <w:tab w:val="right" w:leader="dot" w:pos="9350"/>
        </w:tabs>
        <w:spacing w:after="0"/>
        <w:rPr>
          <w:rFonts w:asciiTheme="minorHAnsi" w:eastAsiaTheme="minorEastAsia" w:hAnsiTheme="minorHAnsi" w:cstheme="minorBidi"/>
          <w:noProof/>
          <w:sz w:val="22"/>
          <w:szCs w:val="22"/>
        </w:rPr>
      </w:pPr>
      <w:hyperlink w:anchor="_Toc395604502" w:history="1">
        <w:r w:rsidR="00A64830" w:rsidRPr="00965590">
          <w:rPr>
            <w:rStyle w:val="Hyperlink"/>
            <w:noProof/>
          </w:rPr>
          <w:t>b.</w:t>
        </w:r>
        <w:r w:rsidR="00A64830">
          <w:rPr>
            <w:rFonts w:asciiTheme="minorHAnsi" w:eastAsiaTheme="minorEastAsia" w:hAnsiTheme="minorHAnsi" w:cstheme="minorBidi"/>
            <w:noProof/>
            <w:sz w:val="22"/>
            <w:szCs w:val="22"/>
          </w:rPr>
          <w:tab/>
        </w:r>
        <w:r w:rsidR="00A64830" w:rsidRPr="00965590">
          <w:rPr>
            <w:rStyle w:val="Hyperlink"/>
            <w:noProof/>
          </w:rPr>
          <w:t>Additur and Remittitur</w:t>
        </w:r>
        <w:r w:rsidR="00A64830">
          <w:rPr>
            <w:noProof/>
            <w:webHidden/>
          </w:rPr>
          <w:tab/>
        </w:r>
        <w:r w:rsidR="00A64830">
          <w:rPr>
            <w:noProof/>
            <w:webHidden/>
          </w:rPr>
          <w:fldChar w:fldCharType="begin"/>
        </w:r>
        <w:r w:rsidR="00A64830">
          <w:rPr>
            <w:noProof/>
            <w:webHidden/>
          </w:rPr>
          <w:instrText xml:space="preserve"> PAGEREF _Toc395604502 \h </w:instrText>
        </w:r>
        <w:r w:rsidR="00A64830">
          <w:rPr>
            <w:noProof/>
            <w:webHidden/>
          </w:rPr>
        </w:r>
        <w:r w:rsidR="00A64830">
          <w:rPr>
            <w:noProof/>
            <w:webHidden/>
          </w:rPr>
          <w:fldChar w:fldCharType="separate"/>
        </w:r>
        <w:r w:rsidR="00042677">
          <w:rPr>
            <w:noProof/>
            <w:webHidden/>
          </w:rPr>
          <w:t>20</w:t>
        </w:r>
        <w:r w:rsidR="00A64830">
          <w:rPr>
            <w:noProof/>
            <w:webHidden/>
          </w:rPr>
          <w:fldChar w:fldCharType="end"/>
        </w:r>
      </w:hyperlink>
    </w:p>
    <w:p w:rsidR="00A64830" w:rsidRDefault="000F30C0" w:rsidP="00334983">
      <w:pPr>
        <w:pStyle w:val="TOC4"/>
        <w:tabs>
          <w:tab w:val="left" w:pos="1200"/>
          <w:tab w:val="right" w:leader="dot" w:pos="9350"/>
        </w:tabs>
        <w:spacing w:after="0"/>
        <w:rPr>
          <w:rFonts w:asciiTheme="minorHAnsi" w:eastAsiaTheme="minorEastAsia" w:hAnsiTheme="minorHAnsi" w:cstheme="minorBidi"/>
          <w:noProof/>
          <w:sz w:val="22"/>
          <w:szCs w:val="22"/>
        </w:rPr>
      </w:pPr>
      <w:hyperlink w:anchor="_Toc395604503" w:history="1">
        <w:r w:rsidR="00A64830" w:rsidRPr="00965590">
          <w:rPr>
            <w:rStyle w:val="Hyperlink"/>
            <w:noProof/>
          </w:rPr>
          <w:t>c.</w:t>
        </w:r>
        <w:r w:rsidR="00A64830">
          <w:rPr>
            <w:rFonts w:asciiTheme="minorHAnsi" w:eastAsiaTheme="minorEastAsia" w:hAnsiTheme="minorHAnsi" w:cstheme="minorBidi"/>
            <w:noProof/>
            <w:sz w:val="22"/>
            <w:szCs w:val="22"/>
          </w:rPr>
          <w:tab/>
        </w:r>
        <w:r w:rsidR="00A64830" w:rsidRPr="00965590">
          <w:rPr>
            <w:rStyle w:val="Hyperlink"/>
            <w:noProof/>
          </w:rPr>
          <w:t>Special and Punitive Damages</w:t>
        </w:r>
        <w:r w:rsidR="00A64830">
          <w:rPr>
            <w:noProof/>
            <w:webHidden/>
          </w:rPr>
          <w:tab/>
        </w:r>
        <w:r w:rsidR="00A64830">
          <w:rPr>
            <w:noProof/>
            <w:webHidden/>
          </w:rPr>
          <w:fldChar w:fldCharType="begin"/>
        </w:r>
        <w:r w:rsidR="00A64830">
          <w:rPr>
            <w:noProof/>
            <w:webHidden/>
          </w:rPr>
          <w:instrText xml:space="preserve"> PAGEREF _Toc395604503 \h </w:instrText>
        </w:r>
        <w:r w:rsidR="00A64830">
          <w:rPr>
            <w:noProof/>
            <w:webHidden/>
          </w:rPr>
        </w:r>
        <w:r w:rsidR="00A64830">
          <w:rPr>
            <w:noProof/>
            <w:webHidden/>
          </w:rPr>
          <w:fldChar w:fldCharType="separate"/>
        </w:r>
        <w:r w:rsidR="00042677">
          <w:rPr>
            <w:noProof/>
            <w:webHidden/>
          </w:rPr>
          <w:t>21</w:t>
        </w:r>
        <w:r w:rsidR="00A64830">
          <w:rPr>
            <w:noProof/>
            <w:webHidden/>
          </w:rPr>
          <w:fldChar w:fldCharType="end"/>
        </w:r>
      </w:hyperlink>
    </w:p>
    <w:p w:rsidR="00A64830" w:rsidRDefault="000F30C0" w:rsidP="00334983">
      <w:pPr>
        <w:pStyle w:val="TOC3"/>
        <w:rPr>
          <w:rFonts w:asciiTheme="minorHAnsi" w:eastAsiaTheme="minorEastAsia" w:hAnsiTheme="minorHAnsi" w:cstheme="minorBidi"/>
          <w:noProof/>
          <w:sz w:val="22"/>
          <w:szCs w:val="22"/>
        </w:rPr>
      </w:pPr>
      <w:hyperlink w:anchor="_Toc395604504" w:history="1">
        <w:r w:rsidR="00A64830" w:rsidRPr="00965590">
          <w:rPr>
            <w:rStyle w:val="Hyperlink"/>
            <w:noProof/>
          </w:rPr>
          <w:t>2.</w:t>
        </w:r>
        <w:r w:rsidR="00A64830">
          <w:rPr>
            <w:rFonts w:asciiTheme="minorHAnsi" w:eastAsiaTheme="minorEastAsia" w:hAnsiTheme="minorHAnsi" w:cstheme="minorBidi"/>
            <w:noProof/>
            <w:sz w:val="22"/>
            <w:szCs w:val="22"/>
          </w:rPr>
          <w:tab/>
        </w:r>
        <w:r w:rsidR="00A64830" w:rsidRPr="00965590">
          <w:rPr>
            <w:rStyle w:val="Hyperlink"/>
            <w:noProof/>
          </w:rPr>
          <w:t>Equitable Remedies</w:t>
        </w:r>
        <w:r w:rsidR="00A64830">
          <w:rPr>
            <w:noProof/>
            <w:webHidden/>
          </w:rPr>
          <w:tab/>
        </w:r>
        <w:r w:rsidR="00A64830">
          <w:rPr>
            <w:noProof/>
            <w:webHidden/>
          </w:rPr>
          <w:fldChar w:fldCharType="begin"/>
        </w:r>
        <w:r w:rsidR="00A64830">
          <w:rPr>
            <w:noProof/>
            <w:webHidden/>
          </w:rPr>
          <w:instrText xml:space="preserve"> PAGEREF _Toc395604504 \h </w:instrText>
        </w:r>
        <w:r w:rsidR="00A64830">
          <w:rPr>
            <w:noProof/>
            <w:webHidden/>
          </w:rPr>
        </w:r>
        <w:r w:rsidR="00A64830">
          <w:rPr>
            <w:noProof/>
            <w:webHidden/>
          </w:rPr>
          <w:fldChar w:fldCharType="separate"/>
        </w:r>
        <w:r w:rsidR="00042677">
          <w:rPr>
            <w:noProof/>
            <w:webHidden/>
          </w:rPr>
          <w:t>21</w:t>
        </w:r>
        <w:r w:rsidR="00A64830">
          <w:rPr>
            <w:noProof/>
            <w:webHidden/>
          </w:rPr>
          <w:fldChar w:fldCharType="end"/>
        </w:r>
      </w:hyperlink>
    </w:p>
    <w:p w:rsidR="00A64830" w:rsidRDefault="000F30C0" w:rsidP="00334983">
      <w:pPr>
        <w:pStyle w:val="TOC4"/>
        <w:tabs>
          <w:tab w:val="left" w:pos="1200"/>
          <w:tab w:val="right" w:leader="dot" w:pos="9350"/>
        </w:tabs>
        <w:spacing w:after="0"/>
        <w:rPr>
          <w:rFonts w:asciiTheme="minorHAnsi" w:eastAsiaTheme="minorEastAsia" w:hAnsiTheme="minorHAnsi" w:cstheme="minorBidi"/>
          <w:noProof/>
          <w:sz w:val="22"/>
          <w:szCs w:val="22"/>
        </w:rPr>
      </w:pPr>
      <w:hyperlink w:anchor="_Toc395604505" w:history="1">
        <w:r w:rsidR="00A64830" w:rsidRPr="00965590">
          <w:rPr>
            <w:rStyle w:val="Hyperlink"/>
            <w:noProof/>
          </w:rPr>
          <w:t>a.</w:t>
        </w:r>
        <w:r w:rsidR="00A64830">
          <w:rPr>
            <w:rFonts w:asciiTheme="minorHAnsi" w:eastAsiaTheme="minorEastAsia" w:hAnsiTheme="minorHAnsi" w:cstheme="minorBidi"/>
            <w:noProof/>
            <w:sz w:val="22"/>
            <w:szCs w:val="22"/>
          </w:rPr>
          <w:tab/>
        </w:r>
        <w:r w:rsidR="00A64830" w:rsidRPr="00965590">
          <w:rPr>
            <w:rStyle w:val="Hyperlink"/>
            <w:noProof/>
          </w:rPr>
          <w:t>In General</w:t>
        </w:r>
        <w:r w:rsidR="00A64830">
          <w:rPr>
            <w:noProof/>
            <w:webHidden/>
          </w:rPr>
          <w:tab/>
        </w:r>
        <w:r w:rsidR="00A64830">
          <w:rPr>
            <w:noProof/>
            <w:webHidden/>
          </w:rPr>
          <w:fldChar w:fldCharType="begin"/>
        </w:r>
        <w:r w:rsidR="00A64830">
          <w:rPr>
            <w:noProof/>
            <w:webHidden/>
          </w:rPr>
          <w:instrText xml:space="preserve"> PAGEREF _Toc395604505 \h </w:instrText>
        </w:r>
        <w:r w:rsidR="00A64830">
          <w:rPr>
            <w:noProof/>
            <w:webHidden/>
          </w:rPr>
        </w:r>
        <w:r w:rsidR="00A64830">
          <w:rPr>
            <w:noProof/>
            <w:webHidden/>
          </w:rPr>
          <w:fldChar w:fldCharType="separate"/>
        </w:r>
        <w:r w:rsidR="00042677">
          <w:rPr>
            <w:noProof/>
            <w:webHidden/>
          </w:rPr>
          <w:t>21</w:t>
        </w:r>
        <w:r w:rsidR="00A64830">
          <w:rPr>
            <w:noProof/>
            <w:webHidden/>
          </w:rPr>
          <w:fldChar w:fldCharType="end"/>
        </w:r>
      </w:hyperlink>
    </w:p>
    <w:p w:rsidR="00A64830" w:rsidRDefault="000F30C0" w:rsidP="00334983">
      <w:pPr>
        <w:pStyle w:val="TOC4"/>
        <w:tabs>
          <w:tab w:val="left" w:pos="1200"/>
          <w:tab w:val="right" w:leader="dot" w:pos="9350"/>
        </w:tabs>
        <w:spacing w:after="0"/>
        <w:rPr>
          <w:rFonts w:asciiTheme="minorHAnsi" w:eastAsiaTheme="minorEastAsia" w:hAnsiTheme="minorHAnsi" w:cstheme="minorBidi"/>
          <w:noProof/>
          <w:sz w:val="22"/>
          <w:szCs w:val="22"/>
        </w:rPr>
      </w:pPr>
      <w:hyperlink w:anchor="_Toc395604506" w:history="1">
        <w:r w:rsidR="00A64830" w:rsidRPr="00965590">
          <w:rPr>
            <w:rStyle w:val="Hyperlink"/>
            <w:noProof/>
          </w:rPr>
          <w:t>b.</w:t>
        </w:r>
        <w:r w:rsidR="00A64830">
          <w:rPr>
            <w:rFonts w:asciiTheme="minorHAnsi" w:eastAsiaTheme="minorEastAsia" w:hAnsiTheme="minorHAnsi" w:cstheme="minorBidi"/>
            <w:noProof/>
            <w:sz w:val="22"/>
            <w:szCs w:val="22"/>
          </w:rPr>
          <w:tab/>
        </w:r>
        <w:r w:rsidR="00A64830" w:rsidRPr="00965590">
          <w:rPr>
            <w:rStyle w:val="Hyperlink"/>
            <w:noProof/>
          </w:rPr>
          <w:t>Specific Performance</w:t>
        </w:r>
        <w:r w:rsidR="00A64830">
          <w:rPr>
            <w:noProof/>
            <w:webHidden/>
          </w:rPr>
          <w:tab/>
        </w:r>
        <w:r w:rsidR="00A64830">
          <w:rPr>
            <w:noProof/>
            <w:webHidden/>
          </w:rPr>
          <w:fldChar w:fldCharType="begin"/>
        </w:r>
        <w:r w:rsidR="00A64830">
          <w:rPr>
            <w:noProof/>
            <w:webHidden/>
          </w:rPr>
          <w:instrText xml:space="preserve"> PAGEREF _Toc395604506 \h </w:instrText>
        </w:r>
        <w:r w:rsidR="00A64830">
          <w:rPr>
            <w:noProof/>
            <w:webHidden/>
          </w:rPr>
        </w:r>
        <w:r w:rsidR="00A64830">
          <w:rPr>
            <w:noProof/>
            <w:webHidden/>
          </w:rPr>
          <w:fldChar w:fldCharType="separate"/>
        </w:r>
        <w:r w:rsidR="00042677">
          <w:rPr>
            <w:noProof/>
            <w:webHidden/>
          </w:rPr>
          <w:t>22</w:t>
        </w:r>
        <w:r w:rsidR="00A64830">
          <w:rPr>
            <w:noProof/>
            <w:webHidden/>
          </w:rPr>
          <w:fldChar w:fldCharType="end"/>
        </w:r>
      </w:hyperlink>
    </w:p>
    <w:p w:rsidR="00A64830" w:rsidRDefault="000F30C0" w:rsidP="00334983">
      <w:pPr>
        <w:pStyle w:val="TOC4"/>
        <w:tabs>
          <w:tab w:val="left" w:pos="1200"/>
          <w:tab w:val="right" w:leader="dot" w:pos="9350"/>
        </w:tabs>
        <w:spacing w:after="0"/>
        <w:rPr>
          <w:rFonts w:asciiTheme="minorHAnsi" w:eastAsiaTheme="minorEastAsia" w:hAnsiTheme="minorHAnsi" w:cstheme="minorBidi"/>
          <w:noProof/>
          <w:sz w:val="22"/>
          <w:szCs w:val="22"/>
        </w:rPr>
      </w:pPr>
      <w:hyperlink w:anchor="_Toc395604507" w:history="1">
        <w:r w:rsidR="00A64830" w:rsidRPr="00965590">
          <w:rPr>
            <w:rStyle w:val="Hyperlink"/>
            <w:noProof/>
          </w:rPr>
          <w:t>c.</w:t>
        </w:r>
        <w:r w:rsidR="00A64830">
          <w:rPr>
            <w:rFonts w:asciiTheme="minorHAnsi" w:eastAsiaTheme="minorEastAsia" w:hAnsiTheme="minorHAnsi" w:cstheme="minorBidi"/>
            <w:noProof/>
            <w:sz w:val="22"/>
            <w:szCs w:val="22"/>
          </w:rPr>
          <w:tab/>
        </w:r>
        <w:r w:rsidR="00A64830" w:rsidRPr="00965590">
          <w:rPr>
            <w:rStyle w:val="Hyperlink"/>
            <w:noProof/>
          </w:rPr>
          <w:t>Injunctions</w:t>
        </w:r>
        <w:r w:rsidR="00A64830">
          <w:rPr>
            <w:noProof/>
            <w:webHidden/>
          </w:rPr>
          <w:tab/>
        </w:r>
        <w:r w:rsidR="00A64830">
          <w:rPr>
            <w:noProof/>
            <w:webHidden/>
          </w:rPr>
          <w:fldChar w:fldCharType="begin"/>
        </w:r>
        <w:r w:rsidR="00A64830">
          <w:rPr>
            <w:noProof/>
            <w:webHidden/>
          </w:rPr>
          <w:instrText xml:space="preserve"> PAGEREF _Toc395604507 \h </w:instrText>
        </w:r>
        <w:r w:rsidR="00A64830">
          <w:rPr>
            <w:noProof/>
            <w:webHidden/>
          </w:rPr>
        </w:r>
        <w:r w:rsidR="00A64830">
          <w:rPr>
            <w:noProof/>
            <w:webHidden/>
          </w:rPr>
          <w:fldChar w:fldCharType="separate"/>
        </w:r>
        <w:r w:rsidR="00042677">
          <w:rPr>
            <w:noProof/>
            <w:webHidden/>
          </w:rPr>
          <w:t>22</w:t>
        </w:r>
        <w:r w:rsidR="00A64830">
          <w:rPr>
            <w:noProof/>
            <w:webHidden/>
          </w:rPr>
          <w:fldChar w:fldCharType="end"/>
        </w:r>
      </w:hyperlink>
    </w:p>
    <w:p w:rsidR="00A64830" w:rsidRDefault="000F30C0" w:rsidP="00334983">
      <w:pPr>
        <w:pStyle w:val="TOC4"/>
        <w:tabs>
          <w:tab w:val="left" w:pos="1200"/>
          <w:tab w:val="right" w:leader="dot" w:pos="9350"/>
        </w:tabs>
        <w:spacing w:after="0"/>
        <w:rPr>
          <w:rFonts w:asciiTheme="minorHAnsi" w:eastAsiaTheme="minorEastAsia" w:hAnsiTheme="minorHAnsi" w:cstheme="minorBidi"/>
          <w:noProof/>
          <w:sz w:val="22"/>
          <w:szCs w:val="22"/>
        </w:rPr>
      </w:pPr>
      <w:hyperlink w:anchor="_Toc395604508" w:history="1">
        <w:r w:rsidR="00A64830" w:rsidRPr="00965590">
          <w:rPr>
            <w:rStyle w:val="Hyperlink"/>
            <w:noProof/>
          </w:rPr>
          <w:t>d.</w:t>
        </w:r>
        <w:r w:rsidR="00A64830">
          <w:rPr>
            <w:rFonts w:asciiTheme="minorHAnsi" w:eastAsiaTheme="minorEastAsia" w:hAnsiTheme="minorHAnsi" w:cstheme="minorBidi"/>
            <w:noProof/>
            <w:sz w:val="22"/>
            <w:szCs w:val="22"/>
          </w:rPr>
          <w:tab/>
        </w:r>
        <w:r w:rsidR="00A64830" w:rsidRPr="00965590">
          <w:rPr>
            <w:rStyle w:val="Hyperlink"/>
            <w:noProof/>
          </w:rPr>
          <w:t>Interpleader</w:t>
        </w:r>
        <w:r w:rsidR="00A64830">
          <w:rPr>
            <w:noProof/>
            <w:webHidden/>
          </w:rPr>
          <w:tab/>
        </w:r>
        <w:r w:rsidR="00A64830">
          <w:rPr>
            <w:noProof/>
            <w:webHidden/>
          </w:rPr>
          <w:fldChar w:fldCharType="begin"/>
        </w:r>
        <w:r w:rsidR="00A64830">
          <w:rPr>
            <w:noProof/>
            <w:webHidden/>
          </w:rPr>
          <w:instrText xml:space="preserve"> PAGEREF _Toc395604508 \h </w:instrText>
        </w:r>
        <w:r w:rsidR="00A64830">
          <w:rPr>
            <w:noProof/>
            <w:webHidden/>
          </w:rPr>
        </w:r>
        <w:r w:rsidR="00A64830">
          <w:rPr>
            <w:noProof/>
            <w:webHidden/>
          </w:rPr>
          <w:fldChar w:fldCharType="separate"/>
        </w:r>
        <w:r w:rsidR="00042677">
          <w:rPr>
            <w:noProof/>
            <w:webHidden/>
          </w:rPr>
          <w:t>22</w:t>
        </w:r>
        <w:r w:rsidR="00A64830">
          <w:rPr>
            <w:noProof/>
            <w:webHidden/>
          </w:rPr>
          <w:fldChar w:fldCharType="end"/>
        </w:r>
      </w:hyperlink>
    </w:p>
    <w:p w:rsidR="00A64830" w:rsidRDefault="000F30C0" w:rsidP="00334983">
      <w:pPr>
        <w:pStyle w:val="TOC4"/>
        <w:tabs>
          <w:tab w:val="left" w:pos="1200"/>
          <w:tab w:val="right" w:leader="dot" w:pos="9350"/>
        </w:tabs>
        <w:spacing w:after="0"/>
        <w:rPr>
          <w:rFonts w:asciiTheme="minorHAnsi" w:eastAsiaTheme="minorEastAsia" w:hAnsiTheme="minorHAnsi" w:cstheme="minorBidi"/>
          <w:noProof/>
          <w:sz w:val="22"/>
          <w:szCs w:val="22"/>
        </w:rPr>
      </w:pPr>
      <w:hyperlink w:anchor="_Toc395604509" w:history="1">
        <w:r w:rsidR="00A64830" w:rsidRPr="00965590">
          <w:rPr>
            <w:rStyle w:val="Hyperlink"/>
            <w:noProof/>
          </w:rPr>
          <w:t>e.</w:t>
        </w:r>
        <w:r w:rsidR="00A64830">
          <w:rPr>
            <w:rFonts w:asciiTheme="minorHAnsi" w:eastAsiaTheme="minorEastAsia" w:hAnsiTheme="minorHAnsi" w:cstheme="minorBidi"/>
            <w:noProof/>
            <w:sz w:val="22"/>
            <w:szCs w:val="22"/>
          </w:rPr>
          <w:tab/>
        </w:r>
        <w:r w:rsidR="00A64830" w:rsidRPr="00965590">
          <w:rPr>
            <w:rStyle w:val="Hyperlink"/>
            <w:noProof/>
          </w:rPr>
          <w:t>Appointment of a Receiver</w:t>
        </w:r>
        <w:r w:rsidR="00A64830">
          <w:rPr>
            <w:noProof/>
            <w:webHidden/>
          </w:rPr>
          <w:tab/>
        </w:r>
        <w:r w:rsidR="00A64830">
          <w:rPr>
            <w:noProof/>
            <w:webHidden/>
          </w:rPr>
          <w:fldChar w:fldCharType="begin"/>
        </w:r>
        <w:r w:rsidR="00A64830">
          <w:rPr>
            <w:noProof/>
            <w:webHidden/>
          </w:rPr>
          <w:instrText xml:space="preserve"> PAGEREF _Toc395604509 \h </w:instrText>
        </w:r>
        <w:r w:rsidR="00A64830">
          <w:rPr>
            <w:noProof/>
            <w:webHidden/>
          </w:rPr>
        </w:r>
        <w:r w:rsidR="00A64830">
          <w:rPr>
            <w:noProof/>
            <w:webHidden/>
          </w:rPr>
          <w:fldChar w:fldCharType="separate"/>
        </w:r>
        <w:r w:rsidR="00042677">
          <w:rPr>
            <w:noProof/>
            <w:webHidden/>
          </w:rPr>
          <w:t>22</w:t>
        </w:r>
        <w:r w:rsidR="00A64830">
          <w:rPr>
            <w:noProof/>
            <w:webHidden/>
          </w:rPr>
          <w:fldChar w:fldCharType="end"/>
        </w:r>
      </w:hyperlink>
    </w:p>
    <w:p w:rsidR="00A64830" w:rsidRDefault="000F30C0" w:rsidP="00334983">
      <w:pPr>
        <w:pStyle w:val="TOC4"/>
        <w:tabs>
          <w:tab w:val="left" w:pos="1200"/>
          <w:tab w:val="right" w:leader="dot" w:pos="9350"/>
        </w:tabs>
        <w:spacing w:after="0"/>
        <w:rPr>
          <w:rFonts w:asciiTheme="minorHAnsi" w:eastAsiaTheme="minorEastAsia" w:hAnsiTheme="minorHAnsi" w:cstheme="minorBidi"/>
          <w:noProof/>
          <w:sz w:val="22"/>
          <w:szCs w:val="22"/>
        </w:rPr>
      </w:pPr>
      <w:hyperlink w:anchor="_Toc395604510" w:history="1">
        <w:r w:rsidR="00A64830" w:rsidRPr="00965590">
          <w:rPr>
            <w:rStyle w:val="Hyperlink"/>
            <w:noProof/>
          </w:rPr>
          <w:t>f.</w:t>
        </w:r>
        <w:r w:rsidR="00A64830">
          <w:rPr>
            <w:rFonts w:asciiTheme="minorHAnsi" w:eastAsiaTheme="minorEastAsia" w:hAnsiTheme="minorHAnsi" w:cstheme="minorBidi"/>
            <w:noProof/>
            <w:sz w:val="22"/>
            <w:szCs w:val="22"/>
          </w:rPr>
          <w:tab/>
        </w:r>
        <w:r w:rsidR="00A64830" w:rsidRPr="00965590">
          <w:rPr>
            <w:rStyle w:val="Hyperlink"/>
            <w:noProof/>
          </w:rPr>
          <w:t>Mandamus Relief</w:t>
        </w:r>
        <w:r w:rsidR="00A64830">
          <w:rPr>
            <w:noProof/>
            <w:webHidden/>
          </w:rPr>
          <w:tab/>
        </w:r>
        <w:r w:rsidR="00A64830">
          <w:rPr>
            <w:noProof/>
            <w:webHidden/>
          </w:rPr>
          <w:fldChar w:fldCharType="begin"/>
        </w:r>
        <w:r w:rsidR="00A64830">
          <w:rPr>
            <w:noProof/>
            <w:webHidden/>
          </w:rPr>
          <w:instrText xml:space="preserve"> PAGEREF _Toc395604510 \h </w:instrText>
        </w:r>
        <w:r w:rsidR="00A64830">
          <w:rPr>
            <w:noProof/>
            <w:webHidden/>
          </w:rPr>
        </w:r>
        <w:r w:rsidR="00A64830">
          <w:rPr>
            <w:noProof/>
            <w:webHidden/>
          </w:rPr>
          <w:fldChar w:fldCharType="separate"/>
        </w:r>
        <w:r w:rsidR="00042677">
          <w:rPr>
            <w:noProof/>
            <w:webHidden/>
          </w:rPr>
          <w:t>22</w:t>
        </w:r>
        <w:r w:rsidR="00A64830">
          <w:rPr>
            <w:noProof/>
            <w:webHidden/>
          </w:rPr>
          <w:fldChar w:fldCharType="end"/>
        </w:r>
      </w:hyperlink>
    </w:p>
    <w:p w:rsidR="00A64830" w:rsidRDefault="000F30C0" w:rsidP="00334983">
      <w:pPr>
        <w:pStyle w:val="TOC3"/>
        <w:rPr>
          <w:rFonts w:asciiTheme="minorHAnsi" w:eastAsiaTheme="minorEastAsia" w:hAnsiTheme="minorHAnsi" w:cstheme="minorBidi"/>
          <w:noProof/>
          <w:sz w:val="22"/>
          <w:szCs w:val="22"/>
        </w:rPr>
      </w:pPr>
      <w:hyperlink w:anchor="_Toc395604511" w:history="1">
        <w:r w:rsidR="00A64830" w:rsidRPr="00965590">
          <w:rPr>
            <w:rStyle w:val="Hyperlink"/>
            <w:noProof/>
          </w:rPr>
          <w:t>3.</w:t>
        </w:r>
        <w:r w:rsidR="00A64830">
          <w:rPr>
            <w:rFonts w:asciiTheme="minorHAnsi" w:eastAsiaTheme="minorEastAsia" w:hAnsiTheme="minorHAnsi" w:cstheme="minorBidi"/>
            <w:noProof/>
            <w:sz w:val="22"/>
            <w:szCs w:val="22"/>
          </w:rPr>
          <w:tab/>
        </w:r>
        <w:r w:rsidR="00A64830" w:rsidRPr="00965590">
          <w:rPr>
            <w:rStyle w:val="Hyperlink"/>
            <w:noProof/>
          </w:rPr>
          <w:t>Other Remedies</w:t>
        </w:r>
        <w:r w:rsidR="00A64830">
          <w:rPr>
            <w:noProof/>
            <w:webHidden/>
          </w:rPr>
          <w:tab/>
        </w:r>
        <w:r w:rsidR="00A64830">
          <w:rPr>
            <w:noProof/>
            <w:webHidden/>
          </w:rPr>
          <w:fldChar w:fldCharType="begin"/>
        </w:r>
        <w:r w:rsidR="00A64830">
          <w:rPr>
            <w:noProof/>
            <w:webHidden/>
          </w:rPr>
          <w:instrText xml:space="preserve"> PAGEREF _Toc395604511 \h </w:instrText>
        </w:r>
        <w:r w:rsidR="00A64830">
          <w:rPr>
            <w:noProof/>
            <w:webHidden/>
          </w:rPr>
        </w:r>
        <w:r w:rsidR="00A64830">
          <w:rPr>
            <w:noProof/>
            <w:webHidden/>
          </w:rPr>
          <w:fldChar w:fldCharType="separate"/>
        </w:r>
        <w:r w:rsidR="00042677">
          <w:rPr>
            <w:noProof/>
            <w:webHidden/>
          </w:rPr>
          <w:t>22</w:t>
        </w:r>
        <w:r w:rsidR="00A64830">
          <w:rPr>
            <w:noProof/>
            <w:webHidden/>
          </w:rPr>
          <w:fldChar w:fldCharType="end"/>
        </w:r>
      </w:hyperlink>
    </w:p>
    <w:p w:rsidR="00A64830" w:rsidRDefault="000F30C0" w:rsidP="00334983">
      <w:pPr>
        <w:pStyle w:val="TOC4"/>
        <w:tabs>
          <w:tab w:val="left" w:pos="1200"/>
          <w:tab w:val="right" w:leader="dot" w:pos="9350"/>
        </w:tabs>
        <w:spacing w:after="0"/>
        <w:rPr>
          <w:rFonts w:asciiTheme="minorHAnsi" w:eastAsiaTheme="minorEastAsia" w:hAnsiTheme="minorHAnsi" w:cstheme="minorBidi"/>
          <w:noProof/>
          <w:sz w:val="22"/>
          <w:szCs w:val="22"/>
        </w:rPr>
      </w:pPr>
      <w:hyperlink w:anchor="_Toc395604512" w:history="1">
        <w:r w:rsidR="00A64830" w:rsidRPr="00965590">
          <w:rPr>
            <w:rStyle w:val="Hyperlink"/>
            <w:noProof/>
          </w:rPr>
          <w:t>a.</w:t>
        </w:r>
        <w:r w:rsidR="00A64830">
          <w:rPr>
            <w:rFonts w:asciiTheme="minorHAnsi" w:eastAsiaTheme="minorEastAsia" w:hAnsiTheme="minorHAnsi" w:cstheme="minorBidi"/>
            <w:noProof/>
            <w:sz w:val="22"/>
            <w:szCs w:val="22"/>
          </w:rPr>
          <w:tab/>
        </w:r>
        <w:r w:rsidR="00A64830" w:rsidRPr="00965590">
          <w:rPr>
            <w:rStyle w:val="Hyperlink"/>
            <w:noProof/>
          </w:rPr>
          <w:t>Contempt of Court</w:t>
        </w:r>
        <w:r w:rsidR="00A64830">
          <w:rPr>
            <w:noProof/>
            <w:webHidden/>
          </w:rPr>
          <w:tab/>
        </w:r>
        <w:r w:rsidR="00A64830">
          <w:rPr>
            <w:noProof/>
            <w:webHidden/>
          </w:rPr>
          <w:fldChar w:fldCharType="begin"/>
        </w:r>
        <w:r w:rsidR="00A64830">
          <w:rPr>
            <w:noProof/>
            <w:webHidden/>
          </w:rPr>
          <w:instrText xml:space="preserve"> PAGEREF _Toc395604512 \h </w:instrText>
        </w:r>
        <w:r w:rsidR="00A64830">
          <w:rPr>
            <w:noProof/>
            <w:webHidden/>
          </w:rPr>
        </w:r>
        <w:r w:rsidR="00A64830">
          <w:rPr>
            <w:noProof/>
            <w:webHidden/>
          </w:rPr>
          <w:fldChar w:fldCharType="separate"/>
        </w:r>
        <w:r w:rsidR="00042677">
          <w:rPr>
            <w:noProof/>
            <w:webHidden/>
          </w:rPr>
          <w:t>22</w:t>
        </w:r>
        <w:r w:rsidR="00A64830">
          <w:rPr>
            <w:noProof/>
            <w:webHidden/>
          </w:rPr>
          <w:fldChar w:fldCharType="end"/>
        </w:r>
      </w:hyperlink>
    </w:p>
    <w:p w:rsidR="00A64830" w:rsidRDefault="000F30C0" w:rsidP="00334983">
      <w:pPr>
        <w:pStyle w:val="TOC4"/>
        <w:tabs>
          <w:tab w:val="left" w:pos="1200"/>
          <w:tab w:val="right" w:leader="dot" w:pos="9350"/>
        </w:tabs>
        <w:spacing w:after="0"/>
        <w:rPr>
          <w:rFonts w:asciiTheme="minorHAnsi" w:eastAsiaTheme="minorEastAsia" w:hAnsiTheme="minorHAnsi" w:cstheme="minorBidi"/>
          <w:noProof/>
          <w:sz w:val="22"/>
          <w:szCs w:val="22"/>
        </w:rPr>
      </w:pPr>
      <w:hyperlink w:anchor="_Toc395604513" w:history="1">
        <w:r w:rsidR="00A64830" w:rsidRPr="00965590">
          <w:rPr>
            <w:rStyle w:val="Hyperlink"/>
            <w:noProof/>
          </w:rPr>
          <w:t>b.</w:t>
        </w:r>
        <w:r w:rsidR="00A64830">
          <w:rPr>
            <w:rFonts w:asciiTheme="minorHAnsi" w:eastAsiaTheme="minorEastAsia" w:hAnsiTheme="minorHAnsi" w:cstheme="minorBidi"/>
            <w:noProof/>
            <w:sz w:val="22"/>
            <w:szCs w:val="22"/>
          </w:rPr>
          <w:tab/>
        </w:r>
        <w:r w:rsidR="00A64830" w:rsidRPr="00965590">
          <w:rPr>
            <w:rStyle w:val="Hyperlink"/>
            <w:noProof/>
          </w:rPr>
          <w:t>Sanctions</w:t>
        </w:r>
        <w:r w:rsidR="00A64830">
          <w:rPr>
            <w:noProof/>
            <w:webHidden/>
          </w:rPr>
          <w:tab/>
        </w:r>
        <w:r w:rsidR="00A64830">
          <w:rPr>
            <w:noProof/>
            <w:webHidden/>
          </w:rPr>
          <w:fldChar w:fldCharType="begin"/>
        </w:r>
        <w:r w:rsidR="00A64830">
          <w:rPr>
            <w:noProof/>
            <w:webHidden/>
          </w:rPr>
          <w:instrText xml:space="preserve"> PAGEREF _Toc395604513 \h </w:instrText>
        </w:r>
        <w:r w:rsidR="00A64830">
          <w:rPr>
            <w:noProof/>
            <w:webHidden/>
          </w:rPr>
        </w:r>
        <w:r w:rsidR="00A64830">
          <w:rPr>
            <w:noProof/>
            <w:webHidden/>
          </w:rPr>
          <w:fldChar w:fldCharType="separate"/>
        </w:r>
        <w:r w:rsidR="00042677">
          <w:rPr>
            <w:noProof/>
            <w:webHidden/>
          </w:rPr>
          <w:t>23</w:t>
        </w:r>
        <w:r w:rsidR="00A64830">
          <w:rPr>
            <w:noProof/>
            <w:webHidden/>
          </w:rPr>
          <w:fldChar w:fldCharType="end"/>
        </w:r>
      </w:hyperlink>
    </w:p>
    <w:p w:rsidR="00A64830" w:rsidRDefault="000F30C0" w:rsidP="00334983">
      <w:pPr>
        <w:pStyle w:val="TOC4"/>
        <w:tabs>
          <w:tab w:val="left" w:pos="1200"/>
          <w:tab w:val="right" w:leader="dot" w:pos="9350"/>
        </w:tabs>
        <w:spacing w:after="0"/>
        <w:rPr>
          <w:rStyle w:val="Hyperlink"/>
          <w:noProof/>
        </w:rPr>
      </w:pPr>
      <w:hyperlink w:anchor="_Toc395604514" w:history="1">
        <w:r w:rsidR="00A64830" w:rsidRPr="00965590">
          <w:rPr>
            <w:rStyle w:val="Hyperlink"/>
            <w:noProof/>
          </w:rPr>
          <w:t>c.</w:t>
        </w:r>
        <w:r w:rsidR="00A64830">
          <w:rPr>
            <w:rFonts w:asciiTheme="minorHAnsi" w:eastAsiaTheme="minorEastAsia" w:hAnsiTheme="minorHAnsi" w:cstheme="minorBidi"/>
            <w:noProof/>
            <w:sz w:val="22"/>
            <w:szCs w:val="22"/>
          </w:rPr>
          <w:tab/>
        </w:r>
        <w:r w:rsidR="00A64830" w:rsidRPr="00965590">
          <w:rPr>
            <w:rStyle w:val="Hyperlink"/>
            <w:noProof/>
          </w:rPr>
          <w:t>Attorney Fees and Costs</w:t>
        </w:r>
        <w:r w:rsidR="00A64830">
          <w:rPr>
            <w:noProof/>
            <w:webHidden/>
          </w:rPr>
          <w:tab/>
        </w:r>
        <w:r w:rsidR="00A64830">
          <w:rPr>
            <w:noProof/>
            <w:webHidden/>
          </w:rPr>
          <w:fldChar w:fldCharType="begin"/>
        </w:r>
        <w:r w:rsidR="00A64830">
          <w:rPr>
            <w:noProof/>
            <w:webHidden/>
          </w:rPr>
          <w:instrText xml:space="preserve"> PAGEREF _Toc395604514 \h </w:instrText>
        </w:r>
        <w:r w:rsidR="00A64830">
          <w:rPr>
            <w:noProof/>
            <w:webHidden/>
          </w:rPr>
        </w:r>
        <w:r w:rsidR="00A64830">
          <w:rPr>
            <w:noProof/>
            <w:webHidden/>
          </w:rPr>
          <w:fldChar w:fldCharType="separate"/>
        </w:r>
        <w:r w:rsidR="00042677">
          <w:rPr>
            <w:noProof/>
            <w:webHidden/>
          </w:rPr>
          <w:t>23</w:t>
        </w:r>
        <w:r w:rsidR="00A64830">
          <w:rPr>
            <w:noProof/>
            <w:webHidden/>
          </w:rPr>
          <w:fldChar w:fldCharType="end"/>
        </w:r>
      </w:hyperlink>
    </w:p>
    <w:p w:rsidR="00A64830" w:rsidRPr="00A64830" w:rsidRDefault="00A64830" w:rsidP="00334983">
      <w:pPr>
        <w:rPr>
          <w:rFonts w:eastAsiaTheme="minorEastAsia"/>
        </w:rPr>
      </w:pPr>
    </w:p>
    <w:p w:rsidR="00A64830" w:rsidRDefault="000F30C0" w:rsidP="00334983">
      <w:pPr>
        <w:pStyle w:val="TOC2"/>
        <w:rPr>
          <w:rFonts w:asciiTheme="minorHAnsi" w:eastAsiaTheme="minorEastAsia" w:hAnsiTheme="minorHAnsi" w:cstheme="minorBidi"/>
          <w:noProof/>
          <w:sz w:val="22"/>
          <w:szCs w:val="22"/>
        </w:rPr>
      </w:pPr>
      <w:hyperlink w:anchor="_Toc395604515" w:history="1">
        <w:r w:rsidR="00A64830" w:rsidRPr="00965590">
          <w:rPr>
            <w:rStyle w:val="Hyperlink"/>
            <w:noProof/>
          </w:rPr>
          <w:t>F.</w:t>
        </w:r>
        <w:r w:rsidR="00A64830">
          <w:rPr>
            <w:rFonts w:asciiTheme="minorHAnsi" w:eastAsiaTheme="minorEastAsia" w:hAnsiTheme="minorHAnsi" w:cstheme="minorBidi"/>
            <w:noProof/>
            <w:sz w:val="22"/>
            <w:szCs w:val="22"/>
          </w:rPr>
          <w:tab/>
        </w:r>
        <w:r w:rsidR="00A64830" w:rsidRPr="00965590">
          <w:rPr>
            <w:rStyle w:val="Hyperlink"/>
            <w:noProof/>
          </w:rPr>
          <w:t>POSTTRIAL MATTERS</w:t>
        </w:r>
        <w:r w:rsidR="00A64830">
          <w:rPr>
            <w:noProof/>
            <w:webHidden/>
          </w:rPr>
          <w:tab/>
        </w:r>
        <w:r w:rsidR="00A64830">
          <w:rPr>
            <w:noProof/>
            <w:webHidden/>
          </w:rPr>
          <w:fldChar w:fldCharType="begin"/>
        </w:r>
        <w:r w:rsidR="00A64830">
          <w:rPr>
            <w:noProof/>
            <w:webHidden/>
          </w:rPr>
          <w:instrText xml:space="preserve"> PAGEREF _Toc395604515 \h </w:instrText>
        </w:r>
        <w:r w:rsidR="00A64830">
          <w:rPr>
            <w:noProof/>
            <w:webHidden/>
          </w:rPr>
        </w:r>
        <w:r w:rsidR="00A64830">
          <w:rPr>
            <w:noProof/>
            <w:webHidden/>
          </w:rPr>
          <w:fldChar w:fldCharType="separate"/>
        </w:r>
        <w:r w:rsidR="00042677">
          <w:rPr>
            <w:noProof/>
            <w:webHidden/>
          </w:rPr>
          <w:t>24</w:t>
        </w:r>
        <w:r w:rsidR="00A64830">
          <w:rPr>
            <w:noProof/>
            <w:webHidden/>
          </w:rPr>
          <w:fldChar w:fldCharType="end"/>
        </w:r>
      </w:hyperlink>
    </w:p>
    <w:p w:rsidR="00A64830" w:rsidRDefault="000F30C0" w:rsidP="00334983">
      <w:pPr>
        <w:pStyle w:val="TOC3"/>
        <w:rPr>
          <w:rFonts w:asciiTheme="minorHAnsi" w:eastAsiaTheme="minorEastAsia" w:hAnsiTheme="minorHAnsi" w:cstheme="minorBidi"/>
          <w:noProof/>
          <w:sz w:val="22"/>
          <w:szCs w:val="22"/>
        </w:rPr>
      </w:pPr>
      <w:hyperlink w:anchor="_Toc395604516" w:history="1">
        <w:r w:rsidR="00A64830" w:rsidRPr="00965590">
          <w:rPr>
            <w:rStyle w:val="Hyperlink"/>
            <w:noProof/>
          </w:rPr>
          <w:t>1.</w:t>
        </w:r>
        <w:r w:rsidR="00A64830">
          <w:rPr>
            <w:rFonts w:asciiTheme="minorHAnsi" w:eastAsiaTheme="minorEastAsia" w:hAnsiTheme="minorHAnsi" w:cstheme="minorBidi"/>
            <w:noProof/>
            <w:sz w:val="22"/>
            <w:szCs w:val="22"/>
          </w:rPr>
          <w:tab/>
        </w:r>
        <w:r w:rsidR="00A64830" w:rsidRPr="00965590">
          <w:rPr>
            <w:rStyle w:val="Hyperlink"/>
            <w:noProof/>
          </w:rPr>
          <w:t>Motion for New Trial</w:t>
        </w:r>
        <w:r w:rsidR="00A64830">
          <w:rPr>
            <w:noProof/>
            <w:webHidden/>
          </w:rPr>
          <w:tab/>
        </w:r>
        <w:r w:rsidR="00A64830">
          <w:rPr>
            <w:noProof/>
            <w:webHidden/>
          </w:rPr>
          <w:fldChar w:fldCharType="begin"/>
        </w:r>
        <w:r w:rsidR="00A64830">
          <w:rPr>
            <w:noProof/>
            <w:webHidden/>
          </w:rPr>
          <w:instrText xml:space="preserve"> PAGEREF _Toc395604516 \h </w:instrText>
        </w:r>
        <w:r w:rsidR="00A64830">
          <w:rPr>
            <w:noProof/>
            <w:webHidden/>
          </w:rPr>
        </w:r>
        <w:r w:rsidR="00A64830">
          <w:rPr>
            <w:noProof/>
            <w:webHidden/>
          </w:rPr>
          <w:fldChar w:fldCharType="separate"/>
        </w:r>
        <w:r w:rsidR="00042677">
          <w:rPr>
            <w:noProof/>
            <w:webHidden/>
          </w:rPr>
          <w:t>24</w:t>
        </w:r>
        <w:r w:rsidR="00A64830">
          <w:rPr>
            <w:noProof/>
            <w:webHidden/>
          </w:rPr>
          <w:fldChar w:fldCharType="end"/>
        </w:r>
      </w:hyperlink>
    </w:p>
    <w:p w:rsidR="00A64830" w:rsidRDefault="000F30C0" w:rsidP="00334983">
      <w:pPr>
        <w:pStyle w:val="TOC3"/>
        <w:rPr>
          <w:rStyle w:val="Hyperlink"/>
          <w:noProof/>
        </w:rPr>
      </w:pPr>
      <w:hyperlink w:anchor="_Toc395604517" w:history="1">
        <w:r w:rsidR="00A64830" w:rsidRPr="00965590">
          <w:rPr>
            <w:rStyle w:val="Hyperlink"/>
            <w:noProof/>
          </w:rPr>
          <w:t>2.</w:t>
        </w:r>
        <w:r w:rsidR="00A64830">
          <w:rPr>
            <w:rFonts w:asciiTheme="minorHAnsi" w:eastAsiaTheme="minorEastAsia" w:hAnsiTheme="minorHAnsi" w:cstheme="minorBidi"/>
            <w:noProof/>
            <w:sz w:val="22"/>
            <w:szCs w:val="22"/>
          </w:rPr>
          <w:tab/>
        </w:r>
        <w:r w:rsidR="00A64830" w:rsidRPr="00965590">
          <w:rPr>
            <w:rStyle w:val="Hyperlink"/>
            <w:noProof/>
          </w:rPr>
          <w:t>Motion for Judgment as a Matter of Law (JMOL), formerly known as Motion for Judgment Notwithstanding the Verdict (JNOV)</w:t>
        </w:r>
        <w:r w:rsidR="00A64830">
          <w:rPr>
            <w:noProof/>
            <w:webHidden/>
          </w:rPr>
          <w:tab/>
        </w:r>
        <w:r w:rsidR="00A64830">
          <w:rPr>
            <w:noProof/>
            <w:webHidden/>
          </w:rPr>
          <w:fldChar w:fldCharType="begin"/>
        </w:r>
        <w:r w:rsidR="00A64830">
          <w:rPr>
            <w:noProof/>
            <w:webHidden/>
          </w:rPr>
          <w:instrText xml:space="preserve"> PAGEREF _Toc395604517 \h </w:instrText>
        </w:r>
        <w:r w:rsidR="00A64830">
          <w:rPr>
            <w:noProof/>
            <w:webHidden/>
          </w:rPr>
        </w:r>
        <w:r w:rsidR="00A64830">
          <w:rPr>
            <w:noProof/>
            <w:webHidden/>
          </w:rPr>
          <w:fldChar w:fldCharType="separate"/>
        </w:r>
        <w:r w:rsidR="00042677">
          <w:rPr>
            <w:noProof/>
            <w:webHidden/>
          </w:rPr>
          <w:t>25</w:t>
        </w:r>
        <w:r w:rsidR="00A64830">
          <w:rPr>
            <w:noProof/>
            <w:webHidden/>
          </w:rPr>
          <w:fldChar w:fldCharType="end"/>
        </w:r>
      </w:hyperlink>
    </w:p>
    <w:p w:rsidR="00A64830" w:rsidRPr="00A64830" w:rsidRDefault="00A64830" w:rsidP="00334983">
      <w:pPr>
        <w:rPr>
          <w:rFonts w:eastAsiaTheme="minorEastAsia"/>
        </w:rPr>
      </w:pPr>
    </w:p>
    <w:p w:rsidR="00A64830" w:rsidRDefault="000F30C0" w:rsidP="00334983">
      <w:pPr>
        <w:pStyle w:val="TOC2"/>
        <w:rPr>
          <w:rFonts w:asciiTheme="minorHAnsi" w:eastAsiaTheme="minorEastAsia" w:hAnsiTheme="minorHAnsi" w:cstheme="minorBidi"/>
          <w:noProof/>
          <w:sz w:val="22"/>
          <w:szCs w:val="22"/>
        </w:rPr>
      </w:pPr>
      <w:hyperlink w:anchor="_Toc395604518" w:history="1">
        <w:r w:rsidR="00A64830" w:rsidRPr="00965590">
          <w:rPr>
            <w:rStyle w:val="Hyperlink"/>
            <w:noProof/>
          </w:rPr>
          <w:t>G.</w:t>
        </w:r>
        <w:r w:rsidR="00A64830">
          <w:rPr>
            <w:rFonts w:asciiTheme="minorHAnsi" w:eastAsiaTheme="minorEastAsia" w:hAnsiTheme="minorHAnsi" w:cstheme="minorBidi"/>
            <w:noProof/>
            <w:sz w:val="22"/>
            <w:szCs w:val="22"/>
          </w:rPr>
          <w:tab/>
        </w:r>
        <w:r w:rsidR="00A64830" w:rsidRPr="00965590">
          <w:rPr>
            <w:rStyle w:val="Hyperlink"/>
            <w:noProof/>
          </w:rPr>
          <w:t>PARTICULAR TYPES OF ACTIONS</w:t>
        </w:r>
        <w:r w:rsidR="00A64830">
          <w:rPr>
            <w:noProof/>
            <w:webHidden/>
          </w:rPr>
          <w:tab/>
        </w:r>
        <w:r w:rsidR="00A64830">
          <w:rPr>
            <w:noProof/>
            <w:webHidden/>
          </w:rPr>
          <w:fldChar w:fldCharType="begin"/>
        </w:r>
        <w:r w:rsidR="00A64830">
          <w:rPr>
            <w:noProof/>
            <w:webHidden/>
          </w:rPr>
          <w:instrText xml:space="preserve"> PAGEREF _Toc395604518 \h </w:instrText>
        </w:r>
        <w:r w:rsidR="00A64830">
          <w:rPr>
            <w:noProof/>
            <w:webHidden/>
          </w:rPr>
        </w:r>
        <w:r w:rsidR="00A64830">
          <w:rPr>
            <w:noProof/>
            <w:webHidden/>
          </w:rPr>
          <w:fldChar w:fldCharType="separate"/>
        </w:r>
        <w:r w:rsidR="00042677">
          <w:rPr>
            <w:noProof/>
            <w:webHidden/>
          </w:rPr>
          <w:t>25</w:t>
        </w:r>
        <w:r w:rsidR="00A64830">
          <w:rPr>
            <w:noProof/>
            <w:webHidden/>
          </w:rPr>
          <w:fldChar w:fldCharType="end"/>
        </w:r>
      </w:hyperlink>
    </w:p>
    <w:p w:rsidR="00A64830" w:rsidRDefault="000F30C0" w:rsidP="00334983">
      <w:pPr>
        <w:pStyle w:val="TOC3"/>
        <w:rPr>
          <w:rFonts w:asciiTheme="minorHAnsi" w:eastAsiaTheme="minorEastAsia" w:hAnsiTheme="minorHAnsi" w:cstheme="minorBidi"/>
          <w:noProof/>
          <w:sz w:val="22"/>
          <w:szCs w:val="22"/>
        </w:rPr>
      </w:pPr>
      <w:hyperlink w:anchor="_Toc395604519" w:history="1">
        <w:r w:rsidR="00A64830" w:rsidRPr="00965590">
          <w:rPr>
            <w:rStyle w:val="Hyperlink"/>
            <w:noProof/>
          </w:rPr>
          <w:t>1.</w:t>
        </w:r>
        <w:r w:rsidR="00A64830">
          <w:rPr>
            <w:rFonts w:asciiTheme="minorHAnsi" w:eastAsiaTheme="minorEastAsia" w:hAnsiTheme="minorHAnsi" w:cstheme="minorBidi"/>
            <w:noProof/>
            <w:sz w:val="22"/>
            <w:szCs w:val="22"/>
          </w:rPr>
          <w:tab/>
        </w:r>
        <w:r w:rsidR="00A64830" w:rsidRPr="00965590">
          <w:rPr>
            <w:rStyle w:val="Hyperlink"/>
            <w:noProof/>
          </w:rPr>
          <w:t>Declaratory-Judgment Actions</w:t>
        </w:r>
        <w:r w:rsidR="00A64830">
          <w:rPr>
            <w:noProof/>
            <w:webHidden/>
          </w:rPr>
          <w:tab/>
        </w:r>
        <w:r w:rsidR="00A64830">
          <w:rPr>
            <w:noProof/>
            <w:webHidden/>
          </w:rPr>
          <w:fldChar w:fldCharType="begin"/>
        </w:r>
        <w:r w:rsidR="00A64830">
          <w:rPr>
            <w:noProof/>
            <w:webHidden/>
          </w:rPr>
          <w:instrText xml:space="preserve"> PAGEREF _Toc395604519 \h </w:instrText>
        </w:r>
        <w:r w:rsidR="00A64830">
          <w:rPr>
            <w:noProof/>
            <w:webHidden/>
          </w:rPr>
        </w:r>
        <w:r w:rsidR="00A64830">
          <w:rPr>
            <w:noProof/>
            <w:webHidden/>
          </w:rPr>
          <w:fldChar w:fldCharType="separate"/>
        </w:r>
        <w:r w:rsidR="00042677">
          <w:rPr>
            <w:noProof/>
            <w:webHidden/>
          </w:rPr>
          <w:t>25</w:t>
        </w:r>
        <w:r w:rsidR="00A64830">
          <w:rPr>
            <w:noProof/>
            <w:webHidden/>
          </w:rPr>
          <w:fldChar w:fldCharType="end"/>
        </w:r>
      </w:hyperlink>
    </w:p>
    <w:p w:rsidR="00A64830" w:rsidRDefault="000F30C0" w:rsidP="00334983">
      <w:pPr>
        <w:pStyle w:val="TOC3"/>
        <w:rPr>
          <w:rFonts w:asciiTheme="minorHAnsi" w:eastAsiaTheme="minorEastAsia" w:hAnsiTheme="minorHAnsi" w:cstheme="minorBidi"/>
          <w:noProof/>
          <w:sz w:val="22"/>
          <w:szCs w:val="22"/>
        </w:rPr>
      </w:pPr>
      <w:hyperlink w:anchor="_Toc395604520" w:history="1">
        <w:r w:rsidR="00A64830" w:rsidRPr="00965590">
          <w:rPr>
            <w:rStyle w:val="Hyperlink"/>
            <w:noProof/>
          </w:rPr>
          <w:t>2.</w:t>
        </w:r>
        <w:r w:rsidR="00A64830">
          <w:rPr>
            <w:rFonts w:asciiTheme="minorHAnsi" w:eastAsiaTheme="minorEastAsia" w:hAnsiTheme="minorHAnsi" w:cstheme="minorBidi"/>
            <w:noProof/>
            <w:sz w:val="22"/>
            <w:szCs w:val="22"/>
          </w:rPr>
          <w:tab/>
        </w:r>
        <w:r w:rsidR="00A64830" w:rsidRPr="00965590">
          <w:rPr>
            <w:rStyle w:val="Hyperlink"/>
            <w:noProof/>
          </w:rPr>
          <w:t>Actions Against a Governmental Body</w:t>
        </w:r>
        <w:r w:rsidR="00A64830">
          <w:rPr>
            <w:noProof/>
            <w:webHidden/>
          </w:rPr>
          <w:tab/>
        </w:r>
        <w:r w:rsidR="00A64830">
          <w:rPr>
            <w:noProof/>
            <w:webHidden/>
          </w:rPr>
          <w:fldChar w:fldCharType="begin"/>
        </w:r>
        <w:r w:rsidR="00A64830">
          <w:rPr>
            <w:noProof/>
            <w:webHidden/>
          </w:rPr>
          <w:instrText xml:space="preserve"> PAGEREF _Toc395604520 \h </w:instrText>
        </w:r>
        <w:r w:rsidR="00A64830">
          <w:rPr>
            <w:noProof/>
            <w:webHidden/>
          </w:rPr>
        </w:r>
        <w:r w:rsidR="00A64830">
          <w:rPr>
            <w:noProof/>
            <w:webHidden/>
          </w:rPr>
          <w:fldChar w:fldCharType="separate"/>
        </w:r>
        <w:r w:rsidR="00042677">
          <w:rPr>
            <w:noProof/>
            <w:webHidden/>
          </w:rPr>
          <w:t>26</w:t>
        </w:r>
        <w:r w:rsidR="00A64830">
          <w:rPr>
            <w:noProof/>
            <w:webHidden/>
          </w:rPr>
          <w:fldChar w:fldCharType="end"/>
        </w:r>
      </w:hyperlink>
    </w:p>
    <w:p w:rsidR="00A64830" w:rsidRDefault="000F30C0" w:rsidP="00334983">
      <w:pPr>
        <w:pStyle w:val="TOC4"/>
        <w:tabs>
          <w:tab w:val="left" w:pos="1200"/>
          <w:tab w:val="right" w:leader="dot" w:pos="9350"/>
        </w:tabs>
        <w:spacing w:after="0"/>
        <w:rPr>
          <w:rFonts w:asciiTheme="minorHAnsi" w:eastAsiaTheme="minorEastAsia" w:hAnsiTheme="minorHAnsi" w:cstheme="minorBidi"/>
          <w:noProof/>
          <w:sz w:val="22"/>
          <w:szCs w:val="22"/>
        </w:rPr>
      </w:pPr>
      <w:hyperlink w:anchor="_Toc395604521" w:history="1">
        <w:r w:rsidR="00A64830" w:rsidRPr="00965590">
          <w:rPr>
            <w:rStyle w:val="Hyperlink"/>
            <w:noProof/>
          </w:rPr>
          <w:t>a.</w:t>
        </w:r>
        <w:r w:rsidR="00A64830">
          <w:rPr>
            <w:rFonts w:asciiTheme="minorHAnsi" w:eastAsiaTheme="minorEastAsia" w:hAnsiTheme="minorHAnsi" w:cstheme="minorBidi"/>
            <w:noProof/>
            <w:sz w:val="22"/>
            <w:szCs w:val="22"/>
          </w:rPr>
          <w:tab/>
        </w:r>
        <w:r w:rsidR="00A64830" w:rsidRPr="00965590">
          <w:rPr>
            <w:rStyle w:val="Hyperlink"/>
            <w:noProof/>
          </w:rPr>
          <w:t>Actions Against a Municipality</w:t>
        </w:r>
        <w:r w:rsidR="00A64830">
          <w:rPr>
            <w:noProof/>
            <w:webHidden/>
          </w:rPr>
          <w:tab/>
        </w:r>
        <w:r w:rsidR="00A64830">
          <w:rPr>
            <w:noProof/>
            <w:webHidden/>
          </w:rPr>
          <w:fldChar w:fldCharType="begin"/>
        </w:r>
        <w:r w:rsidR="00A64830">
          <w:rPr>
            <w:noProof/>
            <w:webHidden/>
          </w:rPr>
          <w:instrText xml:space="preserve"> PAGEREF _Toc395604521 \h </w:instrText>
        </w:r>
        <w:r w:rsidR="00A64830">
          <w:rPr>
            <w:noProof/>
            <w:webHidden/>
          </w:rPr>
        </w:r>
        <w:r w:rsidR="00A64830">
          <w:rPr>
            <w:noProof/>
            <w:webHidden/>
          </w:rPr>
          <w:fldChar w:fldCharType="separate"/>
        </w:r>
        <w:r w:rsidR="00042677">
          <w:rPr>
            <w:noProof/>
            <w:webHidden/>
          </w:rPr>
          <w:t>26</w:t>
        </w:r>
        <w:r w:rsidR="00A64830">
          <w:rPr>
            <w:noProof/>
            <w:webHidden/>
          </w:rPr>
          <w:fldChar w:fldCharType="end"/>
        </w:r>
      </w:hyperlink>
    </w:p>
    <w:p w:rsidR="00A64830" w:rsidRDefault="000F30C0" w:rsidP="00334983">
      <w:pPr>
        <w:pStyle w:val="TOC4"/>
        <w:tabs>
          <w:tab w:val="left" w:pos="1200"/>
          <w:tab w:val="right" w:leader="dot" w:pos="9350"/>
        </w:tabs>
        <w:spacing w:after="0"/>
        <w:rPr>
          <w:rStyle w:val="Hyperlink"/>
          <w:noProof/>
        </w:rPr>
      </w:pPr>
      <w:hyperlink w:anchor="_Toc395604522" w:history="1">
        <w:r w:rsidR="00A64830" w:rsidRPr="00965590">
          <w:rPr>
            <w:rStyle w:val="Hyperlink"/>
            <w:noProof/>
          </w:rPr>
          <w:t>b.</w:t>
        </w:r>
        <w:r w:rsidR="00A64830">
          <w:rPr>
            <w:rFonts w:asciiTheme="minorHAnsi" w:eastAsiaTheme="minorEastAsia" w:hAnsiTheme="minorHAnsi" w:cstheme="minorBidi"/>
            <w:noProof/>
            <w:sz w:val="22"/>
            <w:szCs w:val="22"/>
          </w:rPr>
          <w:tab/>
        </w:r>
        <w:r w:rsidR="00A64830" w:rsidRPr="00965590">
          <w:rPr>
            <w:rStyle w:val="Hyperlink"/>
            <w:noProof/>
          </w:rPr>
          <w:t>Governmental Immunity</w:t>
        </w:r>
        <w:r w:rsidR="00A64830">
          <w:rPr>
            <w:noProof/>
            <w:webHidden/>
          </w:rPr>
          <w:tab/>
        </w:r>
        <w:r w:rsidR="00A64830">
          <w:rPr>
            <w:noProof/>
            <w:webHidden/>
          </w:rPr>
          <w:fldChar w:fldCharType="begin"/>
        </w:r>
        <w:r w:rsidR="00A64830">
          <w:rPr>
            <w:noProof/>
            <w:webHidden/>
          </w:rPr>
          <w:instrText xml:space="preserve"> PAGEREF _Toc395604522 \h </w:instrText>
        </w:r>
        <w:r w:rsidR="00A64830">
          <w:rPr>
            <w:noProof/>
            <w:webHidden/>
          </w:rPr>
        </w:r>
        <w:r w:rsidR="00A64830">
          <w:rPr>
            <w:noProof/>
            <w:webHidden/>
          </w:rPr>
          <w:fldChar w:fldCharType="separate"/>
        </w:r>
        <w:r w:rsidR="00042677">
          <w:rPr>
            <w:noProof/>
            <w:webHidden/>
          </w:rPr>
          <w:t>26</w:t>
        </w:r>
        <w:r w:rsidR="00A64830">
          <w:rPr>
            <w:noProof/>
            <w:webHidden/>
          </w:rPr>
          <w:fldChar w:fldCharType="end"/>
        </w:r>
      </w:hyperlink>
    </w:p>
    <w:p w:rsidR="00A64830" w:rsidRPr="00A64830" w:rsidRDefault="00A64830" w:rsidP="00334983">
      <w:pPr>
        <w:rPr>
          <w:rFonts w:eastAsiaTheme="minorEastAsia"/>
        </w:rPr>
      </w:pPr>
    </w:p>
    <w:p w:rsidR="00A64830" w:rsidRDefault="000F30C0" w:rsidP="00334983">
      <w:pPr>
        <w:pStyle w:val="TOC1"/>
        <w:rPr>
          <w:rStyle w:val="Hyperlink"/>
          <w:noProof/>
        </w:rPr>
      </w:pPr>
      <w:hyperlink w:anchor="_Toc395604523" w:history="1">
        <w:r w:rsidR="00A64830" w:rsidRPr="00965590">
          <w:rPr>
            <w:rStyle w:val="Hyperlink"/>
            <w:noProof/>
          </w:rPr>
          <w:t>II.</w:t>
        </w:r>
        <w:r w:rsidR="00A64830">
          <w:rPr>
            <w:rFonts w:asciiTheme="minorHAnsi" w:eastAsiaTheme="minorEastAsia" w:hAnsiTheme="minorHAnsi" w:cstheme="minorBidi"/>
            <w:noProof/>
            <w:sz w:val="22"/>
            <w:szCs w:val="22"/>
          </w:rPr>
          <w:tab/>
        </w:r>
        <w:r w:rsidR="00A64830" w:rsidRPr="00965590">
          <w:rPr>
            <w:rStyle w:val="Hyperlink"/>
            <w:noProof/>
          </w:rPr>
          <w:t>CIVIL – FAMILY</w:t>
        </w:r>
        <w:r w:rsidR="00A64830">
          <w:rPr>
            <w:noProof/>
            <w:webHidden/>
          </w:rPr>
          <w:tab/>
        </w:r>
        <w:r w:rsidR="00A64830">
          <w:rPr>
            <w:noProof/>
            <w:webHidden/>
          </w:rPr>
          <w:fldChar w:fldCharType="begin"/>
        </w:r>
        <w:r w:rsidR="00A64830">
          <w:rPr>
            <w:noProof/>
            <w:webHidden/>
          </w:rPr>
          <w:instrText xml:space="preserve"> PAGEREF _Toc395604523 \h </w:instrText>
        </w:r>
        <w:r w:rsidR="00A64830">
          <w:rPr>
            <w:noProof/>
            <w:webHidden/>
          </w:rPr>
        </w:r>
        <w:r w:rsidR="00A64830">
          <w:rPr>
            <w:noProof/>
            <w:webHidden/>
          </w:rPr>
          <w:fldChar w:fldCharType="separate"/>
        </w:r>
        <w:r w:rsidR="00042677">
          <w:rPr>
            <w:noProof/>
            <w:webHidden/>
          </w:rPr>
          <w:t>27</w:t>
        </w:r>
        <w:r w:rsidR="00A64830">
          <w:rPr>
            <w:noProof/>
            <w:webHidden/>
          </w:rPr>
          <w:fldChar w:fldCharType="end"/>
        </w:r>
      </w:hyperlink>
    </w:p>
    <w:p w:rsidR="00A64830" w:rsidRPr="00A64830" w:rsidRDefault="00A64830" w:rsidP="00334983">
      <w:pPr>
        <w:rPr>
          <w:rFonts w:eastAsiaTheme="minorEastAsia"/>
        </w:rPr>
      </w:pPr>
    </w:p>
    <w:p w:rsidR="00A64830" w:rsidRDefault="000F30C0" w:rsidP="00334983">
      <w:pPr>
        <w:pStyle w:val="TOC2"/>
        <w:rPr>
          <w:rFonts w:asciiTheme="minorHAnsi" w:eastAsiaTheme="minorEastAsia" w:hAnsiTheme="minorHAnsi" w:cstheme="minorBidi"/>
          <w:noProof/>
          <w:sz w:val="22"/>
          <w:szCs w:val="22"/>
        </w:rPr>
      </w:pPr>
      <w:hyperlink w:anchor="_Toc395604524" w:history="1">
        <w:r w:rsidR="00A64830" w:rsidRPr="00965590">
          <w:rPr>
            <w:rStyle w:val="Hyperlink"/>
            <w:noProof/>
          </w:rPr>
          <w:t xml:space="preserve">A. </w:t>
        </w:r>
        <w:r w:rsidR="00A64830">
          <w:rPr>
            <w:rFonts w:asciiTheme="minorHAnsi" w:eastAsiaTheme="minorEastAsia" w:hAnsiTheme="minorHAnsi" w:cstheme="minorBidi"/>
            <w:noProof/>
            <w:sz w:val="22"/>
            <w:szCs w:val="22"/>
          </w:rPr>
          <w:tab/>
        </w:r>
        <w:r w:rsidR="00A64830" w:rsidRPr="00965590">
          <w:rPr>
            <w:rStyle w:val="Hyperlink"/>
            <w:noProof/>
          </w:rPr>
          <w:t>IN GENERAL</w:t>
        </w:r>
        <w:r w:rsidR="00A64830">
          <w:rPr>
            <w:noProof/>
            <w:webHidden/>
          </w:rPr>
          <w:tab/>
        </w:r>
        <w:r w:rsidR="00A64830">
          <w:rPr>
            <w:noProof/>
            <w:webHidden/>
          </w:rPr>
          <w:fldChar w:fldCharType="begin"/>
        </w:r>
        <w:r w:rsidR="00A64830">
          <w:rPr>
            <w:noProof/>
            <w:webHidden/>
          </w:rPr>
          <w:instrText xml:space="preserve"> PAGEREF _Toc395604524 \h </w:instrText>
        </w:r>
        <w:r w:rsidR="00A64830">
          <w:rPr>
            <w:noProof/>
            <w:webHidden/>
          </w:rPr>
        </w:r>
        <w:r w:rsidR="00A64830">
          <w:rPr>
            <w:noProof/>
            <w:webHidden/>
          </w:rPr>
          <w:fldChar w:fldCharType="separate"/>
        </w:r>
        <w:r w:rsidR="00042677">
          <w:rPr>
            <w:noProof/>
            <w:webHidden/>
          </w:rPr>
          <w:t>27</w:t>
        </w:r>
        <w:r w:rsidR="00A64830">
          <w:rPr>
            <w:noProof/>
            <w:webHidden/>
          </w:rPr>
          <w:fldChar w:fldCharType="end"/>
        </w:r>
      </w:hyperlink>
    </w:p>
    <w:p w:rsidR="00A64830" w:rsidRDefault="000F30C0" w:rsidP="00334983">
      <w:pPr>
        <w:pStyle w:val="TOC3"/>
        <w:rPr>
          <w:rFonts w:asciiTheme="minorHAnsi" w:eastAsiaTheme="minorEastAsia" w:hAnsiTheme="minorHAnsi" w:cstheme="minorBidi"/>
          <w:noProof/>
          <w:sz w:val="22"/>
          <w:szCs w:val="22"/>
        </w:rPr>
      </w:pPr>
      <w:hyperlink w:anchor="_Toc395604525" w:history="1">
        <w:r w:rsidR="00A64830" w:rsidRPr="00965590">
          <w:rPr>
            <w:rStyle w:val="Hyperlink"/>
            <w:noProof/>
          </w:rPr>
          <w:t>1.</w:t>
        </w:r>
        <w:r w:rsidR="00A64830">
          <w:rPr>
            <w:rFonts w:asciiTheme="minorHAnsi" w:eastAsiaTheme="minorEastAsia" w:hAnsiTheme="minorHAnsi" w:cstheme="minorBidi"/>
            <w:noProof/>
            <w:sz w:val="22"/>
            <w:szCs w:val="22"/>
          </w:rPr>
          <w:tab/>
        </w:r>
        <w:r w:rsidR="00A64830" w:rsidRPr="00965590">
          <w:rPr>
            <w:rStyle w:val="Hyperlink"/>
            <w:noProof/>
          </w:rPr>
          <w:t>Jurisdiction and Venue</w:t>
        </w:r>
        <w:r w:rsidR="00A64830">
          <w:rPr>
            <w:noProof/>
            <w:webHidden/>
          </w:rPr>
          <w:tab/>
        </w:r>
        <w:r w:rsidR="00A64830">
          <w:rPr>
            <w:noProof/>
            <w:webHidden/>
          </w:rPr>
          <w:fldChar w:fldCharType="begin"/>
        </w:r>
        <w:r w:rsidR="00A64830">
          <w:rPr>
            <w:noProof/>
            <w:webHidden/>
          </w:rPr>
          <w:instrText xml:space="preserve"> PAGEREF _Toc395604525 \h </w:instrText>
        </w:r>
        <w:r w:rsidR="00A64830">
          <w:rPr>
            <w:noProof/>
            <w:webHidden/>
          </w:rPr>
        </w:r>
        <w:r w:rsidR="00A64830">
          <w:rPr>
            <w:noProof/>
            <w:webHidden/>
          </w:rPr>
          <w:fldChar w:fldCharType="separate"/>
        </w:r>
        <w:r w:rsidR="00042677">
          <w:rPr>
            <w:noProof/>
            <w:webHidden/>
          </w:rPr>
          <w:t>27</w:t>
        </w:r>
        <w:r w:rsidR="00A64830">
          <w:rPr>
            <w:noProof/>
            <w:webHidden/>
          </w:rPr>
          <w:fldChar w:fldCharType="end"/>
        </w:r>
      </w:hyperlink>
    </w:p>
    <w:p w:rsidR="00A64830" w:rsidRDefault="000F30C0" w:rsidP="00334983">
      <w:pPr>
        <w:pStyle w:val="TOC4"/>
        <w:tabs>
          <w:tab w:val="left" w:pos="1200"/>
          <w:tab w:val="right" w:leader="dot" w:pos="9350"/>
        </w:tabs>
        <w:spacing w:after="0"/>
        <w:rPr>
          <w:rFonts w:asciiTheme="minorHAnsi" w:eastAsiaTheme="minorEastAsia" w:hAnsiTheme="minorHAnsi" w:cstheme="minorBidi"/>
          <w:noProof/>
          <w:sz w:val="22"/>
          <w:szCs w:val="22"/>
        </w:rPr>
      </w:pPr>
      <w:hyperlink w:anchor="_Toc395604526" w:history="1">
        <w:r w:rsidR="00A64830" w:rsidRPr="00965590">
          <w:rPr>
            <w:rStyle w:val="Hyperlink"/>
            <w:noProof/>
          </w:rPr>
          <w:t>a.</w:t>
        </w:r>
        <w:r w:rsidR="00A64830">
          <w:rPr>
            <w:rFonts w:asciiTheme="minorHAnsi" w:eastAsiaTheme="minorEastAsia" w:hAnsiTheme="minorHAnsi" w:cstheme="minorBidi"/>
            <w:noProof/>
            <w:sz w:val="22"/>
            <w:szCs w:val="22"/>
          </w:rPr>
          <w:tab/>
        </w:r>
        <w:r w:rsidR="00A64830" w:rsidRPr="00965590">
          <w:rPr>
            <w:rStyle w:val="Hyperlink"/>
            <w:noProof/>
          </w:rPr>
          <w:t>Jurisdiction</w:t>
        </w:r>
        <w:r w:rsidR="00A64830">
          <w:rPr>
            <w:noProof/>
            <w:webHidden/>
          </w:rPr>
          <w:tab/>
        </w:r>
        <w:r w:rsidR="00A64830">
          <w:rPr>
            <w:noProof/>
            <w:webHidden/>
          </w:rPr>
          <w:fldChar w:fldCharType="begin"/>
        </w:r>
        <w:r w:rsidR="00A64830">
          <w:rPr>
            <w:noProof/>
            <w:webHidden/>
          </w:rPr>
          <w:instrText xml:space="preserve"> PAGEREF _Toc395604526 \h </w:instrText>
        </w:r>
        <w:r w:rsidR="00A64830">
          <w:rPr>
            <w:noProof/>
            <w:webHidden/>
          </w:rPr>
        </w:r>
        <w:r w:rsidR="00A64830">
          <w:rPr>
            <w:noProof/>
            <w:webHidden/>
          </w:rPr>
          <w:fldChar w:fldCharType="separate"/>
        </w:r>
        <w:r w:rsidR="00042677">
          <w:rPr>
            <w:noProof/>
            <w:webHidden/>
          </w:rPr>
          <w:t>27</w:t>
        </w:r>
        <w:r w:rsidR="00A64830">
          <w:rPr>
            <w:noProof/>
            <w:webHidden/>
          </w:rPr>
          <w:fldChar w:fldCharType="end"/>
        </w:r>
      </w:hyperlink>
    </w:p>
    <w:p w:rsidR="00A64830" w:rsidRDefault="000F30C0" w:rsidP="00334983">
      <w:pPr>
        <w:pStyle w:val="TOC4"/>
        <w:tabs>
          <w:tab w:val="left" w:pos="1200"/>
          <w:tab w:val="right" w:leader="dot" w:pos="9350"/>
        </w:tabs>
        <w:spacing w:after="0"/>
        <w:rPr>
          <w:rFonts w:asciiTheme="minorHAnsi" w:eastAsiaTheme="minorEastAsia" w:hAnsiTheme="minorHAnsi" w:cstheme="minorBidi"/>
          <w:noProof/>
          <w:sz w:val="22"/>
          <w:szCs w:val="22"/>
        </w:rPr>
      </w:pPr>
      <w:hyperlink w:anchor="_Toc395604527" w:history="1">
        <w:r w:rsidR="00A64830" w:rsidRPr="00965590">
          <w:rPr>
            <w:rStyle w:val="Hyperlink"/>
            <w:noProof/>
          </w:rPr>
          <w:t>b.</w:t>
        </w:r>
        <w:r w:rsidR="00A64830">
          <w:rPr>
            <w:rFonts w:asciiTheme="minorHAnsi" w:eastAsiaTheme="minorEastAsia" w:hAnsiTheme="minorHAnsi" w:cstheme="minorBidi"/>
            <w:noProof/>
            <w:sz w:val="22"/>
            <w:szCs w:val="22"/>
          </w:rPr>
          <w:tab/>
        </w:r>
        <w:r w:rsidR="00A64830" w:rsidRPr="00965590">
          <w:rPr>
            <w:rStyle w:val="Hyperlink"/>
            <w:noProof/>
          </w:rPr>
          <w:t>Venue</w:t>
        </w:r>
        <w:r w:rsidR="00A64830">
          <w:rPr>
            <w:noProof/>
            <w:webHidden/>
          </w:rPr>
          <w:tab/>
        </w:r>
        <w:r w:rsidR="00A64830">
          <w:rPr>
            <w:noProof/>
            <w:webHidden/>
          </w:rPr>
          <w:fldChar w:fldCharType="begin"/>
        </w:r>
        <w:r w:rsidR="00A64830">
          <w:rPr>
            <w:noProof/>
            <w:webHidden/>
          </w:rPr>
          <w:instrText xml:space="preserve"> PAGEREF _Toc395604527 \h </w:instrText>
        </w:r>
        <w:r w:rsidR="00A64830">
          <w:rPr>
            <w:noProof/>
            <w:webHidden/>
          </w:rPr>
        </w:r>
        <w:r w:rsidR="00A64830">
          <w:rPr>
            <w:noProof/>
            <w:webHidden/>
          </w:rPr>
          <w:fldChar w:fldCharType="separate"/>
        </w:r>
        <w:r w:rsidR="00042677">
          <w:rPr>
            <w:noProof/>
            <w:webHidden/>
          </w:rPr>
          <w:t>28</w:t>
        </w:r>
        <w:r w:rsidR="00A64830">
          <w:rPr>
            <w:noProof/>
            <w:webHidden/>
          </w:rPr>
          <w:fldChar w:fldCharType="end"/>
        </w:r>
      </w:hyperlink>
    </w:p>
    <w:p w:rsidR="00A64830" w:rsidRDefault="000F30C0" w:rsidP="00334983">
      <w:pPr>
        <w:pStyle w:val="TOC4"/>
        <w:tabs>
          <w:tab w:val="left" w:pos="1200"/>
          <w:tab w:val="right" w:leader="dot" w:pos="9350"/>
        </w:tabs>
        <w:spacing w:after="0"/>
        <w:rPr>
          <w:rFonts w:asciiTheme="minorHAnsi" w:eastAsiaTheme="minorEastAsia" w:hAnsiTheme="minorHAnsi" w:cstheme="minorBidi"/>
          <w:noProof/>
          <w:sz w:val="22"/>
          <w:szCs w:val="22"/>
        </w:rPr>
      </w:pPr>
      <w:hyperlink w:anchor="_Toc395604528" w:history="1">
        <w:r w:rsidR="00A64830" w:rsidRPr="00965590">
          <w:rPr>
            <w:rStyle w:val="Hyperlink"/>
            <w:noProof/>
          </w:rPr>
          <w:t>c.</w:t>
        </w:r>
        <w:r w:rsidR="00A64830">
          <w:rPr>
            <w:rFonts w:asciiTheme="minorHAnsi" w:eastAsiaTheme="minorEastAsia" w:hAnsiTheme="minorHAnsi" w:cstheme="minorBidi"/>
            <w:noProof/>
            <w:sz w:val="22"/>
            <w:szCs w:val="22"/>
          </w:rPr>
          <w:tab/>
        </w:r>
        <w:r w:rsidR="00A64830" w:rsidRPr="00965590">
          <w:rPr>
            <w:rStyle w:val="Hyperlink"/>
            <w:noProof/>
          </w:rPr>
          <w:t>Standing</w:t>
        </w:r>
        <w:r w:rsidR="00A64830">
          <w:rPr>
            <w:noProof/>
            <w:webHidden/>
          </w:rPr>
          <w:tab/>
        </w:r>
        <w:r w:rsidR="00A64830">
          <w:rPr>
            <w:noProof/>
            <w:webHidden/>
          </w:rPr>
          <w:fldChar w:fldCharType="begin"/>
        </w:r>
        <w:r w:rsidR="00A64830">
          <w:rPr>
            <w:noProof/>
            <w:webHidden/>
          </w:rPr>
          <w:instrText xml:space="preserve"> PAGEREF _Toc395604528 \h </w:instrText>
        </w:r>
        <w:r w:rsidR="00A64830">
          <w:rPr>
            <w:noProof/>
            <w:webHidden/>
          </w:rPr>
        </w:r>
        <w:r w:rsidR="00A64830">
          <w:rPr>
            <w:noProof/>
            <w:webHidden/>
          </w:rPr>
          <w:fldChar w:fldCharType="separate"/>
        </w:r>
        <w:r w:rsidR="00042677">
          <w:rPr>
            <w:noProof/>
            <w:webHidden/>
          </w:rPr>
          <w:t>28</w:t>
        </w:r>
        <w:r w:rsidR="00A64830">
          <w:rPr>
            <w:noProof/>
            <w:webHidden/>
          </w:rPr>
          <w:fldChar w:fldCharType="end"/>
        </w:r>
      </w:hyperlink>
    </w:p>
    <w:p w:rsidR="00A64830" w:rsidRDefault="000F30C0" w:rsidP="00334983">
      <w:pPr>
        <w:pStyle w:val="TOC3"/>
        <w:rPr>
          <w:rFonts w:asciiTheme="minorHAnsi" w:eastAsiaTheme="minorEastAsia" w:hAnsiTheme="minorHAnsi" w:cstheme="minorBidi"/>
          <w:noProof/>
          <w:sz w:val="22"/>
          <w:szCs w:val="22"/>
        </w:rPr>
      </w:pPr>
      <w:hyperlink w:anchor="_Toc395604529" w:history="1">
        <w:r w:rsidR="00A64830" w:rsidRPr="00965590">
          <w:rPr>
            <w:rStyle w:val="Hyperlink"/>
            <w:noProof/>
          </w:rPr>
          <w:t>2.</w:t>
        </w:r>
        <w:r w:rsidR="00A64830">
          <w:rPr>
            <w:rFonts w:asciiTheme="minorHAnsi" w:eastAsiaTheme="minorEastAsia" w:hAnsiTheme="minorHAnsi" w:cstheme="minorBidi"/>
            <w:noProof/>
            <w:sz w:val="22"/>
            <w:szCs w:val="22"/>
          </w:rPr>
          <w:tab/>
        </w:r>
        <w:r w:rsidR="00A64830" w:rsidRPr="00965590">
          <w:rPr>
            <w:rStyle w:val="Hyperlink"/>
            <w:noProof/>
          </w:rPr>
          <w:t>Interpretation of Judgments</w:t>
        </w:r>
        <w:r w:rsidR="00A64830">
          <w:rPr>
            <w:noProof/>
            <w:webHidden/>
          </w:rPr>
          <w:tab/>
        </w:r>
        <w:r w:rsidR="00A64830">
          <w:rPr>
            <w:noProof/>
            <w:webHidden/>
          </w:rPr>
          <w:fldChar w:fldCharType="begin"/>
        </w:r>
        <w:r w:rsidR="00A64830">
          <w:rPr>
            <w:noProof/>
            <w:webHidden/>
          </w:rPr>
          <w:instrText xml:space="preserve"> PAGEREF _Toc395604529 \h </w:instrText>
        </w:r>
        <w:r w:rsidR="00A64830">
          <w:rPr>
            <w:noProof/>
            <w:webHidden/>
          </w:rPr>
        </w:r>
        <w:r w:rsidR="00A64830">
          <w:rPr>
            <w:noProof/>
            <w:webHidden/>
          </w:rPr>
          <w:fldChar w:fldCharType="separate"/>
        </w:r>
        <w:r w:rsidR="00042677">
          <w:rPr>
            <w:noProof/>
            <w:webHidden/>
          </w:rPr>
          <w:t>28</w:t>
        </w:r>
        <w:r w:rsidR="00A64830">
          <w:rPr>
            <w:noProof/>
            <w:webHidden/>
          </w:rPr>
          <w:fldChar w:fldCharType="end"/>
        </w:r>
      </w:hyperlink>
    </w:p>
    <w:p w:rsidR="00A64830" w:rsidRDefault="000F30C0" w:rsidP="00334983">
      <w:pPr>
        <w:pStyle w:val="TOC3"/>
        <w:rPr>
          <w:rFonts w:asciiTheme="minorHAnsi" w:eastAsiaTheme="minorEastAsia" w:hAnsiTheme="minorHAnsi" w:cstheme="minorBidi"/>
          <w:noProof/>
          <w:sz w:val="22"/>
          <w:szCs w:val="22"/>
        </w:rPr>
      </w:pPr>
      <w:hyperlink w:anchor="_Toc395604530" w:history="1">
        <w:r w:rsidR="00A64830" w:rsidRPr="00965590">
          <w:rPr>
            <w:rStyle w:val="Hyperlink"/>
            <w:noProof/>
          </w:rPr>
          <w:t>3.</w:t>
        </w:r>
        <w:r w:rsidR="00A64830">
          <w:rPr>
            <w:rFonts w:asciiTheme="minorHAnsi" w:eastAsiaTheme="minorEastAsia" w:hAnsiTheme="minorHAnsi" w:cstheme="minorBidi"/>
            <w:noProof/>
            <w:sz w:val="22"/>
            <w:szCs w:val="22"/>
          </w:rPr>
          <w:tab/>
        </w:r>
        <w:r w:rsidR="00A64830" w:rsidRPr="00965590">
          <w:rPr>
            <w:rStyle w:val="Hyperlink"/>
            <w:noProof/>
          </w:rPr>
          <w:t>Findings of Fact</w:t>
        </w:r>
        <w:r w:rsidR="00A64830">
          <w:rPr>
            <w:noProof/>
            <w:webHidden/>
          </w:rPr>
          <w:tab/>
        </w:r>
        <w:r w:rsidR="00A64830">
          <w:rPr>
            <w:noProof/>
            <w:webHidden/>
          </w:rPr>
          <w:fldChar w:fldCharType="begin"/>
        </w:r>
        <w:r w:rsidR="00A64830">
          <w:rPr>
            <w:noProof/>
            <w:webHidden/>
          </w:rPr>
          <w:instrText xml:space="preserve"> PAGEREF _Toc395604530 \h </w:instrText>
        </w:r>
        <w:r w:rsidR="00A64830">
          <w:rPr>
            <w:noProof/>
            <w:webHidden/>
          </w:rPr>
        </w:r>
        <w:r w:rsidR="00A64830">
          <w:rPr>
            <w:noProof/>
            <w:webHidden/>
          </w:rPr>
          <w:fldChar w:fldCharType="separate"/>
        </w:r>
        <w:r w:rsidR="00042677">
          <w:rPr>
            <w:noProof/>
            <w:webHidden/>
          </w:rPr>
          <w:t>29</w:t>
        </w:r>
        <w:r w:rsidR="00A64830">
          <w:rPr>
            <w:noProof/>
            <w:webHidden/>
          </w:rPr>
          <w:fldChar w:fldCharType="end"/>
        </w:r>
      </w:hyperlink>
    </w:p>
    <w:p w:rsidR="00A64830" w:rsidRDefault="000F30C0" w:rsidP="00334983">
      <w:pPr>
        <w:pStyle w:val="TOC4"/>
        <w:tabs>
          <w:tab w:val="left" w:pos="1200"/>
          <w:tab w:val="right" w:leader="dot" w:pos="9350"/>
        </w:tabs>
        <w:spacing w:after="0"/>
        <w:rPr>
          <w:rFonts w:asciiTheme="minorHAnsi" w:eastAsiaTheme="minorEastAsia" w:hAnsiTheme="minorHAnsi" w:cstheme="minorBidi"/>
          <w:noProof/>
          <w:sz w:val="22"/>
          <w:szCs w:val="22"/>
        </w:rPr>
      </w:pPr>
      <w:hyperlink w:anchor="_Toc395604531" w:history="1">
        <w:r w:rsidR="00A64830" w:rsidRPr="00965590">
          <w:rPr>
            <w:rStyle w:val="Hyperlink"/>
            <w:noProof/>
          </w:rPr>
          <w:t>a.</w:t>
        </w:r>
        <w:r w:rsidR="00A64830">
          <w:rPr>
            <w:rFonts w:asciiTheme="minorHAnsi" w:eastAsiaTheme="minorEastAsia" w:hAnsiTheme="minorHAnsi" w:cstheme="minorBidi"/>
            <w:noProof/>
            <w:sz w:val="22"/>
            <w:szCs w:val="22"/>
          </w:rPr>
          <w:tab/>
        </w:r>
        <w:r w:rsidR="00A64830" w:rsidRPr="00965590">
          <w:rPr>
            <w:rStyle w:val="Hyperlink"/>
            <w:noProof/>
          </w:rPr>
          <w:t>Generally</w:t>
        </w:r>
        <w:r w:rsidR="00A64830">
          <w:rPr>
            <w:noProof/>
            <w:webHidden/>
          </w:rPr>
          <w:tab/>
        </w:r>
        <w:r w:rsidR="00A64830">
          <w:rPr>
            <w:noProof/>
            <w:webHidden/>
          </w:rPr>
          <w:fldChar w:fldCharType="begin"/>
        </w:r>
        <w:r w:rsidR="00A64830">
          <w:rPr>
            <w:noProof/>
            <w:webHidden/>
          </w:rPr>
          <w:instrText xml:space="preserve"> PAGEREF _Toc395604531 \h </w:instrText>
        </w:r>
        <w:r w:rsidR="00A64830">
          <w:rPr>
            <w:noProof/>
            <w:webHidden/>
          </w:rPr>
        </w:r>
        <w:r w:rsidR="00A64830">
          <w:rPr>
            <w:noProof/>
            <w:webHidden/>
          </w:rPr>
          <w:fldChar w:fldCharType="separate"/>
        </w:r>
        <w:r w:rsidR="00042677">
          <w:rPr>
            <w:noProof/>
            <w:webHidden/>
          </w:rPr>
          <w:t>29</w:t>
        </w:r>
        <w:r w:rsidR="00A64830">
          <w:rPr>
            <w:noProof/>
            <w:webHidden/>
          </w:rPr>
          <w:fldChar w:fldCharType="end"/>
        </w:r>
      </w:hyperlink>
    </w:p>
    <w:p w:rsidR="00A64830" w:rsidRDefault="000F30C0" w:rsidP="00334983">
      <w:pPr>
        <w:pStyle w:val="TOC4"/>
        <w:tabs>
          <w:tab w:val="left" w:pos="1200"/>
          <w:tab w:val="right" w:leader="dot" w:pos="9350"/>
        </w:tabs>
        <w:spacing w:after="0"/>
        <w:rPr>
          <w:rFonts w:asciiTheme="minorHAnsi" w:eastAsiaTheme="minorEastAsia" w:hAnsiTheme="minorHAnsi" w:cstheme="minorBidi"/>
          <w:noProof/>
          <w:sz w:val="22"/>
          <w:szCs w:val="22"/>
        </w:rPr>
      </w:pPr>
      <w:hyperlink w:anchor="_Toc395604532" w:history="1">
        <w:r w:rsidR="00A64830" w:rsidRPr="00965590">
          <w:rPr>
            <w:rStyle w:val="Hyperlink"/>
            <w:noProof/>
          </w:rPr>
          <w:t>b.</w:t>
        </w:r>
        <w:r w:rsidR="00A64830">
          <w:rPr>
            <w:rFonts w:asciiTheme="minorHAnsi" w:eastAsiaTheme="minorEastAsia" w:hAnsiTheme="minorHAnsi" w:cstheme="minorBidi"/>
            <w:noProof/>
            <w:sz w:val="22"/>
            <w:szCs w:val="22"/>
          </w:rPr>
          <w:tab/>
        </w:r>
        <w:r w:rsidR="00A64830" w:rsidRPr="00965590">
          <w:rPr>
            <w:rStyle w:val="Hyperlink"/>
            <w:noProof/>
          </w:rPr>
          <w:t xml:space="preserve"> Stipulations</w:t>
        </w:r>
        <w:r w:rsidR="00A64830">
          <w:rPr>
            <w:noProof/>
            <w:webHidden/>
          </w:rPr>
          <w:tab/>
        </w:r>
        <w:r w:rsidR="00A64830">
          <w:rPr>
            <w:noProof/>
            <w:webHidden/>
          </w:rPr>
          <w:fldChar w:fldCharType="begin"/>
        </w:r>
        <w:r w:rsidR="00A64830">
          <w:rPr>
            <w:noProof/>
            <w:webHidden/>
          </w:rPr>
          <w:instrText xml:space="preserve"> PAGEREF _Toc395604532 \h </w:instrText>
        </w:r>
        <w:r w:rsidR="00A64830">
          <w:rPr>
            <w:noProof/>
            <w:webHidden/>
          </w:rPr>
        </w:r>
        <w:r w:rsidR="00A64830">
          <w:rPr>
            <w:noProof/>
            <w:webHidden/>
          </w:rPr>
          <w:fldChar w:fldCharType="separate"/>
        </w:r>
        <w:r w:rsidR="00042677">
          <w:rPr>
            <w:noProof/>
            <w:webHidden/>
          </w:rPr>
          <w:t>30</w:t>
        </w:r>
        <w:r w:rsidR="00A64830">
          <w:rPr>
            <w:noProof/>
            <w:webHidden/>
          </w:rPr>
          <w:fldChar w:fldCharType="end"/>
        </w:r>
      </w:hyperlink>
    </w:p>
    <w:p w:rsidR="00A64830" w:rsidRDefault="000F30C0" w:rsidP="00334983">
      <w:pPr>
        <w:pStyle w:val="TOC3"/>
        <w:rPr>
          <w:rFonts w:asciiTheme="minorHAnsi" w:eastAsiaTheme="minorEastAsia" w:hAnsiTheme="minorHAnsi" w:cstheme="minorBidi"/>
          <w:noProof/>
          <w:sz w:val="22"/>
          <w:szCs w:val="22"/>
        </w:rPr>
      </w:pPr>
      <w:hyperlink w:anchor="_Toc395604533" w:history="1">
        <w:r w:rsidR="00A64830" w:rsidRPr="00965590">
          <w:rPr>
            <w:rStyle w:val="Hyperlink"/>
            <w:noProof/>
          </w:rPr>
          <w:t>4.</w:t>
        </w:r>
        <w:r w:rsidR="00A64830">
          <w:rPr>
            <w:rFonts w:asciiTheme="minorHAnsi" w:eastAsiaTheme="minorEastAsia" w:hAnsiTheme="minorHAnsi" w:cstheme="minorBidi"/>
            <w:noProof/>
            <w:sz w:val="22"/>
            <w:szCs w:val="22"/>
          </w:rPr>
          <w:tab/>
        </w:r>
        <w:r w:rsidR="00A64830" w:rsidRPr="00965590">
          <w:rPr>
            <w:rStyle w:val="Hyperlink"/>
            <w:noProof/>
          </w:rPr>
          <w:t>Reopening of Judgment</w:t>
        </w:r>
        <w:r w:rsidR="00A64830">
          <w:rPr>
            <w:noProof/>
            <w:webHidden/>
          </w:rPr>
          <w:tab/>
        </w:r>
        <w:r w:rsidR="00A64830">
          <w:rPr>
            <w:noProof/>
            <w:webHidden/>
          </w:rPr>
          <w:fldChar w:fldCharType="begin"/>
        </w:r>
        <w:r w:rsidR="00A64830">
          <w:rPr>
            <w:noProof/>
            <w:webHidden/>
          </w:rPr>
          <w:instrText xml:space="preserve"> PAGEREF _Toc395604533 \h </w:instrText>
        </w:r>
        <w:r w:rsidR="00A64830">
          <w:rPr>
            <w:noProof/>
            <w:webHidden/>
          </w:rPr>
        </w:r>
        <w:r w:rsidR="00A64830">
          <w:rPr>
            <w:noProof/>
            <w:webHidden/>
          </w:rPr>
          <w:fldChar w:fldCharType="separate"/>
        </w:r>
        <w:r w:rsidR="00042677">
          <w:rPr>
            <w:noProof/>
            <w:webHidden/>
          </w:rPr>
          <w:t>30</w:t>
        </w:r>
        <w:r w:rsidR="00A64830">
          <w:rPr>
            <w:noProof/>
            <w:webHidden/>
          </w:rPr>
          <w:fldChar w:fldCharType="end"/>
        </w:r>
      </w:hyperlink>
    </w:p>
    <w:p w:rsidR="00A64830" w:rsidRDefault="000F30C0" w:rsidP="00334983">
      <w:pPr>
        <w:pStyle w:val="TOC3"/>
        <w:rPr>
          <w:rStyle w:val="Hyperlink"/>
          <w:noProof/>
        </w:rPr>
      </w:pPr>
      <w:hyperlink w:anchor="_Toc395604534" w:history="1">
        <w:r w:rsidR="00A64830" w:rsidRPr="00965590">
          <w:rPr>
            <w:rStyle w:val="Hyperlink"/>
            <w:noProof/>
          </w:rPr>
          <w:t>5.</w:t>
        </w:r>
        <w:r w:rsidR="00A64830">
          <w:rPr>
            <w:rFonts w:asciiTheme="minorHAnsi" w:eastAsiaTheme="minorEastAsia" w:hAnsiTheme="minorHAnsi" w:cstheme="minorBidi"/>
            <w:noProof/>
            <w:sz w:val="22"/>
            <w:szCs w:val="22"/>
          </w:rPr>
          <w:tab/>
        </w:r>
        <w:r w:rsidR="00A64830" w:rsidRPr="00965590">
          <w:rPr>
            <w:rStyle w:val="Hyperlink"/>
            <w:noProof/>
          </w:rPr>
          <w:t>Abuse of Discretion</w:t>
        </w:r>
        <w:r w:rsidR="00A64830">
          <w:rPr>
            <w:noProof/>
            <w:webHidden/>
          </w:rPr>
          <w:tab/>
        </w:r>
        <w:r w:rsidR="00A64830">
          <w:rPr>
            <w:noProof/>
            <w:webHidden/>
          </w:rPr>
          <w:fldChar w:fldCharType="begin"/>
        </w:r>
        <w:r w:rsidR="00A64830">
          <w:rPr>
            <w:noProof/>
            <w:webHidden/>
          </w:rPr>
          <w:instrText xml:space="preserve"> PAGEREF _Toc395604534 \h </w:instrText>
        </w:r>
        <w:r w:rsidR="00A64830">
          <w:rPr>
            <w:noProof/>
            <w:webHidden/>
          </w:rPr>
        </w:r>
        <w:r w:rsidR="00A64830">
          <w:rPr>
            <w:noProof/>
            <w:webHidden/>
          </w:rPr>
          <w:fldChar w:fldCharType="separate"/>
        </w:r>
        <w:r w:rsidR="00042677">
          <w:rPr>
            <w:noProof/>
            <w:webHidden/>
          </w:rPr>
          <w:t>31</w:t>
        </w:r>
        <w:r w:rsidR="00A64830">
          <w:rPr>
            <w:noProof/>
            <w:webHidden/>
          </w:rPr>
          <w:fldChar w:fldCharType="end"/>
        </w:r>
      </w:hyperlink>
    </w:p>
    <w:p w:rsidR="00A64830" w:rsidRPr="00A64830" w:rsidRDefault="00A64830" w:rsidP="00334983">
      <w:pPr>
        <w:rPr>
          <w:rFonts w:eastAsiaTheme="minorEastAsia"/>
        </w:rPr>
      </w:pPr>
    </w:p>
    <w:p w:rsidR="00A64830" w:rsidRDefault="000F30C0" w:rsidP="00334983">
      <w:pPr>
        <w:pStyle w:val="TOC2"/>
        <w:rPr>
          <w:rFonts w:asciiTheme="minorHAnsi" w:eastAsiaTheme="minorEastAsia" w:hAnsiTheme="minorHAnsi" w:cstheme="minorBidi"/>
          <w:noProof/>
          <w:sz w:val="22"/>
          <w:szCs w:val="22"/>
        </w:rPr>
      </w:pPr>
      <w:hyperlink w:anchor="_Toc395604535" w:history="1">
        <w:r w:rsidR="00A64830" w:rsidRPr="00965590">
          <w:rPr>
            <w:rStyle w:val="Hyperlink"/>
            <w:noProof/>
          </w:rPr>
          <w:t>B.</w:t>
        </w:r>
        <w:r w:rsidR="00A64830">
          <w:rPr>
            <w:rFonts w:asciiTheme="minorHAnsi" w:eastAsiaTheme="minorEastAsia" w:hAnsiTheme="minorHAnsi" w:cstheme="minorBidi"/>
            <w:noProof/>
            <w:sz w:val="22"/>
            <w:szCs w:val="22"/>
          </w:rPr>
          <w:tab/>
        </w:r>
        <w:r w:rsidR="00A64830" w:rsidRPr="00965590">
          <w:rPr>
            <w:rStyle w:val="Hyperlink"/>
            <w:noProof/>
          </w:rPr>
          <w:t>PROPERTY DIVISION</w:t>
        </w:r>
        <w:r w:rsidR="00A64830">
          <w:rPr>
            <w:noProof/>
            <w:webHidden/>
          </w:rPr>
          <w:tab/>
        </w:r>
        <w:r w:rsidR="00A64830">
          <w:rPr>
            <w:noProof/>
            <w:webHidden/>
          </w:rPr>
          <w:fldChar w:fldCharType="begin"/>
        </w:r>
        <w:r w:rsidR="00A64830">
          <w:rPr>
            <w:noProof/>
            <w:webHidden/>
          </w:rPr>
          <w:instrText xml:space="preserve"> PAGEREF _Toc395604535 \h </w:instrText>
        </w:r>
        <w:r w:rsidR="00A64830">
          <w:rPr>
            <w:noProof/>
            <w:webHidden/>
          </w:rPr>
        </w:r>
        <w:r w:rsidR="00A64830">
          <w:rPr>
            <w:noProof/>
            <w:webHidden/>
          </w:rPr>
          <w:fldChar w:fldCharType="separate"/>
        </w:r>
        <w:r w:rsidR="00042677">
          <w:rPr>
            <w:noProof/>
            <w:webHidden/>
          </w:rPr>
          <w:t>32</w:t>
        </w:r>
        <w:r w:rsidR="00A64830">
          <w:rPr>
            <w:noProof/>
            <w:webHidden/>
          </w:rPr>
          <w:fldChar w:fldCharType="end"/>
        </w:r>
      </w:hyperlink>
    </w:p>
    <w:p w:rsidR="00A64830" w:rsidRDefault="000F30C0" w:rsidP="00334983">
      <w:pPr>
        <w:pStyle w:val="TOC3"/>
        <w:rPr>
          <w:rFonts w:asciiTheme="minorHAnsi" w:eastAsiaTheme="minorEastAsia" w:hAnsiTheme="minorHAnsi" w:cstheme="minorBidi"/>
          <w:noProof/>
          <w:sz w:val="22"/>
          <w:szCs w:val="22"/>
        </w:rPr>
      </w:pPr>
      <w:hyperlink w:anchor="_Toc395604536" w:history="1">
        <w:r w:rsidR="00A64830" w:rsidRPr="00965590">
          <w:rPr>
            <w:rStyle w:val="Hyperlink"/>
            <w:noProof/>
          </w:rPr>
          <w:t>1.</w:t>
        </w:r>
        <w:r w:rsidR="00A64830">
          <w:rPr>
            <w:rFonts w:asciiTheme="minorHAnsi" w:eastAsiaTheme="minorEastAsia" w:hAnsiTheme="minorHAnsi" w:cstheme="minorBidi"/>
            <w:noProof/>
            <w:sz w:val="22"/>
            <w:szCs w:val="22"/>
          </w:rPr>
          <w:tab/>
        </w:r>
        <w:r w:rsidR="00A64830" w:rsidRPr="00965590">
          <w:rPr>
            <w:rStyle w:val="Hyperlink"/>
            <w:noProof/>
          </w:rPr>
          <w:t>Identifying Marital and Nonmarital Property</w:t>
        </w:r>
        <w:r w:rsidR="00A64830">
          <w:rPr>
            <w:noProof/>
            <w:webHidden/>
          </w:rPr>
          <w:tab/>
        </w:r>
        <w:r w:rsidR="00A64830">
          <w:rPr>
            <w:noProof/>
            <w:webHidden/>
          </w:rPr>
          <w:fldChar w:fldCharType="begin"/>
        </w:r>
        <w:r w:rsidR="00A64830">
          <w:rPr>
            <w:noProof/>
            <w:webHidden/>
          </w:rPr>
          <w:instrText xml:space="preserve"> PAGEREF _Toc395604536 \h </w:instrText>
        </w:r>
        <w:r w:rsidR="00A64830">
          <w:rPr>
            <w:noProof/>
            <w:webHidden/>
          </w:rPr>
        </w:r>
        <w:r w:rsidR="00A64830">
          <w:rPr>
            <w:noProof/>
            <w:webHidden/>
          </w:rPr>
          <w:fldChar w:fldCharType="separate"/>
        </w:r>
        <w:r w:rsidR="00042677">
          <w:rPr>
            <w:noProof/>
            <w:webHidden/>
          </w:rPr>
          <w:t>32</w:t>
        </w:r>
        <w:r w:rsidR="00A64830">
          <w:rPr>
            <w:noProof/>
            <w:webHidden/>
          </w:rPr>
          <w:fldChar w:fldCharType="end"/>
        </w:r>
      </w:hyperlink>
    </w:p>
    <w:p w:rsidR="00A64830" w:rsidRDefault="000F30C0" w:rsidP="00334983">
      <w:pPr>
        <w:pStyle w:val="TOC3"/>
        <w:rPr>
          <w:rFonts w:asciiTheme="minorHAnsi" w:eastAsiaTheme="minorEastAsia" w:hAnsiTheme="minorHAnsi" w:cstheme="minorBidi"/>
          <w:noProof/>
          <w:sz w:val="22"/>
          <w:szCs w:val="22"/>
        </w:rPr>
      </w:pPr>
      <w:hyperlink w:anchor="_Toc395604537" w:history="1">
        <w:r w:rsidR="00A64830" w:rsidRPr="00965590">
          <w:rPr>
            <w:rStyle w:val="Hyperlink"/>
            <w:noProof/>
          </w:rPr>
          <w:t>2.</w:t>
        </w:r>
        <w:r w:rsidR="00A64830">
          <w:rPr>
            <w:rFonts w:asciiTheme="minorHAnsi" w:eastAsiaTheme="minorEastAsia" w:hAnsiTheme="minorHAnsi" w:cstheme="minorBidi"/>
            <w:noProof/>
            <w:sz w:val="22"/>
            <w:szCs w:val="22"/>
          </w:rPr>
          <w:tab/>
        </w:r>
        <w:r w:rsidR="00A64830" w:rsidRPr="00965590">
          <w:rPr>
            <w:rStyle w:val="Hyperlink"/>
            <w:noProof/>
          </w:rPr>
          <w:t>Marital Property</w:t>
        </w:r>
        <w:r w:rsidR="00A64830">
          <w:rPr>
            <w:noProof/>
            <w:webHidden/>
          </w:rPr>
          <w:tab/>
        </w:r>
        <w:r w:rsidR="00A64830">
          <w:rPr>
            <w:noProof/>
            <w:webHidden/>
          </w:rPr>
          <w:fldChar w:fldCharType="begin"/>
        </w:r>
        <w:r w:rsidR="00A64830">
          <w:rPr>
            <w:noProof/>
            <w:webHidden/>
          </w:rPr>
          <w:instrText xml:space="preserve"> PAGEREF _Toc395604537 \h </w:instrText>
        </w:r>
        <w:r w:rsidR="00A64830">
          <w:rPr>
            <w:noProof/>
            <w:webHidden/>
          </w:rPr>
        </w:r>
        <w:r w:rsidR="00A64830">
          <w:rPr>
            <w:noProof/>
            <w:webHidden/>
          </w:rPr>
          <w:fldChar w:fldCharType="separate"/>
        </w:r>
        <w:r w:rsidR="00042677">
          <w:rPr>
            <w:noProof/>
            <w:webHidden/>
          </w:rPr>
          <w:t>32</w:t>
        </w:r>
        <w:r w:rsidR="00A64830">
          <w:rPr>
            <w:noProof/>
            <w:webHidden/>
          </w:rPr>
          <w:fldChar w:fldCharType="end"/>
        </w:r>
      </w:hyperlink>
    </w:p>
    <w:p w:rsidR="00A64830" w:rsidRDefault="000F30C0" w:rsidP="00334983">
      <w:pPr>
        <w:pStyle w:val="TOC4"/>
        <w:tabs>
          <w:tab w:val="left" w:pos="1200"/>
          <w:tab w:val="right" w:leader="dot" w:pos="9350"/>
        </w:tabs>
        <w:spacing w:after="0"/>
        <w:rPr>
          <w:rFonts w:asciiTheme="minorHAnsi" w:eastAsiaTheme="minorEastAsia" w:hAnsiTheme="minorHAnsi" w:cstheme="minorBidi"/>
          <w:noProof/>
          <w:sz w:val="22"/>
          <w:szCs w:val="22"/>
        </w:rPr>
      </w:pPr>
      <w:hyperlink w:anchor="_Toc395604538" w:history="1">
        <w:r w:rsidR="00A64830" w:rsidRPr="00965590">
          <w:rPr>
            <w:rStyle w:val="Hyperlink"/>
            <w:noProof/>
          </w:rPr>
          <w:t>a.</w:t>
        </w:r>
        <w:r w:rsidR="00A64830">
          <w:rPr>
            <w:rFonts w:asciiTheme="minorHAnsi" w:eastAsiaTheme="minorEastAsia" w:hAnsiTheme="minorHAnsi" w:cstheme="minorBidi"/>
            <w:noProof/>
            <w:sz w:val="22"/>
            <w:szCs w:val="22"/>
          </w:rPr>
          <w:tab/>
        </w:r>
        <w:r w:rsidR="00A64830" w:rsidRPr="00965590">
          <w:rPr>
            <w:rStyle w:val="Hyperlink"/>
            <w:noProof/>
          </w:rPr>
          <w:t>Valuing Property</w:t>
        </w:r>
        <w:r w:rsidR="00A64830">
          <w:rPr>
            <w:noProof/>
            <w:webHidden/>
          </w:rPr>
          <w:tab/>
        </w:r>
        <w:r w:rsidR="00A64830">
          <w:rPr>
            <w:noProof/>
            <w:webHidden/>
          </w:rPr>
          <w:fldChar w:fldCharType="begin"/>
        </w:r>
        <w:r w:rsidR="00A64830">
          <w:rPr>
            <w:noProof/>
            <w:webHidden/>
          </w:rPr>
          <w:instrText xml:space="preserve"> PAGEREF _Toc395604538 \h </w:instrText>
        </w:r>
        <w:r w:rsidR="00A64830">
          <w:rPr>
            <w:noProof/>
            <w:webHidden/>
          </w:rPr>
        </w:r>
        <w:r w:rsidR="00A64830">
          <w:rPr>
            <w:noProof/>
            <w:webHidden/>
          </w:rPr>
          <w:fldChar w:fldCharType="separate"/>
        </w:r>
        <w:r w:rsidR="00042677">
          <w:rPr>
            <w:noProof/>
            <w:webHidden/>
          </w:rPr>
          <w:t>32</w:t>
        </w:r>
        <w:r w:rsidR="00A64830">
          <w:rPr>
            <w:noProof/>
            <w:webHidden/>
          </w:rPr>
          <w:fldChar w:fldCharType="end"/>
        </w:r>
      </w:hyperlink>
    </w:p>
    <w:p w:rsidR="00A64830" w:rsidRDefault="000F30C0" w:rsidP="00334983">
      <w:pPr>
        <w:pStyle w:val="TOC4"/>
        <w:tabs>
          <w:tab w:val="left" w:pos="1200"/>
          <w:tab w:val="right" w:leader="dot" w:pos="9350"/>
        </w:tabs>
        <w:spacing w:after="0"/>
        <w:rPr>
          <w:rStyle w:val="Hyperlink"/>
          <w:noProof/>
        </w:rPr>
      </w:pPr>
      <w:hyperlink w:anchor="_Toc395604539" w:history="1">
        <w:r w:rsidR="00A64830" w:rsidRPr="00965590">
          <w:rPr>
            <w:rStyle w:val="Hyperlink"/>
            <w:noProof/>
          </w:rPr>
          <w:t>b.</w:t>
        </w:r>
        <w:r w:rsidR="00A64830">
          <w:rPr>
            <w:rFonts w:asciiTheme="minorHAnsi" w:eastAsiaTheme="minorEastAsia" w:hAnsiTheme="minorHAnsi" w:cstheme="minorBidi"/>
            <w:noProof/>
            <w:sz w:val="22"/>
            <w:szCs w:val="22"/>
          </w:rPr>
          <w:tab/>
        </w:r>
        <w:r w:rsidR="00A64830" w:rsidRPr="00965590">
          <w:rPr>
            <w:rStyle w:val="Hyperlink"/>
            <w:noProof/>
          </w:rPr>
          <w:t>Division of Marital Property</w:t>
        </w:r>
        <w:r w:rsidR="00A64830">
          <w:rPr>
            <w:noProof/>
            <w:webHidden/>
          </w:rPr>
          <w:tab/>
        </w:r>
        <w:r w:rsidR="00A64830">
          <w:rPr>
            <w:noProof/>
            <w:webHidden/>
          </w:rPr>
          <w:fldChar w:fldCharType="begin"/>
        </w:r>
        <w:r w:rsidR="00A64830">
          <w:rPr>
            <w:noProof/>
            <w:webHidden/>
          </w:rPr>
          <w:instrText xml:space="preserve"> PAGEREF _Toc395604539 \h </w:instrText>
        </w:r>
        <w:r w:rsidR="00A64830">
          <w:rPr>
            <w:noProof/>
            <w:webHidden/>
          </w:rPr>
        </w:r>
        <w:r w:rsidR="00A64830">
          <w:rPr>
            <w:noProof/>
            <w:webHidden/>
          </w:rPr>
          <w:fldChar w:fldCharType="separate"/>
        </w:r>
        <w:r w:rsidR="00042677">
          <w:rPr>
            <w:noProof/>
            <w:webHidden/>
          </w:rPr>
          <w:t>32</w:t>
        </w:r>
        <w:r w:rsidR="00A64830">
          <w:rPr>
            <w:noProof/>
            <w:webHidden/>
          </w:rPr>
          <w:fldChar w:fldCharType="end"/>
        </w:r>
      </w:hyperlink>
    </w:p>
    <w:p w:rsidR="00A64830" w:rsidRPr="00A64830" w:rsidRDefault="00A64830" w:rsidP="00334983">
      <w:pPr>
        <w:rPr>
          <w:rFonts w:eastAsiaTheme="minorEastAsia"/>
        </w:rPr>
      </w:pPr>
    </w:p>
    <w:p w:rsidR="00A64830" w:rsidRDefault="000F30C0" w:rsidP="00334983">
      <w:pPr>
        <w:pStyle w:val="TOC2"/>
        <w:rPr>
          <w:rStyle w:val="Hyperlink"/>
          <w:noProof/>
        </w:rPr>
      </w:pPr>
      <w:hyperlink w:anchor="_Toc395604540" w:history="1">
        <w:r w:rsidR="00A64830" w:rsidRPr="00965590">
          <w:rPr>
            <w:rStyle w:val="Hyperlink"/>
            <w:noProof/>
          </w:rPr>
          <w:t>C.</w:t>
        </w:r>
        <w:r w:rsidR="00A64830">
          <w:rPr>
            <w:rFonts w:asciiTheme="minorHAnsi" w:eastAsiaTheme="minorEastAsia" w:hAnsiTheme="minorHAnsi" w:cstheme="minorBidi"/>
            <w:noProof/>
            <w:sz w:val="22"/>
            <w:szCs w:val="22"/>
          </w:rPr>
          <w:tab/>
        </w:r>
        <w:r w:rsidR="00A64830" w:rsidRPr="00965590">
          <w:rPr>
            <w:rStyle w:val="Hyperlink"/>
            <w:noProof/>
          </w:rPr>
          <w:t>SPOUSAL MAINTENANCE</w:t>
        </w:r>
        <w:r w:rsidR="00A64830">
          <w:rPr>
            <w:noProof/>
            <w:webHidden/>
          </w:rPr>
          <w:tab/>
        </w:r>
        <w:r w:rsidR="00A64830">
          <w:rPr>
            <w:noProof/>
            <w:webHidden/>
          </w:rPr>
          <w:fldChar w:fldCharType="begin"/>
        </w:r>
        <w:r w:rsidR="00A64830">
          <w:rPr>
            <w:noProof/>
            <w:webHidden/>
          </w:rPr>
          <w:instrText xml:space="preserve"> PAGEREF _Toc395604540 \h </w:instrText>
        </w:r>
        <w:r w:rsidR="00A64830">
          <w:rPr>
            <w:noProof/>
            <w:webHidden/>
          </w:rPr>
        </w:r>
        <w:r w:rsidR="00A64830">
          <w:rPr>
            <w:noProof/>
            <w:webHidden/>
          </w:rPr>
          <w:fldChar w:fldCharType="separate"/>
        </w:r>
        <w:r w:rsidR="00042677">
          <w:rPr>
            <w:noProof/>
            <w:webHidden/>
          </w:rPr>
          <w:t>33</w:t>
        </w:r>
        <w:r w:rsidR="00A64830">
          <w:rPr>
            <w:noProof/>
            <w:webHidden/>
          </w:rPr>
          <w:fldChar w:fldCharType="end"/>
        </w:r>
      </w:hyperlink>
    </w:p>
    <w:p w:rsidR="00A64830" w:rsidRPr="00A64830" w:rsidRDefault="00A64830" w:rsidP="00334983">
      <w:pPr>
        <w:rPr>
          <w:rFonts w:eastAsiaTheme="minorEastAsia"/>
        </w:rPr>
      </w:pPr>
    </w:p>
    <w:p w:rsidR="00A64830" w:rsidRDefault="000F30C0" w:rsidP="00334983">
      <w:pPr>
        <w:pStyle w:val="TOC2"/>
        <w:rPr>
          <w:rFonts w:asciiTheme="minorHAnsi" w:eastAsiaTheme="minorEastAsia" w:hAnsiTheme="minorHAnsi" w:cstheme="minorBidi"/>
          <w:noProof/>
          <w:sz w:val="22"/>
          <w:szCs w:val="22"/>
        </w:rPr>
      </w:pPr>
      <w:hyperlink w:anchor="_Toc395604541" w:history="1">
        <w:r w:rsidR="00A64830" w:rsidRPr="00965590">
          <w:rPr>
            <w:rStyle w:val="Hyperlink"/>
            <w:noProof/>
          </w:rPr>
          <w:t>D.</w:t>
        </w:r>
        <w:r w:rsidR="00A64830">
          <w:rPr>
            <w:rFonts w:asciiTheme="minorHAnsi" w:eastAsiaTheme="minorEastAsia" w:hAnsiTheme="minorHAnsi" w:cstheme="minorBidi"/>
            <w:noProof/>
            <w:sz w:val="22"/>
            <w:szCs w:val="22"/>
          </w:rPr>
          <w:tab/>
        </w:r>
        <w:r w:rsidR="00A64830" w:rsidRPr="00965590">
          <w:rPr>
            <w:rStyle w:val="Hyperlink"/>
            <w:noProof/>
          </w:rPr>
          <w:t>CHILDREN</w:t>
        </w:r>
        <w:r w:rsidR="00A64830">
          <w:rPr>
            <w:noProof/>
            <w:webHidden/>
          </w:rPr>
          <w:tab/>
        </w:r>
        <w:r w:rsidR="00A64830">
          <w:rPr>
            <w:noProof/>
            <w:webHidden/>
          </w:rPr>
          <w:fldChar w:fldCharType="begin"/>
        </w:r>
        <w:r w:rsidR="00A64830">
          <w:rPr>
            <w:noProof/>
            <w:webHidden/>
          </w:rPr>
          <w:instrText xml:space="preserve"> PAGEREF _Toc395604541 \h </w:instrText>
        </w:r>
        <w:r w:rsidR="00A64830">
          <w:rPr>
            <w:noProof/>
            <w:webHidden/>
          </w:rPr>
        </w:r>
        <w:r w:rsidR="00A64830">
          <w:rPr>
            <w:noProof/>
            <w:webHidden/>
          </w:rPr>
          <w:fldChar w:fldCharType="separate"/>
        </w:r>
        <w:r w:rsidR="00042677">
          <w:rPr>
            <w:noProof/>
            <w:webHidden/>
          </w:rPr>
          <w:t>34</w:t>
        </w:r>
        <w:r w:rsidR="00A64830">
          <w:rPr>
            <w:noProof/>
            <w:webHidden/>
          </w:rPr>
          <w:fldChar w:fldCharType="end"/>
        </w:r>
      </w:hyperlink>
    </w:p>
    <w:p w:rsidR="00A64830" w:rsidRDefault="000F30C0" w:rsidP="00334983">
      <w:pPr>
        <w:pStyle w:val="TOC3"/>
        <w:rPr>
          <w:rFonts w:asciiTheme="minorHAnsi" w:eastAsiaTheme="minorEastAsia" w:hAnsiTheme="minorHAnsi" w:cstheme="minorBidi"/>
          <w:noProof/>
          <w:sz w:val="22"/>
          <w:szCs w:val="22"/>
        </w:rPr>
      </w:pPr>
      <w:hyperlink w:anchor="_Toc395604542" w:history="1">
        <w:r w:rsidR="00A64830" w:rsidRPr="00965590">
          <w:rPr>
            <w:rStyle w:val="Hyperlink"/>
            <w:noProof/>
          </w:rPr>
          <w:t>1.</w:t>
        </w:r>
        <w:r w:rsidR="00A64830">
          <w:rPr>
            <w:rFonts w:asciiTheme="minorHAnsi" w:eastAsiaTheme="minorEastAsia" w:hAnsiTheme="minorHAnsi" w:cstheme="minorBidi"/>
            <w:noProof/>
            <w:sz w:val="22"/>
            <w:szCs w:val="22"/>
          </w:rPr>
          <w:tab/>
        </w:r>
        <w:r w:rsidR="00A64830" w:rsidRPr="00965590">
          <w:rPr>
            <w:rStyle w:val="Hyperlink"/>
            <w:noProof/>
          </w:rPr>
          <w:t>Termination of Parental Rights</w:t>
        </w:r>
        <w:r w:rsidR="00A64830">
          <w:rPr>
            <w:noProof/>
            <w:webHidden/>
          </w:rPr>
          <w:tab/>
        </w:r>
        <w:r w:rsidR="00A64830">
          <w:rPr>
            <w:noProof/>
            <w:webHidden/>
          </w:rPr>
          <w:fldChar w:fldCharType="begin"/>
        </w:r>
        <w:r w:rsidR="00A64830">
          <w:rPr>
            <w:noProof/>
            <w:webHidden/>
          </w:rPr>
          <w:instrText xml:space="preserve"> PAGEREF _Toc395604542 \h </w:instrText>
        </w:r>
        <w:r w:rsidR="00A64830">
          <w:rPr>
            <w:noProof/>
            <w:webHidden/>
          </w:rPr>
        </w:r>
        <w:r w:rsidR="00A64830">
          <w:rPr>
            <w:noProof/>
            <w:webHidden/>
          </w:rPr>
          <w:fldChar w:fldCharType="separate"/>
        </w:r>
        <w:r w:rsidR="00042677">
          <w:rPr>
            <w:noProof/>
            <w:webHidden/>
          </w:rPr>
          <w:t>34</w:t>
        </w:r>
        <w:r w:rsidR="00A64830">
          <w:rPr>
            <w:noProof/>
            <w:webHidden/>
          </w:rPr>
          <w:fldChar w:fldCharType="end"/>
        </w:r>
      </w:hyperlink>
    </w:p>
    <w:p w:rsidR="00A64830" w:rsidRDefault="000F30C0" w:rsidP="00334983">
      <w:pPr>
        <w:pStyle w:val="TOC4"/>
        <w:tabs>
          <w:tab w:val="left" w:pos="1200"/>
          <w:tab w:val="right" w:leader="dot" w:pos="9350"/>
        </w:tabs>
        <w:spacing w:after="0"/>
        <w:rPr>
          <w:rFonts w:asciiTheme="minorHAnsi" w:eastAsiaTheme="minorEastAsia" w:hAnsiTheme="minorHAnsi" w:cstheme="minorBidi"/>
          <w:noProof/>
          <w:sz w:val="22"/>
          <w:szCs w:val="22"/>
        </w:rPr>
      </w:pPr>
      <w:hyperlink w:anchor="_Toc395604543" w:history="1">
        <w:r w:rsidR="00A64830" w:rsidRPr="00965590">
          <w:rPr>
            <w:rStyle w:val="Hyperlink"/>
            <w:noProof/>
          </w:rPr>
          <w:t>a.</w:t>
        </w:r>
        <w:r w:rsidR="00A64830">
          <w:rPr>
            <w:rFonts w:asciiTheme="minorHAnsi" w:eastAsiaTheme="minorEastAsia" w:hAnsiTheme="minorHAnsi" w:cstheme="minorBidi"/>
            <w:noProof/>
            <w:sz w:val="22"/>
            <w:szCs w:val="22"/>
          </w:rPr>
          <w:tab/>
        </w:r>
        <w:r w:rsidR="00A64830" w:rsidRPr="00965590">
          <w:rPr>
            <w:rStyle w:val="Hyperlink"/>
            <w:noProof/>
          </w:rPr>
          <w:t>Involuntary Termination of Parental Rights</w:t>
        </w:r>
        <w:r w:rsidR="00A64830">
          <w:rPr>
            <w:noProof/>
            <w:webHidden/>
          </w:rPr>
          <w:tab/>
        </w:r>
        <w:r w:rsidR="00A64830">
          <w:rPr>
            <w:noProof/>
            <w:webHidden/>
          </w:rPr>
          <w:fldChar w:fldCharType="begin"/>
        </w:r>
        <w:r w:rsidR="00A64830">
          <w:rPr>
            <w:noProof/>
            <w:webHidden/>
          </w:rPr>
          <w:instrText xml:space="preserve"> PAGEREF _Toc395604543 \h </w:instrText>
        </w:r>
        <w:r w:rsidR="00A64830">
          <w:rPr>
            <w:noProof/>
            <w:webHidden/>
          </w:rPr>
        </w:r>
        <w:r w:rsidR="00A64830">
          <w:rPr>
            <w:noProof/>
            <w:webHidden/>
          </w:rPr>
          <w:fldChar w:fldCharType="separate"/>
        </w:r>
        <w:r w:rsidR="00042677">
          <w:rPr>
            <w:noProof/>
            <w:webHidden/>
          </w:rPr>
          <w:t>35</w:t>
        </w:r>
        <w:r w:rsidR="00A64830">
          <w:rPr>
            <w:noProof/>
            <w:webHidden/>
          </w:rPr>
          <w:fldChar w:fldCharType="end"/>
        </w:r>
      </w:hyperlink>
    </w:p>
    <w:p w:rsidR="00A64830" w:rsidRDefault="000F30C0" w:rsidP="00334983">
      <w:pPr>
        <w:pStyle w:val="TOC4"/>
        <w:tabs>
          <w:tab w:val="left" w:pos="1200"/>
          <w:tab w:val="right" w:leader="dot" w:pos="9350"/>
        </w:tabs>
        <w:spacing w:after="0"/>
        <w:rPr>
          <w:rFonts w:asciiTheme="minorHAnsi" w:eastAsiaTheme="minorEastAsia" w:hAnsiTheme="minorHAnsi" w:cstheme="minorBidi"/>
          <w:noProof/>
          <w:sz w:val="22"/>
          <w:szCs w:val="22"/>
        </w:rPr>
      </w:pPr>
      <w:hyperlink w:anchor="_Toc395604544" w:history="1">
        <w:r w:rsidR="00A64830" w:rsidRPr="00965590">
          <w:rPr>
            <w:rStyle w:val="Hyperlink"/>
            <w:noProof/>
          </w:rPr>
          <w:t>b.</w:t>
        </w:r>
        <w:r w:rsidR="00A64830">
          <w:rPr>
            <w:rFonts w:asciiTheme="minorHAnsi" w:eastAsiaTheme="minorEastAsia" w:hAnsiTheme="minorHAnsi" w:cstheme="minorBidi"/>
            <w:noProof/>
            <w:sz w:val="22"/>
            <w:szCs w:val="22"/>
          </w:rPr>
          <w:tab/>
        </w:r>
        <w:r w:rsidR="00A64830" w:rsidRPr="00965590">
          <w:rPr>
            <w:rStyle w:val="Hyperlink"/>
            <w:noProof/>
          </w:rPr>
          <w:t>Voluntary Termination of Parental Rights</w:t>
        </w:r>
        <w:r w:rsidR="00A64830">
          <w:rPr>
            <w:noProof/>
            <w:webHidden/>
          </w:rPr>
          <w:tab/>
        </w:r>
        <w:r w:rsidR="00A64830">
          <w:rPr>
            <w:noProof/>
            <w:webHidden/>
          </w:rPr>
          <w:fldChar w:fldCharType="begin"/>
        </w:r>
        <w:r w:rsidR="00A64830">
          <w:rPr>
            <w:noProof/>
            <w:webHidden/>
          </w:rPr>
          <w:instrText xml:space="preserve"> PAGEREF _Toc395604544 \h </w:instrText>
        </w:r>
        <w:r w:rsidR="00A64830">
          <w:rPr>
            <w:noProof/>
            <w:webHidden/>
          </w:rPr>
        </w:r>
        <w:r w:rsidR="00A64830">
          <w:rPr>
            <w:noProof/>
            <w:webHidden/>
          </w:rPr>
          <w:fldChar w:fldCharType="separate"/>
        </w:r>
        <w:r w:rsidR="00042677">
          <w:rPr>
            <w:noProof/>
            <w:webHidden/>
          </w:rPr>
          <w:t>36</w:t>
        </w:r>
        <w:r w:rsidR="00A64830">
          <w:rPr>
            <w:noProof/>
            <w:webHidden/>
          </w:rPr>
          <w:fldChar w:fldCharType="end"/>
        </w:r>
      </w:hyperlink>
    </w:p>
    <w:p w:rsidR="00A64830" w:rsidRDefault="000F30C0" w:rsidP="00334983">
      <w:pPr>
        <w:pStyle w:val="TOC3"/>
        <w:rPr>
          <w:rFonts w:asciiTheme="minorHAnsi" w:eastAsiaTheme="minorEastAsia" w:hAnsiTheme="minorHAnsi" w:cstheme="minorBidi"/>
          <w:noProof/>
          <w:sz w:val="22"/>
          <w:szCs w:val="22"/>
        </w:rPr>
      </w:pPr>
      <w:hyperlink w:anchor="_Toc395604545" w:history="1">
        <w:r w:rsidR="00A64830" w:rsidRPr="00965590">
          <w:rPr>
            <w:rStyle w:val="Hyperlink"/>
            <w:noProof/>
          </w:rPr>
          <w:t>2.</w:t>
        </w:r>
        <w:r w:rsidR="00A64830">
          <w:rPr>
            <w:rFonts w:asciiTheme="minorHAnsi" w:eastAsiaTheme="minorEastAsia" w:hAnsiTheme="minorHAnsi" w:cstheme="minorBidi"/>
            <w:noProof/>
            <w:sz w:val="22"/>
            <w:szCs w:val="22"/>
          </w:rPr>
          <w:tab/>
        </w:r>
        <w:r w:rsidR="00A64830" w:rsidRPr="00965590">
          <w:rPr>
            <w:rStyle w:val="Hyperlink"/>
            <w:noProof/>
          </w:rPr>
          <w:t>Child in Need of Protection or Services</w:t>
        </w:r>
        <w:r w:rsidR="00A64830">
          <w:rPr>
            <w:noProof/>
            <w:webHidden/>
          </w:rPr>
          <w:tab/>
        </w:r>
        <w:r w:rsidR="00A64830">
          <w:rPr>
            <w:noProof/>
            <w:webHidden/>
          </w:rPr>
          <w:fldChar w:fldCharType="begin"/>
        </w:r>
        <w:r w:rsidR="00A64830">
          <w:rPr>
            <w:noProof/>
            <w:webHidden/>
          </w:rPr>
          <w:instrText xml:space="preserve"> PAGEREF _Toc395604545 \h </w:instrText>
        </w:r>
        <w:r w:rsidR="00A64830">
          <w:rPr>
            <w:noProof/>
            <w:webHidden/>
          </w:rPr>
        </w:r>
        <w:r w:rsidR="00A64830">
          <w:rPr>
            <w:noProof/>
            <w:webHidden/>
          </w:rPr>
          <w:fldChar w:fldCharType="separate"/>
        </w:r>
        <w:r w:rsidR="00042677">
          <w:rPr>
            <w:noProof/>
            <w:webHidden/>
          </w:rPr>
          <w:t>37</w:t>
        </w:r>
        <w:r w:rsidR="00A64830">
          <w:rPr>
            <w:noProof/>
            <w:webHidden/>
          </w:rPr>
          <w:fldChar w:fldCharType="end"/>
        </w:r>
      </w:hyperlink>
    </w:p>
    <w:p w:rsidR="00A64830" w:rsidRDefault="000F30C0" w:rsidP="00334983">
      <w:pPr>
        <w:pStyle w:val="TOC3"/>
        <w:rPr>
          <w:rFonts w:asciiTheme="minorHAnsi" w:eastAsiaTheme="minorEastAsia" w:hAnsiTheme="minorHAnsi" w:cstheme="minorBidi"/>
          <w:noProof/>
          <w:sz w:val="22"/>
          <w:szCs w:val="22"/>
        </w:rPr>
      </w:pPr>
      <w:hyperlink w:anchor="_Toc395604546" w:history="1">
        <w:r w:rsidR="00A64830" w:rsidRPr="00965590">
          <w:rPr>
            <w:rStyle w:val="Hyperlink"/>
            <w:noProof/>
          </w:rPr>
          <w:t>3.</w:t>
        </w:r>
        <w:r w:rsidR="00A64830">
          <w:rPr>
            <w:rFonts w:asciiTheme="minorHAnsi" w:eastAsiaTheme="minorEastAsia" w:hAnsiTheme="minorHAnsi" w:cstheme="minorBidi"/>
            <w:noProof/>
            <w:sz w:val="22"/>
            <w:szCs w:val="22"/>
          </w:rPr>
          <w:tab/>
        </w:r>
        <w:r w:rsidR="00A64830" w:rsidRPr="00965590">
          <w:rPr>
            <w:rStyle w:val="Hyperlink"/>
            <w:noProof/>
          </w:rPr>
          <w:t>Custody</w:t>
        </w:r>
        <w:r w:rsidR="00A64830">
          <w:rPr>
            <w:noProof/>
            <w:webHidden/>
          </w:rPr>
          <w:tab/>
        </w:r>
        <w:r w:rsidR="00A64830">
          <w:rPr>
            <w:noProof/>
            <w:webHidden/>
          </w:rPr>
          <w:fldChar w:fldCharType="begin"/>
        </w:r>
        <w:r w:rsidR="00A64830">
          <w:rPr>
            <w:noProof/>
            <w:webHidden/>
          </w:rPr>
          <w:instrText xml:space="preserve"> PAGEREF _Toc395604546 \h </w:instrText>
        </w:r>
        <w:r w:rsidR="00A64830">
          <w:rPr>
            <w:noProof/>
            <w:webHidden/>
          </w:rPr>
        </w:r>
        <w:r w:rsidR="00A64830">
          <w:rPr>
            <w:noProof/>
            <w:webHidden/>
          </w:rPr>
          <w:fldChar w:fldCharType="separate"/>
        </w:r>
        <w:r w:rsidR="00042677">
          <w:rPr>
            <w:noProof/>
            <w:webHidden/>
          </w:rPr>
          <w:t>37</w:t>
        </w:r>
        <w:r w:rsidR="00A64830">
          <w:rPr>
            <w:noProof/>
            <w:webHidden/>
          </w:rPr>
          <w:fldChar w:fldCharType="end"/>
        </w:r>
      </w:hyperlink>
    </w:p>
    <w:p w:rsidR="00A64830" w:rsidRDefault="000F30C0" w:rsidP="00334983">
      <w:pPr>
        <w:pStyle w:val="TOC4"/>
        <w:tabs>
          <w:tab w:val="left" w:pos="1200"/>
          <w:tab w:val="right" w:leader="dot" w:pos="9350"/>
        </w:tabs>
        <w:spacing w:after="0"/>
        <w:rPr>
          <w:rFonts w:asciiTheme="minorHAnsi" w:eastAsiaTheme="minorEastAsia" w:hAnsiTheme="minorHAnsi" w:cstheme="minorBidi"/>
          <w:noProof/>
          <w:sz w:val="22"/>
          <w:szCs w:val="22"/>
        </w:rPr>
      </w:pPr>
      <w:hyperlink w:anchor="_Toc395604547" w:history="1">
        <w:r w:rsidR="00A64830" w:rsidRPr="00965590">
          <w:rPr>
            <w:rStyle w:val="Hyperlink"/>
            <w:noProof/>
          </w:rPr>
          <w:t>a.</w:t>
        </w:r>
        <w:r w:rsidR="00A64830">
          <w:rPr>
            <w:rFonts w:asciiTheme="minorHAnsi" w:eastAsiaTheme="minorEastAsia" w:hAnsiTheme="minorHAnsi" w:cstheme="minorBidi"/>
            <w:noProof/>
            <w:sz w:val="22"/>
            <w:szCs w:val="22"/>
          </w:rPr>
          <w:tab/>
        </w:r>
        <w:r w:rsidR="00A64830" w:rsidRPr="00965590">
          <w:rPr>
            <w:rStyle w:val="Hyperlink"/>
            <w:noProof/>
          </w:rPr>
          <w:t>Generally</w:t>
        </w:r>
        <w:r w:rsidR="00A64830">
          <w:rPr>
            <w:noProof/>
            <w:webHidden/>
          </w:rPr>
          <w:tab/>
        </w:r>
        <w:r w:rsidR="00A64830">
          <w:rPr>
            <w:noProof/>
            <w:webHidden/>
          </w:rPr>
          <w:fldChar w:fldCharType="begin"/>
        </w:r>
        <w:r w:rsidR="00A64830">
          <w:rPr>
            <w:noProof/>
            <w:webHidden/>
          </w:rPr>
          <w:instrText xml:space="preserve"> PAGEREF _Toc395604547 \h </w:instrText>
        </w:r>
        <w:r w:rsidR="00A64830">
          <w:rPr>
            <w:noProof/>
            <w:webHidden/>
          </w:rPr>
        </w:r>
        <w:r w:rsidR="00A64830">
          <w:rPr>
            <w:noProof/>
            <w:webHidden/>
          </w:rPr>
          <w:fldChar w:fldCharType="separate"/>
        </w:r>
        <w:r w:rsidR="00042677">
          <w:rPr>
            <w:noProof/>
            <w:webHidden/>
          </w:rPr>
          <w:t>37</w:t>
        </w:r>
        <w:r w:rsidR="00A64830">
          <w:rPr>
            <w:noProof/>
            <w:webHidden/>
          </w:rPr>
          <w:fldChar w:fldCharType="end"/>
        </w:r>
      </w:hyperlink>
    </w:p>
    <w:p w:rsidR="00A64830" w:rsidRDefault="000F30C0" w:rsidP="00334983">
      <w:pPr>
        <w:pStyle w:val="TOC4"/>
        <w:tabs>
          <w:tab w:val="left" w:pos="1200"/>
          <w:tab w:val="right" w:leader="dot" w:pos="9350"/>
        </w:tabs>
        <w:spacing w:after="0"/>
        <w:rPr>
          <w:rFonts w:asciiTheme="minorHAnsi" w:eastAsiaTheme="minorEastAsia" w:hAnsiTheme="minorHAnsi" w:cstheme="minorBidi"/>
          <w:noProof/>
          <w:sz w:val="22"/>
          <w:szCs w:val="22"/>
        </w:rPr>
      </w:pPr>
      <w:hyperlink w:anchor="_Toc395604548" w:history="1">
        <w:r w:rsidR="00A64830" w:rsidRPr="00965590">
          <w:rPr>
            <w:rStyle w:val="Hyperlink"/>
            <w:noProof/>
          </w:rPr>
          <w:t>b.</w:t>
        </w:r>
        <w:r w:rsidR="00A64830">
          <w:rPr>
            <w:rFonts w:asciiTheme="minorHAnsi" w:eastAsiaTheme="minorEastAsia" w:hAnsiTheme="minorHAnsi" w:cstheme="minorBidi"/>
            <w:noProof/>
            <w:sz w:val="22"/>
            <w:szCs w:val="22"/>
          </w:rPr>
          <w:tab/>
        </w:r>
        <w:r w:rsidR="00A64830" w:rsidRPr="00965590">
          <w:rPr>
            <w:rStyle w:val="Hyperlink"/>
            <w:noProof/>
          </w:rPr>
          <w:t>Modification</w:t>
        </w:r>
        <w:r w:rsidR="00A64830">
          <w:rPr>
            <w:noProof/>
            <w:webHidden/>
          </w:rPr>
          <w:tab/>
        </w:r>
        <w:r w:rsidR="00A64830">
          <w:rPr>
            <w:noProof/>
            <w:webHidden/>
          </w:rPr>
          <w:fldChar w:fldCharType="begin"/>
        </w:r>
        <w:r w:rsidR="00A64830">
          <w:rPr>
            <w:noProof/>
            <w:webHidden/>
          </w:rPr>
          <w:instrText xml:space="preserve"> PAGEREF _Toc395604548 \h </w:instrText>
        </w:r>
        <w:r w:rsidR="00A64830">
          <w:rPr>
            <w:noProof/>
            <w:webHidden/>
          </w:rPr>
        </w:r>
        <w:r w:rsidR="00A64830">
          <w:rPr>
            <w:noProof/>
            <w:webHidden/>
          </w:rPr>
          <w:fldChar w:fldCharType="separate"/>
        </w:r>
        <w:r w:rsidR="00042677">
          <w:rPr>
            <w:noProof/>
            <w:webHidden/>
          </w:rPr>
          <w:t>38</w:t>
        </w:r>
        <w:r w:rsidR="00A64830">
          <w:rPr>
            <w:noProof/>
            <w:webHidden/>
          </w:rPr>
          <w:fldChar w:fldCharType="end"/>
        </w:r>
      </w:hyperlink>
    </w:p>
    <w:p w:rsidR="00A64830" w:rsidRDefault="000F30C0" w:rsidP="00334983">
      <w:pPr>
        <w:pStyle w:val="TOC4"/>
        <w:tabs>
          <w:tab w:val="left" w:pos="1200"/>
          <w:tab w:val="right" w:leader="dot" w:pos="9350"/>
        </w:tabs>
        <w:spacing w:after="0"/>
        <w:rPr>
          <w:rFonts w:asciiTheme="minorHAnsi" w:eastAsiaTheme="minorEastAsia" w:hAnsiTheme="minorHAnsi" w:cstheme="minorBidi"/>
          <w:noProof/>
          <w:sz w:val="22"/>
          <w:szCs w:val="22"/>
        </w:rPr>
      </w:pPr>
      <w:hyperlink w:anchor="_Toc395604549" w:history="1">
        <w:r w:rsidR="00A64830" w:rsidRPr="00965590">
          <w:rPr>
            <w:rStyle w:val="Hyperlink"/>
            <w:noProof/>
          </w:rPr>
          <w:t>c.</w:t>
        </w:r>
        <w:r w:rsidR="00A64830">
          <w:rPr>
            <w:rFonts w:asciiTheme="minorHAnsi" w:eastAsiaTheme="minorEastAsia" w:hAnsiTheme="minorHAnsi" w:cstheme="minorBidi"/>
            <w:noProof/>
            <w:sz w:val="22"/>
            <w:szCs w:val="22"/>
          </w:rPr>
          <w:tab/>
        </w:r>
        <w:r w:rsidR="00A64830" w:rsidRPr="00965590">
          <w:rPr>
            <w:rStyle w:val="Hyperlink"/>
            <w:noProof/>
          </w:rPr>
          <w:t>Joint Physical Custody</w:t>
        </w:r>
        <w:r w:rsidR="00A64830">
          <w:rPr>
            <w:noProof/>
            <w:webHidden/>
          </w:rPr>
          <w:tab/>
        </w:r>
        <w:r w:rsidR="00A64830">
          <w:rPr>
            <w:noProof/>
            <w:webHidden/>
          </w:rPr>
          <w:fldChar w:fldCharType="begin"/>
        </w:r>
        <w:r w:rsidR="00A64830">
          <w:rPr>
            <w:noProof/>
            <w:webHidden/>
          </w:rPr>
          <w:instrText xml:space="preserve"> PAGEREF _Toc395604549 \h </w:instrText>
        </w:r>
        <w:r w:rsidR="00A64830">
          <w:rPr>
            <w:noProof/>
            <w:webHidden/>
          </w:rPr>
        </w:r>
        <w:r w:rsidR="00A64830">
          <w:rPr>
            <w:noProof/>
            <w:webHidden/>
          </w:rPr>
          <w:fldChar w:fldCharType="separate"/>
        </w:r>
        <w:r w:rsidR="00042677">
          <w:rPr>
            <w:noProof/>
            <w:webHidden/>
          </w:rPr>
          <w:t>39</w:t>
        </w:r>
        <w:r w:rsidR="00A64830">
          <w:rPr>
            <w:noProof/>
            <w:webHidden/>
          </w:rPr>
          <w:fldChar w:fldCharType="end"/>
        </w:r>
      </w:hyperlink>
    </w:p>
    <w:p w:rsidR="00A64830" w:rsidRDefault="000F30C0" w:rsidP="00334983">
      <w:pPr>
        <w:pStyle w:val="TOC4"/>
        <w:tabs>
          <w:tab w:val="left" w:pos="1200"/>
          <w:tab w:val="right" w:leader="dot" w:pos="9350"/>
        </w:tabs>
        <w:spacing w:after="0"/>
        <w:rPr>
          <w:rFonts w:asciiTheme="minorHAnsi" w:eastAsiaTheme="minorEastAsia" w:hAnsiTheme="minorHAnsi" w:cstheme="minorBidi"/>
          <w:noProof/>
          <w:sz w:val="22"/>
          <w:szCs w:val="22"/>
        </w:rPr>
      </w:pPr>
      <w:hyperlink w:anchor="_Toc395604550" w:history="1">
        <w:r w:rsidR="00A64830" w:rsidRPr="00965590">
          <w:rPr>
            <w:rStyle w:val="Hyperlink"/>
            <w:noProof/>
          </w:rPr>
          <w:t>d.</w:t>
        </w:r>
        <w:r w:rsidR="00A64830">
          <w:rPr>
            <w:rFonts w:asciiTheme="minorHAnsi" w:eastAsiaTheme="minorEastAsia" w:hAnsiTheme="minorHAnsi" w:cstheme="minorBidi"/>
            <w:noProof/>
            <w:sz w:val="22"/>
            <w:szCs w:val="22"/>
          </w:rPr>
          <w:tab/>
        </w:r>
        <w:r w:rsidR="00A64830" w:rsidRPr="00965590">
          <w:rPr>
            <w:rStyle w:val="Hyperlink"/>
            <w:noProof/>
          </w:rPr>
          <w:t>Removal</w:t>
        </w:r>
        <w:r w:rsidR="00A64830">
          <w:rPr>
            <w:noProof/>
            <w:webHidden/>
          </w:rPr>
          <w:tab/>
        </w:r>
        <w:r w:rsidR="00A64830">
          <w:rPr>
            <w:noProof/>
            <w:webHidden/>
          </w:rPr>
          <w:fldChar w:fldCharType="begin"/>
        </w:r>
        <w:r w:rsidR="00A64830">
          <w:rPr>
            <w:noProof/>
            <w:webHidden/>
          </w:rPr>
          <w:instrText xml:space="preserve"> PAGEREF _Toc395604550 \h </w:instrText>
        </w:r>
        <w:r w:rsidR="00A64830">
          <w:rPr>
            <w:noProof/>
            <w:webHidden/>
          </w:rPr>
        </w:r>
        <w:r w:rsidR="00A64830">
          <w:rPr>
            <w:noProof/>
            <w:webHidden/>
          </w:rPr>
          <w:fldChar w:fldCharType="separate"/>
        </w:r>
        <w:r w:rsidR="00042677">
          <w:rPr>
            <w:noProof/>
            <w:webHidden/>
          </w:rPr>
          <w:t>39</w:t>
        </w:r>
        <w:r w:rsidR="00A64830">
          <w:rPr>
            <w:noProof/>
            <w:webHidden/>
          </w:rPr>
          <w:fldChar w:fldCharType="end"/>
        </w:r>
      </w:hyperlink>
    </w:p>
    <w:p w:rsidR="00A64830" w:rsidRDefault="000F30C0" w:rsidP="00334983">
      <w:pPr>
        <w:pStyle w:val="TOC4"/>
        <w:tabs>
          <w:tab w:val="left" w:pos="1200"/>
          <w:tab w:val="right" w:leader="dot" w:pos="9350"/>
        </w:tabs>
        <w:spacing w:after="0"/>
        <w:rPr>
          <w:rFonts w:asciiTheme="minorHAnsi" w:eastAsiaTheme="minorEastAsia" w:hAnsiTheme="minorHAnsi" w:cstheme="minorBidi"/>
          <w:noProof/>
          <w:sz w:val="22"/>
          <w:szCs w:val="22"/>
        </w:rPr>
      </w:pPr>
      <w:hyperlink w:anchor="_Toc395604551" w:history="1">
        <w:r w:rsidR="00A64830" w:rsidRPr="00965590">
          <w:rPr>
            <w:rStyle w:val="Hyperlink"/>
            <w:noProof/>
          </w:rPr>
          <w:t>e.</w:t>
        </w:r>
        <w:r w:rsidR="00A64830">
          <w:rPr>
            <w:rFonts w:asciiTheme="minorHAnsi" w:eastAsiaTheme="minorEastAsia" w:hAnsiTheme="minorHAnsi" w:cstheme="minorBidi"/>
            <w:noProof/>
            <w:sz w:val="22"/>
            <w:szCs w:val="22"/>
          </w:rPr>
          <w:tab/>
        </w:r>
        <w:r w:rsidR="00A64830" w:rsidRPr="00965590">
          <w:rPr>
            <w:rStyle w:val="Hyperlink"/>
            <w:noProof/>
          </w:rPr>
          <w:t>Locale/LaChapelle Restrictions</w:t>
        </w:r>
        <w:r w:rsidR="00A64830">
          <w:rPr>
            <w:noProof/>
            <w:webHidden/>
          </w:rPr>
          <w:tab/>
        </w:r>
        <w:r w:rsidR="00A64830">
          <w:rPr>
            <w:noProof/>
            <w:webHidden/>
          </w:rPr>
          <w:fldChar w:fldCharType="begin"/>
        </w:r>
        <w:r w:rsidR="00A64830">
          <w:rPr>
            <w:noProof/>
            <w:webHidden/>
          </w:rPr>
          <w:instrText xml:space="preserve"> PAGEREF _Toc395604551 \h </w:instrText>
        </w:r>
        <w:r w:rsidR="00A64830">
          <w:rPr>
            <w:noProof/>
            <w:webHidden/>
          </w:rPr>
        </w:r>
        <w:r w:rsidR="00A64830">
          <w:rPr>
            <w:noProof/>
            <w:webHidden/>
          </w:rPr>
          <w:fldChar w:fldCharType="separate"/>
        </w:r>
        <w:r w:rsidR="00042677">
          <w:rPr>
            <w:noProof/>
            <w:webHidden/>
          </w:rPr>
          <w:t>40</w:t>
        </w:r>
        <w:r w:rsidR="00A64830">
          <w:rPr>
            <w:noProof/>
            <w:webHidden/>
          </w:rPr>
          <w:fldChar w:fldCharType="end"/>
        </w:r>
      </w:hyperlink>
    </w:p>
    <w:p w:rsidR="00A64830" w:rsidRDefault="000F30C0" w:rsidP="00334983">
      <w:pPr>
        <w:pStyle w:val="TOC4"/>
        <w:tabs>
          <w:tab w:val="left" w:pos="1200"/>
          <w:tab w:val="right" w:leader="dot" w:pos="9350"/>
        </w:tabs>
        <w:spacing w:after="0"/>
        <w:rPr>
          <w:rFonts w:asciiTheme="minorHAnsi" w:eastAsiaTheme="minorEastAsia" w:hAnsiTheme="minorHAnsi" w:cstheme="minorBidi"/>
          <w:noProof/>
          <w:sz w:val="22"/>
          <w:szCs w:val="22"/>
        </w:rPr>
      </w:pPr>
      <w:hyperlink w:anchor="_Toc395604552" w:history="1">
        <w:r w:rsidR="00A64830" w:rsidRPr="00965590">
          <w:rPr>
            <w:rStyle w:val="Hyperlink"/>
            <w:noProof/>
          </w:rPr>
          <w:t>f.</w:t>
        </w:r>
        <w:r w:rsidR="00A64830">
          <w:rPr>
            <w:rFonts w:asciiTheme="minorHAnsi" w:eastAsiaTheme="minorEastAsia" w:hAnsiTheme="minorHAnsi" w:cstheme="minorBidi"/>
            <w:noProof/>
            <w:sz w:val="22"/>
            <w:szCs w:val="22"/>
          </w:rPr>
          <w:tab/>
        </w:r>
        <w:r w:rsidR="00A64830" w:rsidRPr="00965590">
          <w:rPr>
            <w:rStyle w:val="Hyperlink"/>
            <w:noProof/>
          </w:rPr>
          <w:t>Third-Party Custody and Visitation</w:t>
        </w:r>
        <w:r w:rsidR="00A64830">
          <w:rPr>
            <w:noProof/>
            <w:webHidden/>
          </w:rPr>
          <w:tab/>
        </w:r>
        <w:r w:rsidR="00A64830">
          <w:rPr>
            <w:noProof/>
            <w:webHidden/>
          </w:rPr>
          <w:fldChar w:fldCharType="begin"/>
        </w:r>
        <w:r w:rsidR="00A64830">
          <w:rPr>
            <w:noProof/>
            <w:webHidden/>
          </w:rPr>
          <w:instrText xml:space="preserve"> PAGEREF _Toc395604552 \h </w:instrText>
        </w:r>
        <w:r w:rsidR="00A64830">
          <w:rPr>
            <w:noProof/>
            <w:webHidden/>
          </w:rPr>
        </w:r>
        <w:r w:rsidR="00A64830">
          <w:rPr>
            <w:noProof/>
            <w:webHidden/>
          </w:rPr>
          <w:fldChar w:fldCharType="separate"/>
        </w:r>
        <w:r w:rsidR="00042677">
          <w:rPr>
            <w:noProof/>
            <w:webHidden/>
          </w:rPr>
          <w:t>40</w:t>
        </w:r>
        <w:r w:rsidR="00A64830">
          <w:rPr>
            <w:noProof/>
            <w:webHidden/>
          </w:rPr>
          <w:fldChar w:fldCharType="end"/>
        </w:r>
      </w:hyperlink>
    </w:p>
    <w:p w:rsidR="00A64830" w:rsidRDefault="000F30C0" w:rsidP="00334983">
      <w:pPr>
        <w:pStyle w:val="TOC3"/>
        <w:rPr>
          <w:rFonts w:asciiTheme="minorHAnsi" w:eastAsiaTheme="minorEastAsia" w:hAnsiTheme="minorHAnsi" w:cstheme="minorBidi"/>
          <w:noProof/>
          <w:sz w:val="22"/>
          <w:szCs w:val="22"/>
        </w:rPr>
      </w:pPr>
      <w:hyperlink w:anchor="_Toc395604553" w:history="1">
        <w:r w:rsidR="00A64830" w:rsidRPr="00965590">
          <w:rPr>
            <w:rStyle w:val="Hyperlink"/>
            <w:noProof/>
          </w:rPr>
          <w:t>4.</w:t>
        </w:r>
        <w:r w:rsidR="00A64830">
          <w:rPr>
            <w:rFonts w:asciiTheme="minorHAnsi" w:eastAsiaTheme="minorEastAsia" w:hAnsiTheme="minorHAnsi" w:cstheme="minorBidi"/>
            <w:noProof/>
            <w:sz w:val="22"/>
            <w:szCs w:val="22"/>
          </w:rPr>
          <w:tab/>
        </w:r>
        <w:r w:rsidR="00A64830" w:rsidRPr="00965590">
          <w:rPr>
            <w:rStyle w:val="Hyperlink"/>
            <w:noProof/>
          </w:rPr>
          <w:t>Parenting Time</w:t>
        </w:r>
        <w:r w:rsidR="00A64830">
          <w:rPr>
            <w:noProof/>
            <w:webHidden/>
          </w:rPr>
          <w:tab/>
        </w:r>
        <w:r w:rsidR="00A64830">
          <w:rPr>
            <w:noProof/>
            <w:webHidden/>
          </w:rPr>
          <w:fldChar w:fldCharType="begin"/>
        </w:r>
        <w:r w:rsidR="00A64830">
          <w:rPr>
            <w:noProof/>
            <w:webHidden/>
          </w:rPr>
          <w:instrText xml:space="preserve"> PAGEREF _Toc395604553 \h </w:instrText>
        </w:r>
        <w:r w:rsidR="00A64830">
          <w:rPr>
            <w:noProof/>
            <w:webHidden/>
          </w:rPr>
        </w:r>
        <w:r w:rsidR="00A64830">
          <w:rPr>
            <w:noProof/>
            <w:webHidden/>
          </w:rPr>
          <w:fldChar w:fldCharType="separate"/>
        </w:r>
        <w:r w:rsidR="00042677">
          <w:rPr>
            <w:noProof/>
            <w:webHidden/>
          </w:rPr>
          <w:t>41</w:t>
        </w:r>
        <w:r w:rsidR="00A64830">
          <w:rPr>
            <w:noProof/>
            <w:webHidden/>
          </w:rPr>
          <w:fldChar w:fldCharType="end"/>
        </w:r>
      </w:hyperlink>
    </w:p>
    <w:p w:rsidR="00A64830" w:rsidRDefault="000F30C0" w:rsidP="00334983">
      <w:pPr>
        <w:pStyle w:val="TOC3"/>
        <w:rPr>
          <w:rFonts w:asciiTheme="minorHAnsi" w:eastAsiaTheme="minorEastAsia" w:hAnsiTheme="minorHAnsi" w:cstheme="minorBidi"/>
          <w:noProof/>
          <w:sz w:val="22"/>
          <w:szCs w:val="22"/>
        </w:rPr>
      </w:pPr>
      <w:hyperlink w:anchor="_Toc395604554" w:history="1">
        <w:r w:rsidR="00A64830" w:rsidRPr="00965590">
          <w:rPr>
            <w:rStyle w:val="Hyperlink"/>
            <w:noProof/>
          </w:rPr>
          <w:t>5.</w:t>
        </w:r>
        <w:r w:rsidR="00A64830">
          <w:rPr>
            <w:rFonts w:asciiTheme="minorHAnsi" w:eastAsiaTheme="minorEastAsia" w:hAnsiTheme="minorHAnsi" w:cstheme="minorBidi"/>
            <w:noProof/>
            <w:sz w:val="22"/>
            <w:szCs w:val="22"/>
          </w:rPr>
          <w:tab/>
        </w:r>
        <w:r w:rsidR="00A64830" w:rsidRPr="00965590">
          <w:rPr>
            <w:rStyle w:val="Hyperlink"/>
            <w:noProof/>
          </w:rPr>
          <w:t>Child Support</w:t>
        </w:r>
        <w:r w:rsidR="00A64830">
          <w:rPr>
            <w:noProof/>
            <w:webHidden/>
          </w:rPr>
          <w:tab/>
        </w:r>
        <w:r w:rsidR="00A64830">
          <w:rPr>
            <w:noProof/>
            <w:webHidden/>
          </w:rPr>
          <w:fldChar w:fldCharType="begin"/>
        </w:r>
        <w:r w:rsidR="00A64830">
          <w:rPr>
            <w:noProof/>
            <w:webHidden/>
          </w:rPr>
          <w:instrText xml:space="preserve"> PAGEREF _Toc395604554 \h </w:instrText>
        </w:r>
        <w:r w:rsidR="00A64830">
          <w:rPr>
            <w:noProof/>
            <w:webHidden/>
          </w:rPr>
        </w:r>
        <w:r w:rsidR="00A64830">
          <w:rPr>
            <w:noProof/>
            <w:webHidden/>
          </w:rPr>
          <w:fldChar w:fldCharType="separate"/>
        </w:r>
        <w:r w:rsidR="00042677">
          <w:rPr>
            <w:noProof/>
            <w:webHidden/>
          </w:rPr>
          <w:t>42</w:t>
        </w:r>
        <w:r w:rsidR="00A64830">
          <w:rPr>
            <w:noProof/>
            <w:webHidden/>
          </w:rPr>
          <w:fldChar w:fldCharType="end"/>
        </w:r>
      </w:hyperlink>
    </w:p>
    <w:p w:rsidR="00A64830" w:rsidRDefault="000F30C0" w:rsidP="00334983">
      <w:pPr>
        <w:pStyle w:val="TOC4"/>
        <w:tabs>
          <w:tab w:val="left" w:pos="1200"/>
          <w:tab w:val="right" w:leader="dot" w:pos="9350"/>
        </w:tabs>
        <w:spacing w:after="0"/>
        <w:rPr>
          <w:rFonts w:asciiTheme="minorHAnsi" w:eastAsiaTheme="minorEastAsia" w:hAnsiTheme="minorHAnsi" w:cstheme="minorBidi"/>
          <w:noProof/>
          <w:sz w:val="22"/>
          <w:szCs w:val="22"/>
        </w:rPr>
      </w:pPr>
      <w:hyperlink w:anchor="_Toc395604555" w:history="1">
        <w:r w:rsidR="00A64830" w:rsidRPr="00965590">
          <w:rPr>
            <w:rStyle w:val="Hyperlink"/>
            <w:noProof/>
          </w:rPr>
          <w:t>a.</w:t>
        </w:r>
        <w:r w:rsidR="00A64830">
          <w:rPr>
            <w:rFonts w:asciiTheme="minorHAnsi" w:eastAsiaTheme="minorEastAsia" w:hAnsiTheme="minorHAnsi" w:cstheme="minorBidi"/>
            <w:noProof/>
            <w:sz w:val="22"/>
            <w:szCs w:val="22"/>
          </w:rPr>
          <w:tab/>
        </w:r>
        <w:r w:rsidR="00A64830" w:rsidRPr="00965590">
          <w:rPr>
            <w:rStyle w:val="Hyperlink"/>
            <w:noProof/>
          </w:rPr>
          <w:t>In General</w:t>
        </w:r>
        <w:r w:rsidR="00A64830">
          <w:rPr>
            <w:noProof/>
            <w:webHidden/>
          </w:rPr>
          <w:tab/>
        </w:r>
        <w:r w:rsidR="00A64830">
          <w:rPr>
            <w:noProof/>
            <w:webHidden/>
          </w:rPr>
          <w:fldChar w:fldCharType="begin"/>
        </w:r>
        <w:r w:rsidR="00A64830">
          <w:rPr>
            <w:noProof/>
            <w:webHidden/>
          </w:rPr>
          <w:instrText xml:space="preserve"> PAGEREF _Toc395604555 \h </w:instrText>
        </w:r>
        <w:r w:rsidR="00A64830">
          <w:rPr>
            <w:noProof/>
            <w:webHidden/>
          </w:rPr>
        </w:r>
        <w:r w:rsidR="00A64830">
          <w:rPr>
            <w:noProof/>
            <w:webHidden/>
          </w:rPr>
          <w:fldChar w:fldCharType="separate"/>
        </w:r>
        <w:r w:rsidR="00042677">
          <w:rPr>
            <w:noProof/>
            <w:webHidden/>
          </w:rPr>
          <w:t>42</w:t>
        </w:r>
        <w:r w:rsidR="00A64830">
          <w:rPr>
            <w:noProof/>
            <w:webHidden/>
          </w:rPr>
          <w:fldChar w:fldCharType="end"/>
        </w:r>
      </w:hyperlink>
    </w:p>
    <w:p w:rsidR="00A64830" w:rsidRDefault="000F30C0" w:rsidP="00334983">
      <w:pPr>
        <w:pStyle w:val="TOC4"/>
        <w:tabs>
          <w:tab w:val="left" w:pos="1200"/>
          <w:tab w:val="right" w:leader="dot" w:pos="9350"/>
        </w:tabs>
        <w:spacing w:after="0"/>
        <w:rPr>
          <w:rFonts w:asciiTheme="minorHAnsi" w:eastAsiaTheme="minorEastAsia" w:hAnsiTheme="minorHAnsi" w:cstheme="minorBidi"/>
          <w:noProof/>
          <w:sz w:val="22"/>
          <w:szCs w:val="22"/>
        </w:rPr>
      </w:pPr>
      <w:hyperlink w:anchor="_Toc395604556" w:history="1">
        <w:r w:rsidR="00A64830" w:rsidRPr="00965590">
          <w:rPr>
            <w:rStyle w:val="Hyperlink"/>
            <w:noProof/>
          </w:rPr>
          <w:t>b.</w:t>
        </w:r>
        <w:r w:rsidR="00A64830">
          <w:rPr>
            <w:rFonts w:asciiTheme="minorHAnsi" w:eastAsiaTheme="minorEastAsia" w:hAnsiTheme="minorHAnsi" w:cstheme="minorBidi"/>
            <w:noProof/>
            <w:sz w:val="22"/>
            <w:szCs w:val="22"/>
          </w:rPr>
          <w:tab/>
        </w:r>
        <w:r w:rsidR="00A64830" w:rsidRPr="00965590">
          <w:rPr>
            <w:rStyle w:val="Hyperlink"/>
            <w:noProof/>
          </w:rPr>
          <w:t>Child Support Magistrates</w:t>
        </w:r>
        <w:r w:rsidR="00A64830">
          <w:rPr>
            <w:noProof/>
            <w:webHidden/>
          </w:rPr>
          <w:tab/>
        </w:r>
        <w:r w:rsidR="00A64830">
          <w:rPr>
            <w:noProof/>
            <w:webHidden/>
          </w:rPr>
          <w:fldChar w:fldCharType="begin"/>
        </w:r>
        <w:r w:rsidR="00A64830">
          <w:rPr>
            <w:noProof/>
            <w:webHidden/>
          </w:rPr>
          <w:instrText xml:space="preserve"> PAGEREF _Toc395604556 \h </w:instrText>
        </w:r>
        <w:r w:rsidR="00A64830">
          <w:rPr>
            <w:noProof/>
            <w:webHidden/>
          </w:rPr>
        </w:r>
        <w:r w:rsidR="00A64830">
          <w:rPr>
            <w:noProof/>
            <w:webHidden/>
          </w:rPr>
          <w:fldChar w:fldCharType="separate"/>
        </w:r>
        <w:r w:rsidR="00042677">
          <w:rPr>
            <w:noProof/>
            <w:webHidden/>
          </w:rPr>
          <w:t>43</w:t>
        </w:r>
        <w:r w:rsidR="00A64830">
          <w:rPr>
            <w:noProof/>
            <w:webHidden/>
          </w:rPr>
          <w:fldChar w:fldCharType="end"/>
        </w:r>
      </w:hyperlink>
    </w:p>
    <w:p w:rsidR="00A64830" w:rsidRDefault="000F30C0" w:rsidP="00334983">
      <w:pPr>
        <w:pStyle w:val="TOC4"/>
        <w:tabs>
          <w:tab w:val="left" w:pos="1200"/>
          <w:tab w:val="right" w:leader="dot" w:pos="9350"/>
        </w:tabs>
        <w:spacing w:after="0"/>
        <w:rPr>
          <w:rFonts w:asciiTheme="minorHAnsi" w:eastAsiaTheme="minorEastAsia" w:hAnsiTheme="minorHAnsi" w:cstheme="minorBidi"/>
          <w:noProof/>
          <w:sz w:val="22"/>
          <w:szCs w:val="22"/>
        </w:rPr>
      </w:pPr>
      <w:hyperlink w:anchor="_Toc395604557" w:history="1">
        <w:r w:rsidR="00A64830" w:rsidRPr="00965590">
          <w:rPr>
            <w:rStyle w:val="Hyperlink"/>
            <w:noProof/>
          </w:rPr>
          <w:t>c.</w:t>
        </w:r>
        <w:r w:rsidR="00A64830">
          <w:rPr>
            <w:rFonts w:asciiTheme="minorHAnsi" w:eastAsiaTheme="minorEastAsia" w:hAnsiTheme="minorHAnsi" w:cstheme="minorBidi"/>
            <w:noProof/>
            <w:sz w:val="22"/>
            <w:szCs w:val="22"/>
          </w:rPr>
          <w:tab/>
        </w:r>
        <w:r w:rsidR="00A64830" w:rsidRPr="00965590">
          <w:rPr>
            <w:rStyle w:val="Hyperlink"/>
            <w:noProof/>
          </w:rPr>
          <w:t>Joint Physical Custody and Child Support</w:t>
        </w:r>
        <w:r w:rsidR="00A64830">
          <w:rPr>
            <w:noProof/>
            <w:webHidden/>
          </w:rPr>
          <w:tab/>
        </w:r>
        <w:r w:rsidR="00A64830">
          <w:rPr>
            <w:noProof/>
            <w:webHidden/>
          </w:rPr>
          <w:fldChar w:fldCharType="begin"/>
        </w:r>
        <w:r w:rsidR="00A64830">
          <w:rPr>
            <w:noProof/>
            <w:webHidden/>
          </w:rPr>
          <w:instrText xml:space="preserve"> PAGEREF _Toc395604557 \h </w:instrText>
        </w:r>
        <w:r w:rsidR="00A64830">
          <w:rPr>
            <w:noProof/>
            <w:webHidden/>
          </w:rPr>
        </w:r>
        <w:r w:rsidR="00A64830">
          <w:rPr>
            <w:noProof/>
            <w:webHidden/>
          </w:rPr>
          <w:fldChar w:fldCharType="separate"/>
        </w:r>
        <w:r w:rsidR="00042677">
          <w:rPr>
            <w:noProof/>
            <w:webHidden/>
          </w:rPr>
          <w:t>44</w:t>
        </w:r>
        <w:r w:rsidR="00A64830">
          <w:rPr>
            <w:noProof/>
            <w:webHidden/>
          </w:rPr>
          <w:fldChar w:fldCharType="end"/>
        </w:r>
      </w:hyperlink>
    </w:p>
    <w:p w:rsidR="00A64830" w:rsidRDefault="000F30C0" w:rsidP="00334983">
      <w:pPr>
        <w:pStyle w:val="TOC4"/>
        <w:tabs>
          <w:tab w:val="left" w:pos="1200"/>
          <w:tab w:val="right" w:leader="dot" w:pos="9350"/>
        </w:tabs>
        <w:spacing w:after="0"/>
        <w:rPr>
          <w:rFonts w:asciiTheme="minorHAnsi" w:eastAsiaTheme="minorEastAsia" w:hAnsiTheme="minorHAnsi" w:cstheme="minorBidi"/>
          <w:noProof/>
          <w:sz w:val="22"/>
          <w:szCs w:val="22"/>
        </w:rPr>
      </w:pPr>
      <w:hyperlink w:anchor="_Toc395604558" w:history="1">
        <w:r w:rsidR="00A64830" w:rsidRPr="00965590">
          <w:rPr>
            <w:rStyle w:val="Hyperlink"/>
            <w:noProof/>
          </w:rPr>
          <w:t>d.</w:t>
        </w:r>
        <w:r w:rsidR="00A64830">
          <w:rPr>
            <w:rFonts w:asciiTheme="minorHAnsi" w:eastAsiaTheme="minorEastAsia" w:hAnsiTheme="minorHAnsi" w:cstheme="minorBidi"/>
            <w:noProof/>
            <w:sz w:val="22"/>
            <w:szCs w:val="22"/>
          </w:rPr>
          <w:tab/>
        </w:r>
        <w:r w:rsidR="00A64830" w:rsidRPr="00965590">
          <w:rPr>
            <w:rStyle w:val="Hyperlink"/>
            <w:noProof/>
          </w:rPr>
          <w:t>Modification of Child Support</w:t>
        </w:r>
        <w:r w:rsidR="00A64830">
          <w:rPr>
            <w:noProof/>
            <w:webHidden/>
          </w:rPr>
          <w:tab/>
        </w:r>
        <w:r w:rsidR="00A64830">
          <w:rPr>
            <w:noProof/>
            <w:webHidden/>
          </w:rPr>
          <w:fldChar w:fldCharType="begin"/>
        </w:r>
        <w:r w:rsidR="00A64830">
          <w:rPr>
            <w:noProof/>
            <w:webHidden/>
          </w:rPr>
          <w:instrText xml:space="preserve"> PAGEREF _Toc395604558 \h </w:instrText>
        </w:r>
        <w:r w:rsidR="00A64830">
          <w:rPr>
            <w:noProof/>
            <w:webHidden/>
          </w:rPr>
        </w:r>
        <w:r w:rsidR="00A64830">
          <w:rPr>
            <w:noProof/>
            <w:webHidden/>
          </w:rPr>
          <w:fldChar w:fldCharType="separate"/>
        </w:r>
        <w:r w:rsidR="00042677">
          <w:rPr>
            <w:noProof/>
            <w:webHidden/>
          </w:rPr>
          <w:t>44</w:t>
        </w:r>
        <w:r w:rsidR="00A64830">
          <w:rPr>
            <w:noProof/>
            <w:webHidden/>
          </w:rPr>
          <w:fldChar w:fldCharType="end"/>
        </w:r>
      </w:hyperlink>
    </w:p>
    <w:p w:rsidR="00A64830" w:rsidRDefault="000F30C0" w:rsidP="00334983">
      <w:pPr>
        <w:pStyle w:val="TOC3"/>
        <w:rPr>
          <w:rFonts w:asciiTheme="minorHAnsi" w:eastAsiaTheme="minorEastAsia" w:hAnsiTheme="minorHAnsi" w:cstheme="minorBidi"/>
          <w:noProof/>
          <w:sz w:val="22"/>
          <w:szCs w:val="22"/>
        </w:rPr>
      </w:pPr>
      <w:hyperlink w:anchor="_Toc395604559" w:history="1">
        <w:r w:rsidR="00A64830" w:rsidRPr="00965590">
          <w:rPr>
            <w:rStyle w:val="Hyperlink"/>
            <w:noProof/>
          </w:rPr>
          <w:t>6.</w:t>
        </w:r>
        <w:r w:rsidR="00A64830">
          <w:rPr>
            <w:rFonts w:asciiTheme="minorHAnsi" w:eastAsiaTheme="minorEastAsia" w:hAnsiTheme="minorHAnsi" w:cstheme="minorBidi"/>
            <w:noProof/>
            <w:sz w:val="22"/>
            <w:szCs w:val="22"/>
          </w:rPr>
          <w:tab/>
        </w:r>
        <w:r w:rsidR="00A64830" w:rsidRPr="00965590">
          <w:rPr>
            <w:rStyle w:val="Hyperlink"/>
            <w:noProof/>
          </w:rPr>
          <w:t>Parentage/Adoption/Name Change</w:t>
        </w:r>
        <w:r w:rsidR="00A64830">
          <w:rPr>
            <w:noProof/>
            <w:webHidden/>
          </w:rPr>
          <w:tab/>
        </w:r>
        <w:r w:rsidR="00A64830">
          <w:rPr>
            <w:noProof/>
            <w:webHidden/>
          </w:rPr>
          <w:fldChar w:fldCharType="begin"/>
        </w:r>
        <w:r w:rsidR="00A64830">
          <w:rPr>
            <w:noProof/>
            <w:webHidden/>
          </w:rPr>
          <w:instrText xml:space="preserve"> PAGEREF _Toc395604559 \h </w:instrText>
        </w:r>
        <w:r w:rsidR="00A64830">
          <w:rPr>
            <w:noProof/>
            <w:webHidden/>
          </w:rPr>
        </w:r>
        <w:r w:rsidR="00A64830">
          <w:rPr>
            <w:noProof/>
            <w:webHidden/>
          </w:rPr>
          <w:fldChar w:fldCharType="separate"/>
        </w:r>
        <w:r w:rsidR="00042677">
          <w:rPr>
            <w:noProof/>
            <w:webHidden/>
          </w:rPr>
          <w:t>45</w:t>
        </w:r>
        <w:r w:rsidR="00A64830">
          <w:rPr>
            <w:noProof/>
            <w:webHidden/>
          </w:rPr>
          <w:fldChar w:fldCharType="end"/>
        </w:r>
      </w:hyperlink>
    </w:p>
    <w:p w:rsidR="00A64830" w:rsidRDefault="000F30C0" w:rsidP="00334983">
      <w:pPr>
        <w:pStyle w:val="TOC4"/>
        <w:tabs>
          <w:tab w:val="left" w:pos="1200"/>
          <w:tab w:val="right" w:leader="dot" w:pos="9350"/>
        </w:tabs>
        <w:spacing w:after="0"/>
        <w:rPr>
          <w:rFonts w:asciiTheme="minorHAnsi" w:eastAsiaTheme="minorEastAsia" w:hAnsiTheme="minorHAnsi" w:cstheme="minorBidi"/>
          <w:noProof/>
          <w:sz w:val="22"/>
          <w:szCs w:val="22"/>
        </w:rPr>
      </w:pPr>
      <w:hyperlink w:anchor="_Toc395604560" w:history="1">
        <w:r w:rsidR="00A64830" w:rsidRPr="00965590">
          <w:rPr>
            <w:rStyle w:val="Hyperlink"/>
            <w:noProof/>
          </w:rPr>
          <w:t>a.</w:t>
        </w:r>
        <w:r w:rsidR="00A64830">
          <w:rPr>
            <w:rFonts w:asciiTheme="minorHAnsi" w:eastAsiaTheme="minorEastAsia" w:hAnsiTheme="minorHAnsi" w:cstheme="minorBidi"/>
            <w:noProof/>
            <w:sz w:val="22"/>
            <w:szCs w:val="22"/>
          </w:rPr>
          <w:tab/>
        </w:r>
        <w:r w:rsidR="00A64830" w:rsidRPr="00965590">
          <w:rPr>
            <w:rStyle w:val="Hyperlink"/>
            <w:noProof/>
          </w:rPr>
          <w:t>Parentage</w:t>
        </w:r>
        <w:r w:rsidR="00A64830">
          <w:rPr>
            <w:noProof/>
            <w:webHidden/>
          </w:rPr>
          <w:tab/>
        </w:r>
        <w:r w:rsidR="00A64830">
          <w:rPr>
            <w:noProof/>
            <w:webHidden/>
          </w:rPr>
          <w:fldChar w:fldCharType="begin"/>
        </w:r>
        <w:r w:rsidR="00A64830">
          <w:rPr>
            <w:noProof/>
            <w:webHidden/>
          </w:rPr>
          <w:instrText xml:space="preserve"> PAGEREF _Toc395604560 \h </w:instrText>
        </w:r>
        <w:r w:rsidR="00A64830">
          <w:rPr>
            <w:noProof/>
            <w:webHidden/>
          </w:rPr>
        </w:r>
        <w:r w:rsidR="00A64830">
          <w:rPr>
            <w:noProof/>
            <w:webHidden/>
          </w:rPr>
          <w:fldChar w:fldCharType="separate"/>
        </w:r>
        <w:r w:rsidR="00042677">
          <w:rPr>
            <w:noProof/>
            <w:webHidden/>
          </w:rPr>
          <w:t>45</w:t>
        </w:r>
        <w:r w:rsidR="00A64830">
          <w:rPr>
            <w:noProof/>
            <w:webHidden/>
          </w:rPr>
          <w:fldChar w:fldCharType="end"/>
        </w:r>
      </w:hyperlink>
    </w:p>
    <w:p w:rsidR="00A64830" w:rsidRDefault="000F30C0" w:rsidP="00334983">
      <w:pPr>
        <w:pStyle w:val="TOC4"/>
        <w:tabs>
          <w:tab w:val="left" w:pos="1200"/>
          <w:tab w:val="right" w:leader="dot" w:pos="9350"/>
        </w:tabs>
        <w:spacing w:after="0"/>
        <w:rPr>
          <w:rFonts w:asciiTheme="minorHAnsi" w:eastAsiaTheme="minorEastAsia" w:hAnsiTheme="minorHAnsi" w:cstheme="minorBidi"/>
          <w:noProof/>
          <w:sz w:val="22"/>
          <w:szCs w:val="22"/>
        </w:rPr>
      </w:pPr>
      <w:hyperlink w:anchor="_Toc395604561" w:history="1">
        <w:r w:rsidR="00A64830" w:rsidRPr="00965590">
          <w:rPr>
            <w:rStyle w:val="Hyperlink"/>
            <w:noProof/>
          </w:rPr>
          <w:t>b.</w:t>
        </w:r>
        <w:r w:rsidR="00A64830">
          <w:rPr>
            <w:rFonts w:asciiTheme="minorHAnsi" w:eastAsiaTheme="minorEastAsia" w:hAnsiTheme="minorHAnsi" w:cstheme="minorBidi"/>
            <w:noProof/>
            <w:sz w:val="22"/>
            <w:szCs w:val="22"/>
          </w:rPr>
          <w:tab/>
        </w:r>
        <w:r w:rsidR="00A64830" w:rsidRPr="00965590">
          <w:rPr>
            <w:rStyle w:val="Hyperlink"/>
            <w:noProof/>
          </w:rPr>
          <w:t>Adoption</w:t>
        </w:r>
        <w:r w:rsidR="00A64830">
          <w:rPr>
            <w:noProof/>
            <w:webHidden/>
          </w:rPr>
          <w:tab/>
        </w:r>
        <w:r w:rsidR="00A64830">
          <w:rPr>
            <w:noProof/>
            <w:webHidden/>
          </w:rPr>
          <w:fldChar w:fldCharType="begin"/>
        </w:r>
        <w:r w:rsidR="00A64830">
          <w:rPr>
            <w:noProof/>
            <w:webHidden/>
          </w:rPr>
          <w:instrText xml:space="preserve"> PAGEREF _Toc395604561 \h </w:instrText>
        </w:r>
        <w:r w:rsidR="00A64830">
          <w:rPr>
            <w:noProof/>
            <w:webHidden/>
          </w:rPr>
        </w:r>
        <w:r w:rsidR="00A64830">
          <w:rPr>
            <w:noProof/>
            <w:webHidden/>
          </w:rPr>
          <w:fldChar w:fldCharType="separate"/>
        </w:r>
        <w:r w:rsidR="00042677">
          <w:rPr>
            <w:noProof/>
            <w:webHidden/>
          </w:rPr>
          <w:t>45</w:t>
        </w:r>
        <w:r w:rsidR="00A64830">
          <w:rPr>
            <w:noProof/>
            <w:webHidden/>
          </w:rPr>
          <w:fldChar w:fldCharType="end"/>
        </w:r>
      </w:hyperlink>
    </w:p>
    <w:p w:rsidR="00A64830" w:rsidRDefault="000F30C0" w:rsidP="00334983">
      <w:pPr>
        <w:pStyle w:val="TOC4"/>
        <w:tabs>
          <w:tab w:val="left" w:pos="1200"/>
          <w:tab w:val="right" w:leader="dot" w:pos="9350"/>
        </w:tabs>
        <w:spacing w:after="0"/>
        <w:rPr>
          <w:rStyle w:val="Hyperlink"/>
          <w:noProof/>
        </w:rPr>
      </w:pPr>
      <w:hyperlink w:anchor="_Toc395604562" w:history="1">
        <w:r w:rsidR="00A64830" w:rsidRPr="00965590">
          <w:rPr>
            <w:rStyle w:val="Hyperlink"/>
            <w:noProof/>
          </w:rPr>
          <w:t>c.</w:t>
        </w:r>
        <w:r w:rsidR="00A64830">
          <w:rPr>
            <w:rFonts w:asciiTheme="minorHAnsi" w:eastAsiaTheme="minorEastAsia" w:hAnsiTheme="minorHAnsi" w:cstheme="minorBidi"/>
            <w:noProof/>
            <w:sz w:val="22"/>
            <w:szCs w:val="22"/>
          </w:rPr>
          <w:tab/>
        </w:r>
        <w:r w:rsidR="00A64830" w:rsidRPr="00965590">
          <w:rPr>
            <w:rStyle w:val="Hyperlink"/>
            <w:noProof/>
          </w:rPr>
          <w:t>Name Change</w:t>
        </w:r>
        <w:r w:rsidR="00A64830">
          <w:rPr>
            <w:noProof/>
            <w:webHidden/>
          </w:rPr>
          <w:tab/>
        </w:r>
        <w:r w:rsidR="00A64830">
          <w:rPr>
            <w:noProof/>
            <w:webHidden/>
          </w:rPr>
          <w:fldChar w:fldCharType="begin"/>
        </w:r>
        <w:r w:rsidR="00A64830">
          <w:rPr>
            <w:noProof/>
            <w:webHidden/>
          </w:rPr>
          <w:instrText xml:space="preserve"> PAGEREF _Toc395604562 \h </w:instrText>
        </w:r>
        <w:r w:rsidR="00A64830">
          <w:rPr>
            <w:noProof/>
            <w:webHidden/>
          </w:rPr>
        </w:r>
        <w:r w:rsidR="00A64830">
          <w:rPr>
            <w:noProof/>
            <w:webHidden/>
          </w:rPr>
          <w:fldChar w:fldCharType="separate"/>
        </w:r>
        <w:r w:rsidR="00042677">
          <w:rPr>
            <w:noProof/>
            <w:webHidden/>
          </w:rPr>
          <w:t>46</w:t>
        </w:r>
        <w:r w:rsidR="00A64830">
          <w:rPr>
            <w:noProof/>
            <w:webHidden/>
          </w:rPr>
          <w:fldChar w:fldCharType="end"/>
        </w:r>
      </w:hyperlink>
    </w:p>
    <w:p w:rsidR="00A64830" w:rsidRPr="00A64830" w:rsidRDefault="00A64830" w:rsidP="00334983">
      <w:pPr>
        <w:rPr>
          <w:rFonts w:eastAsiaTheme="minorEastAsia"/>
        </w:rPr>
      </w:pPr>
    </w:p>
    <w:p w:rsidR="00A64830" w:rsidRDefault="000F30C0" w:rsidP="00334983">
      <w:pPr>
        <w:pStyle w:val="TOC2"/>
        <w:rPr>
          <w:rFonts w:asciiTheme="minorHAnsi" w:eastAsiaTheme="minorEastAsia" w:hAnsiTheme="minorHAnsi" w:cstheme="minorBidi"/>
          <w:noProof/>
          <w:sz w:val="22"/>
          <w:szCs w:val="22"/>
        </w:rPr>
      </w:pPr>
      <w:hyperlink w:anchor="_Toc395604563" w:history="1">
        <w:r w:rsidR="00A64830" w:rsidRPr="00965590">
          <w:rPr>
            <w:rStyle w:val="Hyperlink"/>
            <w:noProof/>
          </w:rPr>
          <w:t>E.</w:t>
        </w:r>
        <w:r w:rsidR="00A64830">
          <w:rPr>
            <w:rFonts w:asciiTheme="minorHAnsi" w:eastAsiaTheme="minorEastAsia" w:hAnsiTheme="minorHAnsi" w:cstheme="minorBidi"/>
            <w:noProof/>
            <w:sz w:val="22"/>
            <w:szCs w:val="22"/>
          </w:rPr>
          <w:tab/>
        </w:r>
        <w:r w:rsidR="00A64830" w:rsidRPr="00965590">
          <w:rPr>
            <w:rStyle w:val="Hyperlink"/>
            <w:noProof/>
          </w:rPr>
          <w:t>ATTORNEY FEES</w:t>
        </w:r>
        <w:r w:rsidR="00A64830">
          <w:rPr>
            <w:noProof/>
            <w:webHidden/>
          </w:rPr>
          <w:tab/>
        </w:r>
        <w:r w:rsidR="00A64830">
          <w:rPr>
            <w:noProof/>
            <w:webHidden/>
          </w:rPr>
          <w:fldChar w:fldCharType="begin"/>
        </w:r>
        <w:r w:rsidR="00A64830">
          <w:rPr>
            <w:noProof/>
            <w:webHidden/>
          </w:rPr>
          <w:instrText xml:space="preserve"> PAGEREF _Toc395604563 \h </w:instrText>
        </w:r>
        <w:r w:rsidR="00A64830">
          <w:rPr>
            <w:noProof/>
            <w:webHidden/>
          </w:rPr>
        </w:r>
        <w:r w:rsidR="00A64830">
          <w:rPr>
            <w:noProof/>
            <w:webHidden/>
          </w:rPr>
          <w:fldChar w:fldCharType="separate"/>
        </w:r>
        <w:r w:rsidR="00042677">
          <w:rPr>
            <w:noProof/>
            <w:webHidden/>
          </w:rPr>
          <w:t>46</w:t>
        </w:r>
        <w:r w:rsidR="00A64830">
          <w:rPr>
            <w:noProof/>
            <w:webHidden/>
          </w:rPr>
          <w:fldChar w:fldCharType="end"/>
        </w:r>
      </w:hyperlink>
    </w:p>
    <w:p w:rsidR="00A64830" w:rsidRDefault="000F30C0" w:rsidP="00334983">
      <w:pPr>
        <w:pStyle w:val="TOC3"/>
        <w:rPr>
          <w:rFonts w:asciiTheme="minorHAnsi" w:eastAsiaTheme="minorEastAsia" w:hAnsiTheme="minorHAnsi" w:cstheme="minorBidi"/>
          <w:noProof/>
          <w:sz w:val="22"/>
          <w:szCs w:val="22"/>
        </w:rPr>
      </w:pPr>
      <w:hyperlink w:anchor="_Toc395604564" w:history="1">
        <w:r w:rsidR="00A64830" w:rsidRPr="00965590">
          <w:rPr>
            <w:rStyle w:val="Hyperlink"/>
            <w:noProof/>
          </w:rPr>
          <w:t>1.</w:t>
        </w:r>
        <w:r w:rsidR="00A64830">
          <w:rPr>
            <w:rFonts w:asciiTheme="minorHAnsi" w:eastAsiaTheme="minorEastAsia" w:hAnsiTheme="minorHAnsi" w:cstheme="minorBidi"/>
            <w:noProof/>
            <w:sz w:val="22"/>
            <w:szCs w:val="22"/>
          </w:rPr>
          <w:tab/>
        </w:r>
        <w:r w:rsidR="00A64830" w:rsidRPr="00965590">
          <w:rPr>
            <w:rStyle w:val="Hyperlink"/>
            <w:noProof/>
          </w:rPr>
          <w:t>Need-Based Attorney Fees</w:t>
        </w:r>
        <w:r w:rsidR="00A64830">
          <w:rPr>
            <w:noProof/>
            <w:webHidden/>
          </w:rPr>
          <w:tab/>
        </w:r>
        <w:r w:rsidR="00A64830">
          <w:rPr>
            <w:noProof/>
            <w:webHidden/>
          </w:rPr>
          <w:fldChar w:fldCharType="begin"/>
        </w:r>
        <w:r w:rsidR="00A64830">
          <w:rPr>
            <w:noProof/>
            <w:webHidden/>
          </w:rPr>
          <w:instrText xml:space="preserve"> PAGEREF _Toc395604564 \h </w:instrText>
        </w:r>
        <w:r w:rsidR="00A64830">
          <w:rPr>
            <w:noProof/>
            <w:webHidden/>
          </w:rPr>
        </w:r>
        <w:r w:rsidR="00A64830">
          <w:rPr>
            <w:noProof/>
            <w:webHidden/>
          </w:rPr>
          <w:fldChar w:fldCharType="separate"/>
        </w:r>
        <w:r w:rsidR="00042677">
          <w:rPr>
            <w:noProof/>
            <w:webHidden/>
          </w:rPr>
          <w:t>46</w:t>
        </w:r>
        <w:r w:rsidR="00A64830">
          <w:rPr>
            <w:noProof/>
            <w:webHidden/>
          </w:rPr>
          <w:fldChar w:fldCharType="end"/>
        </w:r>
      </w:hyperlink>
    </w:p>
    <w:p w:rsidR="00A64830" w:rsidRDefault="000F30C0" w:rsidP="00334983">
      <w:pPr>
        <w:pStyle w:val="TOC3"/>
        <w:rPr>
          <w:rStyle w:val="Hyperlink"/>
          <w:noProof/>
        </w:rPr>
      </w:pPr>
      <w:hyperlink w:anchor="_Toc395604565" w:history="1">
        <w:r w:rsidR="00A64830" w:rsidRPr="00965590">
          <w:rPr>
            <w:rStyle w:val="Hyperlink"/>
            <w:noProof/>
          </w:rPr>
          <w:t>2.</w:t>
        </w:r>
        <w:r w:rsidR="00A64830">
          <w:rPr>
            <w:rFonts w:asciiTheme="minorHAnsi" w:eastAsiaTheme="minorEastAsia" w:hAnsiTheme="minorHAnsi" w:cstheme="minorBidi"/>
            <w:noProof/>
            <w:sz w:val="22"/>
            <w:szCs w:val="22"/>
          </w:rPr>
          <w:tab/>
        </w:r>
        <w:r w:rsidR="00A64830" w:rsidRPr="00965590">
          <w:rPr>
            <w:rStyle w:val="Hyperlink"/>
            <w:noProof/>
          </w:rPr>
          <w:t>Conduct-Based Attorney Fees</w:t>
        </w:r>
        <w:r w:rsidR="00A64830">
          <w:rPr>
            <w:noProof/>
            <w:webHidden/>
          </w:rPr>
          <w:tab/>
        </w:r>
        <w:r w:rsidR="00A64830">
          <w:rPr>
            <w:noProof/>
            <w:webHidden/>
          </w:rPr>
          <w:fldChar w:fldCharType="begin"/>
        </w:r>
        <w:r w:rsidR="00A64830">
          <w:rPr>
            <w:noProof/>
            <w:webHidden/>
          </w:rPr>
          <w:instrText xml:space="preserve"> PAGEREF _Toc395604565 \h </w:instrText>
        </w:r>
        <w:r w:rsidR="00A64830">
          <w:rPr>
            <w:noProof/>
            <w:webHidden/>
          </w:rPr>
        </w:r>
        <w:r w:rsidR="00A64830">
          <w:rPr>
            <w:noProof/>
            <w:webHidden/>
          </w:rPr>
          <w:fldChar w:fldCharType="separate"/>
        </w:r>
        <w:r w:rsidR="00042677">
          <w:rPr>
            <w:noProof/>
            <w:webHidden/>
          </w:rPr>
          <w:t>46</w:t>
        </w:r>
        <w:r w:rsidR="00A64830">
          <w:rPr>
            <w:noProof/>
            <w:webHidden/>
          </w:rPr>
          <w:fldChar w:fldCharType="end"/>
        </w:r>
      </w:hyperlink>
    </w:p>
    <w:p w:rsidR="00A64830" w:rsidRPr="00A64830" w:rsidRDefault="00A64830" w:rsidP="00334983">
      <w:pPr>
        <w:rPr>
          <w:rFonts w:eastAsiaTheme="minorEastAsia"/>
        </w:rPr>
      </w:pPr>
    </w:p>
    <w:p w:rsidR="00A64830" w:rsidRDefault="000F30C0" w:rsidP="00334983">
      <w:pPr>
        <w:pStyle w:val="TOC2"/>
        <w:rPr>
          <w:rStyle w:val="Hyperlink"/>
          <w:noProof/>
        </w:rPr>
      </w:pPr>
      <w:hyperlink w:anchor="_Toc395604566" w:history="1">
        <w:r w:rsidR="00A64830" w:rsidRPr="00965590">
          <w:rPr>
            <w:rStyle w:val="Hyperlink"/>
            <w:noProof/>
          </w:rPr>
          <w:t>F.</w:t>
        </w:r>
        <w:r w:rsidR="00A64830">
          <w:rPr>
            <w:rFonts w:asciiTheme="minorHAnsi" w:eastAsiaTheme="minorEastAsia" w:hAnsiTheme="minorHAnsi" w:cstheme="minorBidi"/>
            <w:noProof/>
            <w:sz w:val="22"/>
            <w:szCs w:val="22"/>
          </w:rPr>
          <w:tab/>
        </w:r>
        <w:r w:rsidR="00A64830" w:rsidRPr="00965590">
          <w:rPr>
            <w:rStyle w:val="Hyperlink"/>
            <w:noProof/>
          </w:rPr>
          <w:t>CONTEMPT</w:t>
        </w:r>
        <w:r w:rsidR="00A64830">
          <w:rPr>
            <w:noProof/>
            <w:webHidden/>
          </w:rPr>
          <w:tab/>
        </w:r>
        <w:r w:rsidR="00A64830">
          <w:rPr>
            <w:noProof/>
            <w:webHidden/>
          </w:rPr>
          <w:fldChar w:fldCharType="begin"/>
        </w:r>
        <w:r w:rsidR="00A64830">
          <w:rPr>
            <w:noProof/>
            <w:webHidden/>
          </w:rPr>
          <w:instrText xml:space="preserve"> PAGEREF _Toc395604566 \h </w:instrText>
        </w:r>
        <w:r w:rsidR="00A64830">
          <w:rPr>
            <w:noProof/>
            <w:webHidden/>
          </w:rPr>
        </w:r>
        <w:r w:rsidR="00A64830">
          <w:rPr>
            <w:noProof/>
            <w:webHidden/>
          </w:rPr>
          <w:fldChar w:fldCharType="separate"/>
        </w:r>
        <w:r w:rsidR="00042677">
          <w:rPr>
            <w:noProof/>
            <w:webHidden/>
          </w:rPr>
          <w:t>46</w:t>
        </w:r>
        <w:r w:rsidR="00A64830">
          <w:rPr>
            <w:noProof/>
            <w:webHidden/>
          </w:rPr>
          <w:fldChar w:fldCharType="end"/>
        </w:r>
      </w:hyperlink>
    </w:p>
    <w:p w:rsidR="00A64830" w:rsidRPr="00A64830" w:rsidRDefault="00A64830" w:rsidP="00334983">
      <w:pPr>
        <w:rPr>
          <w:rFonts w:eastAsiaTheme="minorEastAsia"/>
        </w:rPr>
      </w:pPr>
    </w:p>
    <w:p w:rsidR="00A64830" w:rsidRDefault="000F30C0" w:rsidP="00334983">
      <w:pPr>
        <w:pStyle w:val="TOC2"/>
        <w:rPr>
          <w:rFonts w:asciiTheme="minorHAnsi" w:eastAsiaTheme="minorEastAsia" w:hAnsiTheme="minorHAnsi" w:cstheme="minorBidi"/>
          <w:noProof/>
          <w:sz w:val="22"/>
          <w:szCs w:val="22"/>
        </w:rPr>
      </w:pPr>
      <w:hyperlink w:anchor="_Toc395604567" w:history="1">
        <w:r w:rsidR="00A64830" w:rsidRPr="00965590">
          <w:rPr>
            <w:rStyle w:val="Hyperlink"/>
            <w:noProof/>
          </w:rPr>
          <w:t>G.</w:t>
        </w:r>
        <w:r w:rsidR="00A64830">
          <w:rPr>
            <w:rFonts w:asciiTheme="minorHAnsi" w:eastAsiaTheme="minorEastAsia" w:hAnsiTheme="minorHAnsi" w:cstheme="minorBidi"/>
            <w:noProof/>
            <w:sz w:val="22"/>
            <w:szCs w:val="22"/>
          </w:rPr>
          <w:tab/>
        </w:r>
        <w:r w:rsidR="00A64830" w:rsidRPr="00965590">
          <w:rPr>
            <w:rStyle w:val="Hyperlink"/>
            <w:noProof/>
          </w:rPr>
          <w:t>PROTECTIVE ORDERS</w:t>
        </w:r>
        <w:r w:rsidR="00A64830">
          <w:rPr>
            <w:noProof/>
            <w:webHidden/>
          </w:rPr>
          <w:tab/>
        </w:r>
        <w:r w:rsidR="00A64830">
          <w:rPr>
            <w:noProof/>
            <w:webHidden/>
          </w:rPr>
          <w:fldChar w:fldCharType="begin"/>
        </w:r>
        <w:r w:rsidR="00A64830">
          <w:rPr>
            <w:noProof/>
            <w:webHidden/>
          </w:rPr>
          <w:instrText xml:space="preserve"> PAGEREF _Toc395604567 \h </w:instrText>
        </w:r>
        <w:r w:rsidR="00A64830">
          <w:rPr>
            <w:noProof/>
            <w:webHidden/>
          </w:rPr>
        </w:r>
        <w:r w:rsidR="00A64830">
          <w:rPr>
            <w:noProof/>
            <w:webHidden/>
          </w:rPr>
          <w:fldChar w:fldCharType="separate"/>
        </w:r>
        <w:r w:rsidR="00042677">
          <w:rPr>
            <w:noProof/>
            <w:webHidden/>
          </w:rPr>
          <w:t>47</w:t>
        </w:r>
        <w:r w:rsidR="00A64830">
          <w:rPr>
            <w:noProof/>
            <w:webHidden/>
          </w:rPr>
          <w:fldChar w:fldCharType="end"/>
        </w:r>
      </w:hyperlink>
    </w:p>
    <w:p w:rsidR="00A64830" w:rsidRDefault="000F30C0" w:rsidP="00334983">
      <w:pPr>
        <w:pStyle w:val="TOC3"/>
        <w:rPr>
          <w:rFonts w:asciiTheme="minorHAnsi" w:eastAsiaTheme="minorEastAsia" w:hAnsiTheme="minorHAnsi" w:cstheme="minorBidi"/>
          <w:noProof/>
          <w:sz w:val="22"/>
          <w:szCs w:val="22"/>
        </w:rPr>
      </w:pPr>
      <w:hyperlink w:anchor="_Toc395604568" w:history="1">
        <w:r w:rsidR="00A64830" w:rsidRPr="00965590">
          <w:rPr>
            <w:rStyle w:val="Hyperlink"/>
            <w:noProof/>
          </w:rPr>
          <w:t>1.</w:t>
        </w:r>
        <w:r w:rsidR="00A64830">
          <w:rPr>
            <w:rFonts w:asciiTheme="minorHAnsi" w:eastAsiaTheme="minorEastAsia" w:hAnsiTheme="minorHAnsi" w:cstheme="minorBidi"/>
            <w:noProof/>
            <w:sz w:val="22"/>
            <w:szCs w:val="22"/>
          </w:rPr>
          <w:tab/>
        </w:r>
        <w:r w:rsidR="00A64830" w:rsidRPr="00965590">
          <w:rPr>
            <w:rStyle w:val="Hyperlink"/>
            <w:noProof/>
          </w:rPr>
          <w:t>Harassment Restraining Orders</w:t>
        </w:r>
        <w:r w:rsidR="00A64830">
          <w:rPr>
            <w:noProof/>
            <w:webHidden/>
          </w:rPr>
          <w:tab/>
        </w:r>
        <w:r w:rsidR="00A64830">
          <w:rPr>
            <w:noProof/>
            <w:webHidden/>
          </w:rPr>
          <w:fldChar w:fldCharType="begin"/>
        </w:r>
        <w:r w:rsidR="00A64830">
          <w:rPr>
            <w:noProof/>
            <w:webHidden/>
          </w:rPr>
          <w:instrText xml:space="preserve"> PAGEREF _Toc395604568 \h </w:instrText>
        </w:r>
        <w:r w:rsidR="00A64830">
          <w:rPr>
            <w:noProof/>
            <w:webHidden/>
          </w:rPr>
        </w:r>
        <w:r w:rsidR="00A64830">
          <w:rPr>
            <w:noProof/>
            <w:webHidden/>
          </w:rPr>
          <w:fldChar w:fldCharType="separate"/>
        </w:r>
        <w:r w:rsidR="00042677">
          <w:rPr>
            <w:noProof/>
            <w:webHidden/>
          </w:rPr>
          <w:t>47</w:t>
        </w:r>
        <w:r w:rsidR="00A64830">
          <w:rPr>
            <w:noProof/>
            <w:webHidden/>
          </w:rPr>
          <w:fldChar w:fldCharType="end"/>
        </w:r>
      </w:hyperlink>
    </w:p>
    <w:p w:rsidR="00A64830" w:rsidRDefault="000F30C0" w:rsidP="00334983">
      <w:pPr>
        <w:pStyle w:val="TOC3"/>
        <w:rPr>
          <w:rStyle w:val="Hyperlink"/>
          <w:noProof/>
        </w:rPr>
      </w:pPr>
      <w:hyperlink w:anchor="_Toc395604569" w:history="1">
        <w:r w:rsidR="00A64830" w:rsidRPr="00965590">
          <w:rPr>
            <w:rStyle w:val="Hyperlink"/>
            <w:noProof/>
          </w:rPr>
          <w:t>2.</w:t>
        </w:r>
        <w:r w:rsidR="00A64830">
          <w:rPr>
            <w:rFonts w:asciiTheme="minorHAnsi" w:eastAsiaTheme="minorEastAsia" w:hAnsiTheme="minorHAnsi" w:cstheme="minorBidi"/>
            <w:noProof/>
            <w:sz w:val="22"/>
            <w:szCs w:val="22"/>
          </w:rPr>
          <w:tab/>
        </w:r>
        <w:r w:rsidR="00A64830" w:rsidRPr="00965590">
          <w:rPr>
            <w:rStyle w:val="Hyperlink"/>
            <w:noProof/>
          </w:rPr>
          <w:t>Domestic Abuse Orders for Protection</w:t>
        </w:r>
        <w:r w:rsidR="00A64830">
          <w:rPr>
            <w:noProof/>
            <w:webHidden/>
          </w:rPr>
          <w:tab/>
        </w:r>
        <w:r w:rsidR="00A64830">
          <w:rPr>
            <w:noProof/>
            <w:webHidden/>
          </w:rPr>
          <w:fldChar w:fldCharType="begin"/>
        </w:r>
        <w:r w:rsidR="00A64830">
          <w:rPr>
            <w:noProof/>
            <w:webHidden/>
          </w:rPr>
          <w:instrText xml:space="preserve"> PAGEREF _Toc395604569 \h </w:instrText>
        </w:r>
        <w:r w:rsidR="00A64830">
          <w:rPr>
            <w:noProof/>
            <w:webHidden/>
          </w:rPr>
        </w:r>
        <w:r w:rsidR="00A64830">
          <w:rPr>
            <w:noProof/>
            <w:webHidden/>
          </w:rPr>
          <w:fldChar w:fldCharType="separate"/>
        </w:r>
        <w:r w:rsidR="00042677">
          <w:rPr>
            <w:noProof/>
            <w:webHidden/>
          </w:rPr>
          <w:t>47</w:t>
        </w:r>
        <w:r w:rsidR="00A64830">
          <w:rPr>
            <w:noProof/>
            <w:webHidden/>
          </w:rPr>
          <w:fldChar w:fldCharType="end"/>
        </w:r>
      </w:hyperlink>
    </w:p>
    <w:p w:rsidR="00A64830" w:rsidRPr="00A64830" w:rsidRDefault="00A64830" w:rsidP="00334983">
      <w:pPr>
        <w:rPr>
          <w:rFonts w:eastAsiaTheme="minorEastAsia"/>
        </w:rPr>
      </w:pPr>
    </w:p>
    <w:p w:rsidR="00A64830" w:rsidRDefault="000F30C0" w:rsidP="00334983">
      <w:pPr>
        <w:pStyle w:val="TOC2"/>
        <w:rPr>
          <w:rStyle w:val="Hyperlink"/>
          <w:noProof/>
        </w:rPr>
      </w:pPr>
      <w:hyperlink w:anchor="_Toc395604570" w:history="1">
        <w:r w:rsidR="00A64830" w:rsidRPr="00965590">
          <w:rPr>
            <w:rStyle w:val="Hyperlink"/>
            <w:noProof/>
          </w:rPr>
          <w:t>H.</w:t>
        </w:r>
        <w:r w:rsidR="00A64830">
          <w:rPr>
            <w:rFonts w:asciiTheme="minorHAnsi" w:eastAsiaTheme="minorEastAsia" w:hAnsiTheme="minorHAnsi" w:cstheme="minorBidi"/>
            <w:noProof/>
            <w:sz w:val="22"/>
            <w:szCs w:val="22"/>
          </w:rPr>
          <w:tab/>
        </w:r>
        <w:r w:rsidR="00A64830" w:rsidRPr="00965590">
          <w:rPr>
            <w:rStyle w:val="Hyperlink"/>
            <w:noProof/>
          </w:rPr>
          <w:t>OTHER</w:t>
        </w:r>
        <w:r w:rsidR="00A64830">
          <w:rPr>
            <w:noProof/>
            <w:webHidden/>
          </w:rPr>
          <w:tab/>
        </w:r>
        <w:r w:rsidR="00A64830">
          <w:rPr>
            <w:noProof/>
            <w:webHidden/>
          </w:rPr>
          <w:fldChar w:fldCharType="begin"/>
        </w:r>
        <w:r w:rsidR="00A64830">
          <w:rPr>
            <w:noProof/>
            <w:webHidden/>
          </w:rPr>
          <w:instrText xml:space="preserve"> PAGEREF _Toc395604570 \h </w:instrText>
        </w:r>
        <w:r w:rsidR="00A64830">
          <w:rPr>
            <w:noProof/>
            <w:webHidden/>
          </w:rPr>
        </w:r>
        <w:r w:rsidR="00A64830">
          <w:rPr>
            <w:noProof/>
            <w:webHidden/>
          </w:rPr>
          <w:fldChar w:fldCharType="separate"/>
        </w:r>
        <w:r w:rsidR="00042677">
          <w:rPr>
            <w:noProof/>
            <w:webHidden/>
          </w:rPr>
          <w:t>48</w:t>
        </w:r>
        <w:r w:rsidR="00A64830">
          <w:rPr>
            <w:noProof/>
            <w:webHidden/>
          </w:rPr>
          <w:fldChar w:fldCharType="end"/>
        </w:r>
      </w:hyperlink>
    </w:p>
    <w:p w:rsidR="00A64830" w:rsidRPr="00A64830" w:rsidRDefault="00A64830" w:rsidP="00334983">
      <w:pPr>
        <w:rPr>
          <w:rFonts w:eastAsiaTheme="minorEastAsia"/>
        </w:rPr>
      </w:pPr>
    </w:p>
    <w:p w:rsidR="00A64830" w:rsidRDefault="000F30C0" w:rsidP="00334983">
      <w:pPr>
        <w:pStyle w:val="TOC1"/>
        <w:rPr>
          <w:rStyle w:val="Hyperlink"/>
          <w:noProof/>
        </w:rPr>
      </w:pPr>
      <w:hyperlink w:anchor="_Toc395604571" w:history="1">
        <w:r w:rsidR="00A64830" w:rsidRPr="00965590">
          <w:rPr>
            <w:rStyle w:val="Hyperlink"/>
            <w:noProof/>
          </w:rPr>
          <w:t>III.</w:t>
        </w:r>
        <w:r w:rsidR="00A64830">
          <w:rPr>
            <w:rFonts w:asciiTheme="minorHAnsi" w:eastAsiaTheme="minorEastAsia" w:hAnsiTheme="minorHAnsi" w:cstheme="minorBidi"/>
            <w:noProof/>
            <w:sz w:val="22"/>
            <w:szCs w:val="22"/>
          </w:rPr>
          <w:tab/>
        </w:r>
        <w:r w:rsidR="00A64830" w:rsidRPr="00965590">
          <w:rPr>
            <w:rStyle w:val="Hyperlink"/>
            <w:noProof/>
          </w:rPr>
          <w:t>CIVIL – PROBATE</w:t>
        </w:r>
        <w:r w:rsidR="00A64830">
          <w:rPr>
            <w:noProof/>
            <w:webHidden/>
          </w:rPr>
          <w:tab/>
        </w:r>
        <w:r w:rsidR="00A64830">
          <w:rPr>
            <w:noProof/>
            <w:webHidden/>
          </w:rPr>
          <w:fldChar w:fldCharType="begin"/>
        </w:r>
        <w:r w:rsidR="00A64830">
          <w:rPr>
            <w:noProof/>
            <w:webHidden/>
          </w:rPr>
          <w:instrText xml:space="preserve"> PAGEREF _Toc395604571 \h </w:instrText>
        </w:r>
        <w:r w:rsidR="00A64830">
          <w:rPr>
            <w:noProof/>
            <w:webHidden/>
          </w:rPr>
        </w:r>
        <w:r w:rsidR="00A64830">
          <w:rPr>
            <w:noProof/>
            <w:webHidden/>
          </w:rPr>
          <w:fldChar w:fldCharType="separate"/>
        </w:r>
        <w:r w:rsidR="00042677">
          <w:rPr>
            <w:noProof/>
            <w:webHidden/>
          </w:rPr>
          <w:t>50</w:t>
        </w:r>
        <w:r w:rsidR="00A64830">
          <w:rPr>
            <w:noProof/>
            <w:webHidden/>
          </w:rPr>
          <w:fldChar w:fldCharType="end"/>
        </w:r>
      </w:hyperlink>
    </w:p>
    <w:p w:rsidR="00A64830" w:rsidRPr="00A64830" w:rsidRDefault="00A64830" w:rsidP="00334983">
      <w:pPr>
        <w:rPr>
          <w:rFonts w:eastAsiaTheme="minorEastAsia"/>
        </w:rPr>
      </w:pPr>
    </w:p>
    <w:p w:rsidR="00A64830" w:rsidRDefault="000F30C0" w:rsidP="00334983">
      <w:pPr>
        <w:pStyle w:val="TOC2"/>
        <w:rPr>
          <w:rFonts w:asciiTheme="minorHAnsi" w:eastAsiaTheme="minorEastAsia" w:hAnsiTheme="minorHAnsi" w:cstheme="minorBidi"/>
          <w:noProof/>
          <w:sz w:val="22"/>
          <w:szCs w:val="22"/>
        </w:rPr>
      </w:pPr>
      <w:hyperlink w:anchor="_Toc395604572" w:history="1">
        <w:r w:rsidR="00A64830" w:rsidRPr="00965590">
          <w:rPr>
            <w:rStyle w:val="Hyperlink"/>
            <w:noProof/>
          </w:rPr>
          <w:t>A.</w:t>
        </w:r>
        <w:r w:rsidR="00A64830">
          <w:rPr>
            <w:rFonts w:asciiTheme="minorHAnsi" w:eastAsiaTheme="minorEastAsia" w:hAnsiTheme="minorHAnsi" w:cstheme="minorBidi"/>
            <w:noProof/>
            <w:sz w:val="22"/>
            <w:szCs w:val="22"/>
          </w:rPr>
          <w:tab/>
        </w:r>
        <w:r w:rsidR="00A64830" w:rsidRPr="00965590">
          <w:rPr>
            <w:rStyle w:val="Hyperlink"/>
            <w:noProof/>
          </w:rPr>
          <w:t>WILLS</w:t>
        </w:r>
        <w:r w:rsidR="00A64830">
          <w:rPr>
            <w:noProof/>
            <w:webHidden/>
          </w:rPr>
          <w:tab/>
        </w:r>
        <w:r w:rsidR="00A64830">
          <w:rPr>
            <w:noProof/>
            <w:webHidden/>
          </w:rPr>
          <w:fldChar w:fldCharType="begin"/>
        </w:r>
        <w:r w:rsidR="00A64830">
          <w:rPr>
            <w:noProof/>
            <w:webHidden/>
          </w:rPr>
          <w:instrText xml:space="preserve"> PAGEREF _Toc395604572 \h </w:instrText>
        </w:r>
        <w:r w:rsidR="00A64830">
          <w:rPr>
            <w:noProof/>
            <w:webHidden/>
          </w:rPr>
        </w:r>
        <w:r w:rsidR="00A64830">
          <w:rPr>
            <w:noProof/>
            <w:webHidden/>
          </w:rPr>
          <w:fldChar w:fldCharType="separate"/>
        </w:r>
        <w:r w:rsidR="00042677">
          <w:rPr>
            <w:noProof/>
            <w:webHidden/>
          </w:rPr>
          <w:t>50</w:t>
        </w:r>
        <w:r w:rsidR="00A64830">
          <w:rPr>
            <w:noProof/>
            <w:webHidden/>
          </w:rPr>
          <w:fldChar w:fldCharType="end"/>
        </w:r>
      </w:hyperlink>
    </w:p>
    <w:p w:rsidR="00A64830" w:rsidRDefault="000F30C0" w:rsidP="00334983">
      <w:pPr>
        <w:pStyle w:val="TOC3"/>
        <w:rPr>
          <w:rFonts w:asciiTheme="minorHAnsi" w:eastAsiaTheme="minorEastAsia" w:hAnsiTheme="minorHAnsi" w:cstheme="minorBidi"/>
          <w:noProof/>
          <w:sz w:val="22"/>
          <w:szCs w:val="22"/>
        </w:rPr>
      </w:pPr>
      <w:hyperlink w:anchor="_Toc395604573" w:history="1">
        <w:r w:rsidR="00A64830" w:rsidRPr="00965590">
          <w:rPr>
            <w:rStyle w:val="Hyperlink"/>
            <w:noProof/>
          </w:rPr>
          <w:t>1.</w:t>
        </w:r>
        <w:r w:rsidR="00A64830">
          <w:rPr>
            <w:rFonts w:asciiTheme="minorHAnsi" w:eastAsiaTheme="minorEastAsia" w:hAnsiTheme="minorHAnsi" w:cstheme="minorBidi"/>
            <w:noProof/>
            <w:sz w:val="22"/>
            <w:szCs w:val="22"/>
          </w:rPr>
          <w:tab/>
        </w:r>
        <w:r w:rsidR="00A64830" w:rsidRPr="00965590">
          <w:rPr>
            <w:rStyle w:val="Hyperlink"/>
            <w:noProof/>
          </w:rPr>
          <w:t>Interpretation/Construction</w:t>
        </w:r>
        <w:r w:rsidR="00A64830">
          <w:rPr>
            <w:noProof/>
            <w:webHidden/>
          </w:rPr>
          <w:tab/>
        </w:r>
        <w:r w:rsidR="00A64830">
          <w:rPr>
            <w:noProof/>
            <w:webHidden/>
          </w:rPr>
          <w:fldChar w:fldCharType="begin"/>
        </w:r>
        <w:r w:rsidR="00A64830">
          <w:rPr>
            <w:noProof/>
            <w:webHidden/>
          </w:rPr>
          <w:instrText xml:space="preserve"> PAGEREF _Toc395604573 \h </w:instrText>
        </w:r>
        <w:r w:rsidR="00A64830">
          <w:rPr>
            <w:noProof/>
            <w:webHidden/>
          </w:rPr>
        </w:r>
        <w:r w:rsidR="00A64830">
          <w:rPr>
            <w:noProof/>
            <w:webHidden/>
          </w:rPr>
          <w:fldChar w:fldCharType="separate"/>
        </w:r>
        <w:r w:rsidR="00042677">
          <w:rPr>
            <w:noProof/>
            <w:webHidden/>
          </w:rPr>
          <w:t>50</w:t>
        </w:r>
        <w:r w:rsidR="00A64830">
          <w:rPr>
            <w:noProof/>
            <w:webHidden/>
          </w:rPr>
          <w:fldChar w:fldCharType="end"/>
        </w:r>
      </w:hyperlink>
    </w:p>
    <w:p w:rsidR="00A64830" w:rsidRDefault="000F30C0" w:rsidP="00334983">
      <w:pPr>
        <w:pStyle w:val="TOC3"/>
        <w:rPr>
          <w:rFonts w:asciiTheme="minorHAnsi" w:eastAsiaTheme="minorEastAsia" w:hAnsiTheme="minorHAnsi" w:cstheme="minorBidi"/>
          <w:noProof/>
          <w:sz w:val="22"/>
          <w:szCs w:val="22"/>
        </w:rPr>
      </w:pPr>
      <w:hyperlink w:anchor="_Toc395604574" w:history="1">
        <w:r w:rsidR="00A64830" w:rsidRPr="00965590">
          <w:rPr>
            <w:rStyle w:val="Hyperlink"/>
            <w:noProof/>
          </w:rPr>
          <w:t>2.</w:t>
        </w:r>
        <w:r w:rsidR="00A64830">
          <w:rPr>
            <w:rFonts w:asciiTheme="minorHAnsi" w:eastAsiaTheme="minorEastAsia" w:hAnsiTheme="minorHAnsi" w:cstheme="minorBidi"/>
            <w:noProof/>
            <w:sz w:val="22"/>
            <w:szCs w:val="22"/>
          </w:rPr>
          <w:tab/>
        </w:r>
        <w:r w:rsidR="00A64830" w:rsidRPr="00965590">
          <w:rPr>
            <w:rStyle w:val="Hyperlink"/>
            <w:noProof/>
          </w:rPr>
          <w:t>Findings of Fact</w:t>
        </w:r>
        <w:r w:rsidR="00A64830">
          <w:rPr>
            <w:noProof/>
            <w:webHidden/>
          </w:rPr>
          <w:tab/>
        </w:r>
        <w:r w:rsidR="00A64830">
          <w:rPr>
            <w:noProof/>
            <w:webHidden/>
          </w:rPr>
          <w:fldChar w:fldCharType="begin"/>
        </w:r>
        <w:r w:rsidR="00A64830">
          <w:rPr>
            <w:noProof/>
            <w:webHidden/>
          </w:rPr>
          <w:instrText xml:space="preserve"> PAGEREF _Toc395604574 \h </w:instrText>
        </w:r>
        <w:r w:rsidR="00A64830">
          <w:rPr>
            <w:noProof/>
            <w:webHidden/>
          </w:rPr>
        </w:r>
        <w:r w:rsidR="00A64830">
          <w:rPr>
            <w:noProof/>
            <w:webHidden/>
          </w:rPr>
          <w:fldChar w:fldCharType="separate"/>
        </w:r>
        <w:r w:rsidR="00042677">
          <w:rPr>
            <w:noProof/>
            <w:webHidden/>
          </w:rPr>
          <w:t>50</w:t>
        </w:r>
        <w:r w:rsidR="00A64830">
          <w:rPr>
            <w:noProof/>
            <w:webHidden/>
          </w:rPr>
          <w:fldChar w:fldCharType="end"/>
        </w:r>
      </w:hyperlink>
    </w:p>
    <w:p w:rsidR="00A64830" w:rsidRDefault="000F30C0" w:rsidP="00334983">
      <w:pPr>
        <w:pStyle w:val="TOC4"/>
        <w:tabs>
          <w:tab w:val="left" w:pos="1200"/>
          <w:tab w:val="right" w:leader="dot" w:pos="9350"/>
        </w:tabs>
        <w:spacing w:after="0"/>
        <w:rPr>
          <w:rFonts w:asciiTheme="minorHAnsi" w:eastAsiaTheme="minorEastAsia" w:hAnsiTheme="minorHAnsi" w:cstheme="minorBidi"/>
          <w:noProof/>
          <w:sz w:val="22"/>
          <w:szCs w:val="22"/>
        </w:rPr>
      </w:pPr>
      <w:hyperlink w:anchor="_Toc395604575" w:history="1">
        <w:r w:rsidR="00A64830" w:rsidRPr="00965590">
          <w:rPr>
            <w:rStyle w:val="Hyperlink"/>
            <w:noProof/>
          </w:rPr>
          <w:t>a.</w:t>
        </w:r>
        <w:r w:rsidR="00A64830">
          <w:rPr>
            <w:rFonts w:asciiTheme="minorHAnsi" w:eastAsiaTheme="minorEastAsia" w:hAnsiTheme="minorHAnsi" w:cstheme="minorBidi"/>
            <w:noProof/>
            <w:sz w:val="22"/>
            <w:szCs w:val="22"/>
          </w:rPr>
          <w:tab/>
        </w:r>
        <w:r w:rsidR="00A64830" w:rsidRPr="00965590">
          <w:rPr>
            <w:rStyle w:val="Hyperlink"/>
            <w:noProof/>
          </w:rPr>
          <w:t>Undue influence</w:t>
        </w:r>
        <w:r w:rsidR="00A64830">
          <w:rPr>
            <w:noProof/>
            <w:webHidden/>
          </w:rPr>
          <w:tab/>
        </w:r>
        <w:r w:rsidR="00A64830">
          <w:rPr>
            <w:noProof/>
            <w:webHidden/>
          </w:rPr>
          <w:fldChar w:fldCharType="begin"/>
        </w:r>
        <w:r w:rsidR="00A64830">
          <w:rPr>
            <w:noProof/>
            <w:webHidden/>
          </w:rPr>
          <w:instrText xml:space="preserve"> PAGEREF _Toc395604575 \h </w:instrText>
        </w:r>
        <w:r w:rsidR="00A64830">
          <w:rPr>
            <w:noProof/>
            <w:webHidden/>
          </w:rPr>
        </w:r>
        <w:r w:rsidR="00A64830">
          <w:rPr>
            <w:noProof/>
            <w:webHidden/>
          </w:rPr>
          <w:fldChar w:fldCharType="separate"/>
        </w:r>
        <w:r w:rsidR="00042677">
          <w:rPr>
            <w:noProof/>
            <w:webHidden/>
          </w:rPr>
          <w:t>50</w:t>
        </w:r>
        <w:r w:rsidR="00A64830">
          <w:rPr>
            <w:noProof/>
            <w:webHidden/>
          </w:rPr>
          <w:fldChar w:fldCharType="end"/>
        </w:r>
      </w:hyperlink>
    </w:p>
    <w:p w:rsidR="00A64830" w:rsidRDefault="000F30C0" w:rsidP="00334983">
      <w:pPr>
        <w:pStyle w:val="TOC4"/>
        <w:tabs>
          <w:tab w:val="left" w:pos="1200"/>
          <w:tab w:val="right" w:leader="dot" w:pos="9350"/>
        </w:tabs>
        <w:spacing w:after="0"/>
        <w:rPr>
          <w:rFonts w:asciiTheme="minorHAnsi" w:eastAsiaTheme="minorEastAsia" w:hAnsiTheme="minorHAnsi" w:cstheme="minorBidi"/>
          <w:noProof/>
          <w:sz w:val="22"/>
          <w:szCs w:val="22"/>
        </w:rPr>
      </w:pPr>
      <w:hyperlink w:anchor="_Toc395604576" w:history="1">
        <w:r w:rsidR="00A64830" w:rsidRPr="00965590">
          <w:rPr>
            <w:rStyle w:val="Hyperlink"/>
            <w:noProof/>
          </w:rPr>
          <w:t>b.</w:t>
        </w:r>
        <w:r w:rsidR="00A64830">
          <w:rPr>
            <w:rFonts w:asciiTheme="minorHAnsi" w:eastAsiaTheme="minorEastAsia" w:hAnsiTheme="minorHAnsi" w:cstheme="minorBidi"/>
            <w:noProof/>
            <w:sz w:val="22"/>
            <w:szCs w:val="22"/>
          </w:rPr>
          <w:tab/>
        </w:r>
        <w:r w:rsidR="00A64830" w:rsidRPr="00965590">
          <w:rPr>
            <w:rStyle w:val="Hyperlink"/>
            <w:noProof/>
          </w:rPr>
          <w:t>Lack of testamentary capacity</w:t>
        </w:r>
        <w:r w:rsidR="00A64830">
          <w:rPr>
            <w:noProof/>
            <w:webHidden/>
          </w:rPr>
          <w:tab/>
        </w:r>
        <w:r w:rsidR="00A64830">
          <w:rPr>
            <w:noProof/>
            <w:webHidden/>
          </w:rPr>
          <w:fldChar w:fldCharType="begin"/>
        </w:r>
        <w:r w:rsidR="00A64830">
          <w:rPr>
            <w:noProof/>
            <w:webHidden/>
          </w:rPr>
          <w:instrText xml:space="preserve"> PAGEREF _Toc395604576 \h </w:instrText>
        </w:r>
        <w:r w:rsidR="00A64830">
          <w:rPr>
            <w:noProof/>
            <w:webHidden/>
          </w:rPr>
        </w:r>
        <w:r w:rsidR="00A64830">
          <w:rPr>
            <w:noProof/>
            <w:webHidden/>
          </w:rPr>
          <w:fldChar w:fldCharType="separate"/>
        </w:r>
        <w:r w:rsidR="00042677">
          <w:rPr>
            <w:noProof/>
            <w:webHidden/>
          </w:rPr>
          <w:t>50</w:t>
        </w:r>
        <w:r w:rsidR="00A64830">
          <w:rPr>
            <w:noProof/>
            <w:webHidden/>
          </w:rPr>
          <w:fldChar w:fldCharType="end"/>
        </w:r>
      </w:hyperlink>
    </w:p>
    <w:p w:rsidR="00A64830" w:rsidRDefault="000F30C0" w:rsidP="00334983">
      <w:pPr>
        <w:pStyle w:val="TOC3"/>
        <w:rPr>
          <w:rFonts w:asciiTheme="minorHAnsi" w:eastAsiaTheme="minorEastAsia" w:hAnsiTheme="minorHAnsi" w:cstheme="minorBidi"/>
          <w:noProof/>
          <w:sz w:val="22"/>
          <w:szCs w:val="22"/>
        </w:rPr>
      </w:pPr>
      <w:hyperlink w:anchor="_Toc395604577" w:history="1">
        <w:r w:rsidR="00A64830" w:rsidRPr="00965590">
          <w:rPr>
            <w:rStyle w:val="Hyperlink"/>
            <w:noProof/>
          </w:rPr>
          <w:t xml:space="preserve">3. </w:t>
        </w:r>
        <w:r w:rsidR="00A64830">
          <w:rPr>
            <w:rFonts w:asciiTheme="minorHAnsi" w:eastAsiaTheme="minorEastAsia" w:hAnsiTheme="minorHAnsi" w:cstheme="minorBidi"/>
            <w:noProof/>
            <w:sz w:val="22"/>
            <w:szCs w:val="22"/>
          </w:rPr>
          <w:tab/>
        </w:r>
        <w:r w:rsidR="00A64830" w:rsidRPr="00965590">
          <w:rPr>
            <w:rStyle w:val="Hyperlink"/>
            <w:noProof/>
          </w:rPr>
          <w:t>Appointment/Removal of Personal Representative</w:t>
        </w:r>
        <w:r w:rsidR="00A64830">
          <w:rPr>
            <w:noProof/>
            <w:webHidden/>
          </w:rPr>
          <w:tab/>
        </w:r>
        <w:r w:rsidR="00A64830">
          <w:rPr>
            <w:noProof/>
            <w:webHidden/>
          </w:rPr>
          <w:fldChar w:fldCharType="begin"/>
        </w:r>
        <w:r w:rsidR="00A64830">
          <w:rPr>
            <w:noProof/>
            <w:webHidden/>
          </w:rPr>
          <w:instrText xml:space="preserve"> PAGEREF _Toc395604577 \h </w:instrText>
        </w:r>
        <w:r w:rsidR="00A64830">
          <w:rPr>
            <w:noProof/>
            <w:webHidden/>
          </w:rPr>
        </w:r>
        <w:r w:rsidR="00A64830">
          <w:rPr>
            <w:noProof/>
            <w:webHidden/>
          </w:rPr>
          <w:fldChar w:fldCharType="separate"/>
        </w:r>
        <w:r w:rsidR="00042677">
          <w:rPr>
            <w:noProof/>
            <w:webHidden/>
          </w:rPr>
          <w:t>51</w:t>
        </w:r>
        <w:r w:rsidR="00A64830">
          <w:rPr>
            <w:noProof/>
            <w:webHidden/>
          </w:rPr>
          <w:fldChar w:fldCharType="end"/>
        </w:r>
      </w:hyperlink>
    </w:p>
    <w:p w:rsidR="00A64830" w:rsidRDefault="000F30C0" w:rsidP="00334983">
      <w:pPr>
        <w:pStyle w:val="TOC3"/>
        <w:rPr>
          <w:rFonts w:asciiTheme="minorHAnsi" w:eastAsiaTheme="minorEastAsia" w:hAnsiTheme="minorHAnsi" w:cstheme="minorBidi"/>
          <w:noProof/>
          <w:sz w:val="22"/>
          <w:szCs w:val="22"/>
        </w:rPr>
      </w:pPr>
      <w:hyperlink w:anchor="_Toc395604578" w:history="1">
        <w:r w:rsidR="00A64830" w:rsidRPr="00965590">
          <w:rPr>
            <w:rStyle w:val="Hyperlink"/>
            <w:noProof/>
          </w:rPr>
          <w:t>4.</w:t>
        </w:r>
        <w:r w:rsidR="00A64830">
          <w:rPr>
            <w:rFonts w:asciiTheme="minorHAnsi" w:eastAsiaTheme="minorEastAsia" w:hAnsiTheme="minorHAnsi" w:cstheme="minorBidi"/>
            <w:noProof/>
            <w:sz w:val="22"/>
            <w:szCs w:val="22"/>
          </w:rPr>
          <w:tab/>
        </w:r>
        <w:r w:rsidR="00A64830" w:rsidRPr="00965590">
          <w:rPr>
            <w:rStyle w:val="Hyperlink"/>
            <w:noProof/>
          </w:rPr>
          <w:t>Claims Against Estate</w:t>
        </w:r>
        <w:r w:rsidR="00A64830">
          <w:rPr>
            <w:noProof/>
            <w:webHidden/>
          </w:rPr>
          <w:tab/>
        </w:r>
        <w:r w:rsidR="00A64830">
          <w:rPr>
            <w:noProof/>
            <w:webHidden/>
          </w:rPr>
          <w:fldChar w:fldCharType="begin"/>
        </w:r>
        <w:r w:rsidR="00A64830">
          <w:rPr>
            <w:noProof/>
            <w:webHidden/>
          </w:rPr>
          <w:instrText xml:space="preserve"> PAGEREF _Toc395604578 \h </w:instrText>
        </w:r>
        <w:r w:rsidR="00A64830">
          <w:rPr>
            <w:noProof/>
            <w:webHidden/>
          </w:rPr>
        </w:r>
        <w:r w:rsidR="00A64830">
          <w:rPr>
            <w:noProof/>
            <w:webHidden/>
          </w:rPr>
          <w:fldChar w:fldCharType="separate"/>
        </w:r>
        <w:r w:rsidR="00042677">
          <w:rPr>
            <w:noProof/>
            <w:webHidden/>
          </w:rPr>
          <w:t>51</w:t>
        </w:r>
        <w:r w:rsidR="00A64830">
          <w:rPr>
            <w:noProof/>
            <w:webHidden/>
          </w:rPr>
          <w:fldChar w:fldCharType="end"/>
        </w:r>
      </w:hyperlink>
    </w:p>
    <w:p w:rsidR="00A64830" w:rsidRDefault="000F30C0" w:rsidP="00334983">
      <w:pPr>
        <w:pStyle w:val="TOC3"/>
        <w:rPr>
          <w:rStyle w:val="Hyperlink"/>
          <w:noProof/>
        </w:rPr>
      </w:pPr>
      <w:hyperlink w:anchor="_Toc395604579" w:history="1">
        <w:r w:rsidR="00A64830" w:rsidRPr="00965590">
          <w:rPr>
            <w:rStyle w:val="Hyperlink"/>
            <w:noProof/>
          </w:rPr>
          <w:t>5.</w:t>
        </w:r>
        <w:r w:rsidR="00A64830">
          <w:rPr>
            <w:rFonts w:asciiTheme="minorHAnsi" w:eastAsiaTheme="minorEastAsia" w:hAnsiTheme="minorHAnsi" w:cstheme="minorBidi"/>
            <w:noProof/>
            <w:sz w:val="22"/>
            <w:szCs w:val="22"/>
          </w:rPr>
          <w:tab/>
        </w:r>
        <w:r w:rsidR="00A64830" w:rsidRPr="00965590">
          <w:rPr>
            <w:rStyle w:val="Hyperlink"/>
            <w:noProof/>
          </w:rPr>
          <w:t>Expenses/Attorney Fees</w:t>
        </w:r>
        <w:r w:rsidR="00A64830">
          <w:rPr>
            <w:noProof/>
            <w:webHidden/>
          </w:rPr>
          <w:tab/>
        </w:r>
        <w:r w:rsidR="00A64830">
          <w:rPr>
            <w:noProof/>
            <w:webHidden/>
          </w:rPr>
          <w:fldChar w:fldCharType="begin"/>
        </w:r>
        <w:r w:rsidR="00A64830">
          <w:rPr>
            <w:noProof/>
            <w:webHidden/>
          </w:rPr>
          <w:instrText xml:space="preserve"> PAGEREF _Toc395604579 \h </w:instrText>
        </w:r>
        <w:r w:rsidR="00A64830">
          <w:rPr>
            <w:noProof/>
            <w:webHidden/>
          </w:rPr>
        </w:r>
        <w:r w:rsidR="00A64830">
          <w:rPr>
            <w:noProof/>
            <w:webHidden/>
          </w:rPr>
          <w:fldChar w:fldCharType="separate"/>
        </w:r>
        <w:r w:rsidR="00042677">
          <w:rPr>
            <w:noProof/>
            <w:webHidden/>
          </w:rPr>
          <w:t>51</w:t>
        </w:r>
        <w:r w:rsidR="00A64830">
          <w:rPr>
            <w:noProof/>
            <w:webHidden/>
          </w:rPr>
          <w:fldChar w:fldCharType="end"/>
        </w:r>
      </w:hyperlink>
    </w:p>
    <w:p w:rsidR="00A64830" w:rsidRPr="00A64830" w:rsidRDefault="00A64830" w:rsidP="00334983">
      <w:pPr>
        <w:rPr>
          <w:rFonts w:eastAsiaTheme="minorEastAsia"/>
        </w:rPr>
      </w:pPr>
    </w:p>
    <w:p w:rsidR="00A64830" w:rsidRDefault="000F30C0" w:rsidP="00334983">
      <w:pPr>
        <w:pStyle w:val="TOC2"/>
        <w:rPr>
          <w:rFonts w:asciiTheme="minorHAnsi" w:eastAsiaTheme="minorEastAsia" w:hAnsiTheme="minorHAnsi" w:cstheme="minorBidi"/>
          <w:noProof/>
          <w:sz w:val="22"/>
          <w:szCs w:val="22"/>
        </w:rPr>
      </w:pPr>
      <w:hyperlink w:anchor="_Toc395604580" w:history="1">
        <w:r w:rsidR="00A64830" w:rsidRPr="00965590">
          <w:rPr>
            <w:rStyle w:val="Hyperlink"/>
            <w:noProof/>
          </w:rPr>
          <w:t>B.</w:t>
        </w:r>
        <w:r w:rsidR="00A64830">
          <w:rPr>
            <w:rFonts w:asciiTheme="minorHAnsi" w:eastAsiaTheme="minorEastAsia" w:hAnsiTheme="minorHAnsi" w:cstheme="minorBidi"/>
            <w:noProof/>
            <w:sz w:val="22"/>
            <w:szCs w:val="22"/>
          </w:rPr>
          <w:tab/>
        </w:r>
        <w:r w:rsidR="00A64830" w:rsidRPr="00965590">
          <w:rPr>
            <w:rStyle w:val="Hyperlink"/>
            <w:noProof/>
          </w:rPr>
          <w:t>TRUSTS</w:t>
        </w:r>
        <w:r w:rsidR="00A64830">
          <w:rPr>
            <w:noProof/>
            <w:webHidden/>
          </w:rPr>
          <w:tab/>
        </w:r>
        <w:r w:rsidR="00A64830">
          <w:rPr>
            <w:noProof/>
            <w:webHidden/>
          </w:rPr>
          <w:fldChar w:fldCharType="begin"/>
        </w:r>
        <w:r w:rsidR="00A64830">
          <w:rPr>
            <w:noProof/>
            <w:webHidden/>
          </w:rPr>
          <w:instrText xml:space="preserve"> PAGEREF _Toc395604580 \h </w:instrText>
        </w:r>
        <w:r w:rsidR="00A64830">
          <w:rPr>
            <w:noProof/>
            <w:webHidden/>
          </w:rPr>
        </w:r>
        <w:r w:rsidR="00A64830">
          <w:rPr>
            <w:noProof/>
            <w:webHidden/>
          </w:rPr>
          <w:fldChar w:fldCharType="separate"/>
        </w:r>
        <w:r w:rsidR="00042677">
          <w:rPr>
            <w:noProof/>
            <w:webHidden/>
          </w:rPr>
          <w:t>51</w:t>
        </w:r>
        <w:r w:rsidR="00A64830">
          <w:rPr>
            <w:noProof/>
            <w:webHidden/>
          </w:rPr>
          <w:fldChar w:fldCharType="end"/>
        </w:r>
      </w:hyperlink>
    </w:p>
    <w:p w:rsidR="00A64830" w:rsidRDefault="000F30C0" w:rsidP="00334983">
      <w:pPr>
        <w:pStyle w:val="TOC3"/>
        <w:rPr>
          <w:rFonts w:asciiTheme="minorHAnsi" w:eastAsiaTheme="minorEastAsia" w:hAnsiTheme="minorHAnsi" w:cstheme="minorBidi"/>
          <w:noProof/>
          <w:sz w:val="22"/>
          <w:szCs w:val="22"/>
        </w:rPr>
      </w:pPr>
      <w:hyperlink w:anchor="_Toc395604581" w:history="1">
        <w:r w:rsidR="00A64830" w:rsidRPr="00965590">
          <w:rPr>
            <w:rStyle w:val="Hyperlink"/>
            <w:noProof/>
          </w:rPr>
          <w:t>1.</w:t>
        </w:r>
        <w:r w:rsidR="00A64830">
          <w:rPr>
            <w:rFonts w:asciiTheme="minorHAnsi" w:eastAsiaTheme="minorEastAsia" w:hAnsiTheme="minorHAnsi" w:cstheme="minorBidi"/>
            <w:noProof/>
            <w:sz w:val="22"/>
            <w:szCs w:val="22"/>
          </w:rPr>
          <w:tab/>
        </w:r>
        <w:r w:rsidR="00A64830" w:rsidRPr="00965590">
          <w:rPr>
            <w:rStyle w:val="Hyperlink"/>
            <w:noProof/>
          </w:rPr>
          <w:t>Interpretation/Construction</w:t>
        </w:r>
        <w:r w:rsidR="00A64830">
          <w:rPr>
            <w:noProof/>
            <w:webHidden/>
          </w:rPr>
          <w:tab/>
        </w:r>
        <w:r w:rsidR="00A64830">
          <w:rPr>
            <w:noProof/>
            <w:webHidden/>
          </w:rPr>
          <w:fldChar w:fldCharType="begin"/>
        </w:r>
        <w:r w:rsidR="00A64830">
          <w:rPr>
            <w:noProof/>
            <w:webHidden/>
          </w:rPr>
          <w:instrText xml:space="preserve"> PAGEREF _Toc395604581 \h </w:instrText>
        </w:r>
        <w:r w:rsidR="00A64830">
          <w:rPr>
            <w:noProof/>
            <w:webHidden/>
          </w:rPr>
        </w:r>
        <w:r w:rsidR="00A64830">
          <w:rPr>
            <w:noProof/>
            <w:webHidden/>
          </w:rPr>
          <w:fldChar w:fldCharType="separate"/>
        </w:r>
        <w:r w:rsidR="00042677">
          <w:rPr>
            <w:noProof/>
            <w:webHidden/>
          </w:rPr>
          <w:t>51</w:t>
        </w:r>
        <w:r w:rsidR="00A64830">
          <w:rPr>
            <w:noProof/>
            <w:webHidden/>
          </w:rPr>
          <w:fldChar w:fldCharType="end"/>
        </w:r>
      </w:hyperlink>
    </w:p>
    <w:p w:rsidR="00A64830" w:rsidRDefault="000F30C0" w:rsidP="00334983">
      <w:pPr>
        <w:pStyle w:val="TOC3"/>
        <w:rPr>
          <w:rStyle w:val="Hyperlink"/>
          <w:noProof/>
        </w:rPr>
      </w:pPr>
      <w:hyperlink w:anchor="_Toc395604582" w:history="1">
        <w:r w:rsidR="00A64830" w:rsidRPr="00965590">
          <w:rPr>
            <w:rStyle w:val="Hyperlink"/>
            <w:noProof/>
          </w:rPr>
          <w:t>2.</w:t>
        </w:r>
        <w:r w:rsidR="00A64830">
          <w:rPr>
            <w:rFonts w:asciiTheme="minorHAnsi" w:eastAsiaTheme="minorEastAsia" w:hAnsiTheme="minorHAnsi" w:cstheme="minorBidi"/>
            <w:noProof/>
            <w:sz w:val="22"/>
            <w:szCs w:val="22"/>
          </w:rPr>
          <w:tab/>
        </w:r>
        <w:r w:rsidR="00A64830" w:rsidRPr="00965590">
          <w:rPr>
            <w:rStyle w:val="Hyperlink"/>
            <w:noProof/>
          </w:rPr>
          <w:t>Expenses/Attorney Fees</w:t>
        </w:r>
        <w:r w:rsidR="00A64830">
          <w:rPr>
            <w:noProof/>
            <w:webHidden/>
          </w:rPr>
          <w:tab/>
        </w:r>
        <w:r w:rsidR="00A64830">
          <w:rPr>
            <w:noProof/>
            <w:webHidden/>
          </w:rPr>
          <w:fldChar w:fldCharType="begin"/>
        </w:r>
        <w:r w:rsidR="00A64830">
          <w:rPr>
            <w:noProof/>
            <w:webHidden/>
          </w:rPr>
          <w:instrText xml:space="preserve"> PAGEREF _Toc395604582 \h </w:instrText>
        </w:r>
        <w:r w:rsidR="00A64830">
          <w:rPr>
            <w:noProof/>
            <w:webHidden/>
          </w:rPr>
        </w:r>
        <w:r w:rsidR="00A64830">
          <w:rPr>
            <w:noProof/>
            <w:webHidden/>
          </w:rPr>
          <w:fldChar w:fldCharType="separate"/>
        </w:r>
        <w:r w:rsidR="00042677">
          <w:rPr>
            <w:noProof/>
            <w:webHidden/>
          </w:rPr>
          <w:t>51</w:t>
        </w:r>
        <w:r w:rsidR="00A64830">
          <w:rPr>
            <w:noProof/>
            <w:webHidden/>
          </w:rPr>
          <w:fldChar w:fldCharType="end"/>
        </w:r>
      </w:hyperlink>
    </w:p>
    <w:p w:rsidR="00A64830" w:rsidRPr="00A64830" w:rsidRDefault="00A64830" w:rsidP="00334983">
      <w:pPr>
        <w:rPr>
          <w:rFonts w:eastAsiaTheme="minorEastAsia"/>
        </w:rPr>
      </w:pPr>
    </w:p>
    <w:p w:rsidR="00A64830" w:rsidRDefault="000F30C0" w:rsidP="00334983">
      <w:pPr>
        <w:pStyle w:val="TOC2"/>
        <w:rPr>
          <w:rFonts w:asciiTheme="minorHAnsi" w:eastAsiaTheme="minorEastAsia" w:hAnsiTheme="minorHAnsi" w:cstheme="minorBidi"/>
          <w:noProof/>
          <w:sz w:val="22"/>
          <w:szCs w:val="22"/>
        </w:rPr>
      </w:pPr>
      <w:hyperlink w:anchor="_Toc395604583" w:history="1">
        <w:r w:rsidR="00A64830" w:rsidRPr="00965590">
          <w:rPr>
            <w:rStyle w:val="Hyperlink"/>
            <w:noProof/>
          </w:rPr>
          <w:t>C.</w:t>
        </w:r>
        <w:r w:rsidR="00A64830">
          <w:rPr>
            <w:rFonts w:asciiTheme="minorHAnsi" w:eastAsiaTheme="minorEastAsia" w:hAnsiTheme="minorHAnsi" w:cstheme="minorBidi"/>
            <w:noProof/>
            <w:sz w:val="22"/>
            <w:szCs w:val="22"/>
          </w:rPr>
          <w:tab/>
        </w:r>
        <w:r w:rsidR="00A64830" w:rsidRPr="00965590">
          <w:rPr>
            <w:rStyle w:val="Hyperlink"/>
            <w:noProof/>
          </w:rPr>
          <w:t>GUARDIANSHIPS AND CONSERVATORSHIPS</w:t>
        </w:r>
        <w:r w:rsidR="00A64830">
          <w:rPr>
            <w:noProof/>
            <w:webHidden/>
          </w:rPr>
          <w:tab/>
        </w:r>
        <w:r w:rsidR="00A64830">
          <w:rPr>
            <w:noProof/>
            <w:webHidden/>
          </w:rPr>
          <w:fldChar w:fldCharType="begin"/>
        </w:r>
        <w:r w:rsidR="00A64830">
          <w:rPr>
            <w:noProof/>
            <w:webHidden/>
          </w:rPr>
          <w:instrText xml:space="preserve"> PAGEREF _Toc395604583 \h </w:instrText>
        </w:r>
        <w:r w:rsidR="00A64830">
          <w:rPr>
            <w:noProof/>
            <w:webHidden/>
          </w:rPr>
        </w:r>
        <w:r w:rsidR="00A64830">
          <w:rPr>
            <w:noProof/>
            <w:webHidden/>
          </w:rPr>
          <w:fldChar w:fldCharType="separate"/>
        </w:r>
        <w:r w:rsidR="00042677">
          <w:rPr>
            <w:noProof/>
            <w:webHidden/>
          </w:rPr>
          <w:t>52</w:t>
        </w:r>
        <w:r w:rsidR="00A64830">
          <w:rPr>
            <w:noProof/>
            <w:webHidden/>
          </w:rPr>
          <w:fldChar w:fldCharType="end"/>
        </w:r>
      </w:hyperlink>
    </w:p>
    <w:p w:rsidR="00A64830" w:rsidRDefault="000F30C0" w:rsidP="00334983">
      <w:pPr>
        <w:pStyle w:val="TOC3"/>
        <w:rPr>
          <w:rFonts w:asciiTheme="minorHAnsi" w:eastAsiaTheme="minorEastAsia" w:hAnsiTheme="minorHAnsi" w:cstheme="minorBidi"/>
          <w:noProof/>
          <w:sz w:val="22"/>
          <w:szCs w:val="22"/>
        </w:rPr>
      </w:pPr>
      <w:hyperlink w:anchor="_Toc395604584" w:history="1">
        <w:r w:rsidR="00A64830" w:rsidRPr="00965590">
          <w:rPr>
            <w:rStyle w:val="Hyperlink"/>
            <w:noProof/>
          </w:rPr>
          <w:t>1.</w:t>
        </w:r>
        <w:r w:rsidR="00A64830">
          <w:rPr>
            <w:rFonts w:asciiTheme="minorHAnsi" w:eastAsiaTheme="minorEastAsia" w:hAnsiTheme="minorHAnsi" w:cstheme="minorBidi"/>
            <w:noProof/>
            <w:sz w:val="22"/>
            <w:szCs w:val="22"/>
          </w:rPr>
          <w:tab/>
        </w:r>
        <w:r w:rsidR="00A64830" w:rsidRPr="00965590">
          <w:rPr>
            <w:rStyle w:val="Hyperlink"/>
            <w:noProof/>
          </w:rPr>
          <w:t>Appointment of Guardian/Conservator</w:t>
        </w:r>
        <w:r w:rsidR="00A64830">
          <w:rPr>
            <w:noProof/>
            <w:webHidden/>
          </w:rPr>
          <w:tab/>
        </w:r>
        <w:r w:rsidR="00A64830">
          <w:rPr>
            <w:noProof/>
            <w:webHidden/>
          </w:rPr>
          <w:fldChar w:fldCharType="begin"/>
        </w:r>
        <w:r w:rsidR="00A64830">
          <w:rPr>
            <w:noProof/>
            <w:webHidden/>
          </w:rPr>
          <w:instrText xml:space="preserve"> PAGEREF _Toc395604584 \h </w:instrText>
        </w:r>
        <w:r w:rsidR="00A64830">
          <w:rPr>
            <w:noProof/>
            <w:webHidden/>
          </w:rPr>
        </w:r>
        <w:r w:rsidR="00A64830">
          <w:rPr>
            <w:noProof/>
            <w:webHidden/>
          </w:rPr>
          <w:fldChar w:fldCharType="separate"/>
        </w:r>
        <w:r w:rsidR="00042677">
          <w:rPr>
            <w:noProof/>
            <w:webHidden/>
          </w:rPr>
          <w:t>52</w:t>
        </w:r>
        <w:r w:rsidR="00A64830">
          <w:rPr>
            <w:noProof/>
            <w:webHidden/>
          </w:rPr>
          <w:fldChar w:fldCharType="end"/>
        </w:r>
      </w:hyperlink>
    </w:p>
    <w:p w:rsidR="00A64830" w:rsidRDefault="000F30C0" w:rsidP="00334983">
      <w:pPr>
        <w:pStyle w:val="TOC3"/>
        <w:rPr>
          <w:rFonts w:asciiTheme="minorHAnsi" w:eastAsiaTheme="minorEastAsia" w:hAnsiTheme="minorHAnsi" w:cstheme="minorBidi"/>
          <w:noProof/>
          <w:sz w:val="22"/>
          <w:szCs w:val="22"/>
        </w:rPr>
      </w:pPr>
      <w:hyperlink w:anchor="_Toc395604585" w:history="1">
        <w:r w:rsidR="00A64830" w:rsidRPr="00965590">
          <w:rPr>
            <w:rStyle w:val="Hyperlink"/>
            <w:noProof/>
          </w:rPr>
          <w:t>2.</w:t>
        </w:r>
        <w:r w:rsidR="00A64830">
          <w:rPr>
            <w:rFonts w:asciiTheme="minorHAnsi" w:eastAsiaTheme="minorEastAsia" w:hAnsiTheme="minorHAnsi" w:cstheme="minorBidi"/>
            <w:noProof/>
            <w:sz w:val="22"/>
            <w:szCs w:val="22"/>
          </w:rPr>
          <w:tab/>
        </w:r>
        <w:r w:rsidR="00A64830" w:rsidRPr="00965590">
          <w:rPr>
            <w:rStyle w:val="Hyperlink"/>
            <w:noProof/>
          </w:rPr>
          <w:t>Removal of Guardian/Conservator</w:t>
        </w:r>
        <w:r w:rsidR="00A64830">
          <w:rPr>
            <w:noProof/>
            <w:webHidden/>
          </w:rPr>
          <w:tab/>
        </w:r>
        <w:r w:rsidR="00A64830">
          <w:rPr>
            <w:noProof/>
            <w:webHidden/>
          </w:rPr>
          <w:fldChar w:fldCharType="begin"/>
        </w:r>
        <w:r w:rsidR="00A64830">
          <w:rPr>
            <w:noProof/>
            <w:webHidden/>
          </w:rPr>
          <w:instrText xml:space="preserve"> PAGEREF _Toc395604585 \h </w:instrText>
        </w:r>
        <w:r w:rsidR="00A64830">
          <w:rPr>
            <w:noProof/>
            <w:webHidden/>
          </w:rPr>
        </w:r>
        <w:r w:rsidR="00A64830">
          <w:rPr>
            <w:noProof/>
            <w:webHidden/>
          </w:rPr>
          <w:fldChar w:fldCharType="separate"/>
        </w:r>
        <w:r w:rsidR="00042677">
          <w:rPr>
            <w:noProof/>
            <w:webHidden/>
          </w:rPr>
          <w:t>52</w:t>
        </w:r>
        <w:r w:rsidR="00A64830">
          <w:rPr>
            <w:noProof/>
            <w:webHidden/>
          </w:rPr>
          <w:fldChar w:fldCharType="end"/>
        </w:r>
      </w:hyperlink>
    </w:p>
    <w:p w:rsidR="00A64830" w:rsidRDefault="000F30C0" w:rsidP="00334983">
      <w:pPr>
        <w:pStyle w:val="TOC3"/>
        <w:rPr>
          <w:rFonts w:asciiTheme="minorHAnsi" w:eastAsiaTheme="minorEastAsia" w:hAnsiTheme="minorHAnsi" w:cstheme="minorBidi"/>
          <w:noProof/>
          <w:sz w:val="22"/>
          <w:szCs w:val="22"/>
        </w:rPr>
      </w:pPr>
      <w:hyperlink w:anchor="_Toc395604586" w:history="1">
        <w:r w:rsidR="00A64830" w:rsidRPr="00965590">
          <w:rPr>
            <w:rStyle w:val="Hyperlink"/>
            <w:noProof/>
          </w:rPr>
          <w:t>3.</w:t>
        </w:r>
        <w:r w:rsidR="00A64830">
          <w:rPr>
            <w:rFonts w:asciiTheme="minorHAnsi" w:eastAsiaTheme="minorEastAsia" w:hAnsiTheme="minorHAnsi" w:cstheme="minorBidi"/>
            <w:noProof/>
            <w:sz w:val="22"/>
            <w:szCs w:val="22"/>
          </w:rPr>
          <w:tab/>
        </w:r>
        <w:r w:rsidR="00A64830" w:rsidRPr="00965590">
          <w:rPr>
            <w:rStyle w:val="Hyperlink"/>
            <w:noProof/>
          </w:rPr>
          <w:t>Terms of Guardianship</w:t>
        </w:r>
        <w:r w:rsidR="00A64830">
          <w:rPr>
            <w:noProof/>
            <w:webHidden/>
          </w:rPr>
          <w:tab/>
        </w:r>
        <w:r w:rsidR="00A64830">
          <w:rPr>
            <w:noProof/>
            <w:webHidden/>
          </w:rPr>
          <w:fldChar w:fldCharType="begin"/>
        </w:r>
        <w:r w:rsidR="00A64830">
          <w:rPr>
            <w:noProof/>
            <w:webHidden/>
          </w:rPr>
          <w:instrText xml:space="preserve"> PAGEREF _Toc395604586 \h </w:instrText>
        </w:r>
        <w:r w:rsidR="00A64830">
          <w:rPr>
            <w:noProof/>
            <w:webHidden/>
          </w:rPr>
        </w:r>
        <w:r w:rsidR="00A64830">
          <w:rPr>
            <w:noProof/>
            <w:webHidden/>
          </w:rPr>
          <w:fldChar w:fldCharType="separate"/>
        </w:r>
        <w:r w:rsidR="00042677">
          <w:rPr>
            <w:noProof/>
            <w:webHidden/>
          </w:rPr>
          <w:t>53</w:t>
        </w:r>
        <w:r w:rsidR="00A64830">
          <w:rPr>
            <w:noProof/>
            <w:webHidden/>
          </w:rPr>
          <w:fldChar w:fldCharType="end"/>
        </w:r>
      </w:hyperlink>
    </w:p>
    <w:p w:rsidR="00A64830" w:rsidRDefault="000F30C0" w:rsidP="00334983">
      <w:pPr>
        <w:pStyle w:val="TOC3"/>
        <w:rPr>
          <w:rStyle w:val="Hyperlink"/>
          <w:noProof/>
        </w:rPr>
      </w:pPr>
      <w:hyperlink w:anchor="_Toc395604587" w:history="1">
        <w:r w:rsidR="00A64830" w:rsidRPr="00965590">
          <w:rPr>
            <w:rStyle w:val="Hyperlink"/>
            <w:noProof/>
          </w:rPr>
          <w:t>4.</w:t>
        </w:r>
        <w:r w:rsidR="00A64830">
          <w:rPr>
            <w:rFonts w:asciiTheme="minorHAnsi" w:eastAsiaTheme="minorEastAsia" w:hAnsiTheme="minorHAnsi" w:cstheme="minorBidi"/>
            <w:noProof/>
            <w:sz w:val="22"/>
            <w:szCs w:val="22"/>
          </w:rPr>
          <w:tab/>
        </w:r>
        <w:r w:rsidR="00A64830" w:rsidRPr="00965590">
          <w:rPr>
            <w:rStyle w:val="Hyperlink"/>
            <w:noProof/>
          </w:rPr>
          <w:t>Attorney Fees</w:t>
        </w:r>
        <w:r w:rsidR="00A64830">
          <w:rPr>
            <w:noProof/>
            <w:webHidden/>
          </w:rPr>
          <w:tab/>
        </w:r>
        <w:r w:rsidR="00A64830">
          <w:rPr>
            <w:noProof/>
            <w:webHidden/>
          </w:rPr>
          <w:fldChar w:fldCharType="begin"/>
        </w:r>
        <w:r w:rsidR="00A64830">
          <w:rPr>
            <w:noProof/>
            <w:webHidden/>
          </w:rPr>
          <w:instrText xml:space="preserve"> PAGEREF _Toc395604587 \h </w:instrText>
        </w:r>
        <w:r w:rsidR="00A64830">
          <w:rPr>
            <w:noProof/>
            <w:webHidden/>
          </w:rPr>
        </w:r>
        <w:r w:rsidR="00A64830">
          <w:rPr>
            <w:noProof/>
            <w:webHidden/>
          </w:rPr>
          <w:fldChar w:fldCharType="separate"/>
        </w:r>
        <w:r w:rsidR="00042677">
          <w:rPr>
            <w:noProof/>
            <w:webHidden/>
          </w:rPr>
          <w:t>53</w:t>
        </w:r>
        <w:r w:rsidR="00A64830">
          <w:rPr>
            <w:noProof/>
            <w:webHidden/>
          </w:rPr>
          <w:fldChar w:fldCharType="end"/>
        </w:r>
      </w:hyperlink>
    </w:p>
    <w:p w:rsidR="00A64830" w:rsidRPr="00A64830" w:rsidRDefault="00A64830" w:rsidP="00334983">
      <w:pPr>
        <w:rPr>
          <w:rFonts w:eastAsiaTheme="minorEastAsia"/>
        </w:rPr>
      </w:pPr>
    </w:p>
    <w:p w:rsidR="00A64830" w:rsidRDefault="000F30C0" w:rsidP="00334983">
      <w:pPr>
        <w:pStyle w:val="TOC1"/>
        <w:rPr>
          <w:rStyle w:val="Hyperlink"/>
          <w:noProof/>
        </w:rPr>
      </w:pPr>
      <w:hyperlink w:anchor="_Toc395604588" w:history="1">
        <w:r w:rsidR="00A64830" w:rsidRPr="00965590">
          <w:rPr>
            <w:rStyle w:val="Hyperlink"/>
            <w:noProof/>
          </w:rPr>
          <w:t>IV.</w:t>
        </w:r>
        <w:r w:rsidR="00A64830">
          <w:rPr>
            <w:rFonts w:asciiTheme="minorHAnsi" w:eastAsiaTheme="minorEastAsia" w:hAnsiTheme="minorHAnsi" w:cstheme="minorBidi"/>
            <w:noProof/>
            <w:sz w:val="22"/>
            <w:szCs w:val="22"/>
          </w:rPr>
          <w:tab/>
        </w:r>
        <w:r w:rsidR="00A64830" w:rsidRPr="00965590">
          <w:rPr>
            <w:rStyle w:val="Hyperlink"/>
            <w:noProof/>
          </w:rPr>
          <w:t>CIVIL COMMITMENT</w:t>
        </w:r>
        <w:r w:rsidR="00A64830">
          <w:rPr>
            <w:noProof/>
            <w:webHidden/>
          </w:rPr>
          <w:tab/>
        </w:r>
        <w:r w:rsidR="00A64830">
          <w:rPr>
            <w:noProof/>
            <w:webHidden/>
          </w:rPr>
          <w:fldChar w:fldCharType="begin"/>
        </w:r>
        <w:r w:rsidR="00A64830">
          <w:rPr>
            <w:noProof/>
            <w:webHidden/>
          </w:rPr>
          <w:instrText xml:space="preserve"> PAGEREF _Toc395604588 \h </w:instrText>
        </w:r>
        <w:r w:rsidR="00A64830">
          <w:rPr>
            <w:noProof/>
            <w:webHidden/>
          </w:rPr>
        </w:r>
        <w:r w:rsidR="00A64830">
          <w:rPr>
            <w:noProof/>
            <w:webHidden/>
          </w:rPr>
          <w:fldChar w:fldCharType="separate"/>
        </w:r>
        <w:r w:rsidR="00042677">
          <w:rPr>
            <w:noProof/>
            <w:webHidden/>
          </w:rPr>
          <w:t>54</w:t>
        </w:r>
        <w:r w:rsidR="00A64830">
          <w:rPr>
            <w:noProof/>
            <w:webHidden/>
          </w:rPr>
          <w:fldChar w:fldCharType="end"/>
        </w:r>
      </w:hyperlink>
    </w:p>
    <w:p w:rsidR="00A64830" w:rsidRPr="00A64830" w:rsidRDefault="00A64830" w:rsidP="00334983">
      <w:pPr>
        <w:rPr>
          <w:rFonts w:eastAsiaTheme="minorEastAsia"/>
        </w:rPr>
      </w:pPr>
    </w:p>
    <w:p w:rsidR="00A64830" w:rsidRDefault="000F30C0" w:rsidP="00334983">
      <w:pPr>
        <w:pStyle w:val="TOC2"/>
        <w:rPr>
          <w:rFonts w:asciiTheme="minorHAnsi" w:eastAsiaTheme="minorEastAsia" w:hAnsiTheme="minorHAnsi" w:cstheme="minorBidi"/>
          <w:noProof/>
          <w:sz w:val="22"/>
          <w:szCs w:val="22"/>
        </w:rPr>
      </w:pPr>
      <w:hyperlink w:anchor="_Toc395604589" w:history="1">
        <w:r w:rsidR="00A64830" w:rsidRPr="00965590">
          <w:rPr>
            <w:rStyle w:val="Hyperlink"/>
            <w:noProof/>
          </w:rPr>
          <w:t>A.</w:t>
        </w:r>
        <w:r w:rsidR="00A64830">
          <w:rPr>
            <w:rFonts w:asciiTheme="minorHAnsi" w:eastAsiaTheme="minorEastAsia" w:hAnsiTheme="minorHAnsi" w:cstheme="minorBidi"/>
            <w:noProof/>
            <w:sz w:val="22"/>
            <w:szCs w:val="22"/>
          </w:rPr>
          <w:tab/>
        </w:r>
        <w:r w:rsidR="00A64830" w:rsidRPr="00965590">
          <w:rPr>
            <w:rStyle w:val="Hyperlink"/>
            <w:noProof/>
          </w:rPr>
          <w:t>REVIEW OF DISTRICT COURT’S FINDINGS OF FACT</w:t>
        </w:r>
        <w:r w:rsidR="00A64830">
          <w:rPr>
            <w:noProof/>
            <w:webHidden/>
          </w:rPr>
          <w:tab/>
        </w:r>
        <w:r w:rsidR="00A64830">
          <w:rPr>
            <w:noProof/>
            <w:webHidden/>
          </w:rPr>
          <w:fldChar w:fldCharType="begin"/>
        </w:r>
        <w:r w:rsidR="00A64830">
          <w:rPr>
            <w:noProof/>
            <w:webHidden/>
          </w:rPr>
          <w:instrText xml:space="preserve"> PAGEREF _Toc395604589 \h </w:instrText>
        </w:r>
        <w:r w:rsidR="00A64830">
          <w:rPr>
            <w:noProof/>
            <w:webHidden/>
          </w:rPr>
        </w:r>
        <w:r w:rsidR="00A64830">
          <w:rPr>
            <w:noProof/>
            <w:webHidden/>
          </w:rPr>
          <w:fldChar w:fldCharType="separate"/>
        </w:r>
        <w:r w:rsidR="00042677">
          <w:rPr>
            <w:noProof/>
            <w:webHidden/>
          </w:rPr>
          <w:t>54</w:t>
        </w:r>
        <w:r w:rsidR="00A64830">
          <w:rPr>
            <w:noProof/>
            <w:webHidden/>
          </w:rPr>
          <w:fldChar w:fldCharType="end"/>
        </w:r>
      </w:hyperlink>
    </w:p>
    <w:p w:rsidR="00A64830" w:rsidRDefault="000F30C0" w:rsidP="00334983">
      <w:pPr>
        <w:pStyle w:val="TOC3"/>
        <w:rPr>
          <w:rFonts w:asciiTheme="minorHAnsi" w:eastAsiaTheme="minorEastAsia" w:hAnsiTheme="minorHAnsi" w:cstheme="minorBidi"/>
          <w:noProof/>
          <w:sz w:val="22"/>
          <w:szCs w:val="22"/>
        </w:rPr>
      </w:pPr>
      <w:hyperlink w:anchor="_Toc395604590" w:history="1">
        <w:r w:rsidR="00A64830" w:rsidRPr="00965590">
          <w:rPr>
            <w:rStyle w:val="Hyperlink"/>
            <w:noProof/>
          </w:rPr>
          <w:t>1.</w:t>
        </w:r>
        <w:r w:rsidR="00A64830">
          <w:rPr>
            <w:rFonts w:asciiTheme="minorHAnsi" w:eastAsiaTheme="minorEastAsia" w:hAnsiTheme="minorHAnsi" w:cstheme="minorBidi"/>
            <w:noProof/>
            <w:sz w:val="22"/>
            <w:szCs w:val="22"/>
          </w:rPr>
          <w:tab/>
        </w:r>
        <w:r w:rsidR="00A64830" w:rsidRPr="00965590">
          <w:rPr>
            <w:rStyle w:val="Hyperlink"/>
            <w:noProof/>
          </w:rPr>
          <w:t>Commitments</w:t>
        </w:r>
        <w:r w:rsidR="00A64830">
          <w:rPr>
            <w:noProof/>
            <w:webHidden/>
          </w:rPr>
          <w:tab/>
        </w:r>
        <w:r w:rsidR="00A64830">
          <w:rPr>
            <w:noProof/>
            <w:webHidden/>
          </w:rPr>
          <w:fldChar w:fldCharType="begin"/>
        </w:r>
        <w:r w:rsidR="00A64830">
          <w:rPr>
            <w:noProof/>
            <w:webHidden/>
          </w:rPr>
          <w:instrText xml:space="preserve"> PAGEREF _Toc395604590 \h </w:instrText>
        </w:r>
        <w:r w:rsidR="00A64830">
          <w:rPr>
            <w:noProof/>
            <w:webHidden/>
          </w:rPr>
        </w:r>
        <w:r w:rsidR="00A64830">
          <w:rPr>
            <w:noProof/>
            <w:webHidden/>
          </w:rPr>
          <w:fldChar w:fldCharType="separate"/>
        </w:r>
        <w:r w:rsidR="00042677">
          <w:rPr>
            <w:noProof/>
            <w:webHidden/>
          </w:rPr>
          <w:t>54</w:t>
        </w:r>
        <w:r w:rsidR="00A64830">
          <w:rPr>
            <w:noProof/>
            <w:webHidden/>
          </w:rPr>
          <w:fldChar w:fldCharType="end"/>
        </w:r>
      </w:hyperlink>
    </w:p>
    <w:p w:rsidR="00A64830" w:rsidRDefault="000F30C0" w:rsidP="00334983">
      <w:pPr>
        <w:pStyle w:val="TOC3"/>
        <w:rPr>
          <w:rFonts w:asciiTheme="minorHAnsi" w:eastAsiaTheme="minorEastAsia" w:hAnsiTheme="minorHAnsi" w:cstheme="minorBidi"/>
          <w:noProof/>
          <w:sz w:val="22"/>
          <w:szCs w:val="22"/>
        </w:rPr>
      </w:pPr>
      <w:hyperlink w:anchor="_Toc395604591" w:history="1">
        <w:r w:rsidR="00A64830" w:rsidRPr="00965590">
          <w:rPr>
            <w:rStyle w:val="Hyperlink"/>
            <w:noProof/>
          </w:rPr>
          <w:t>Note: The standard of review is the same for all types of civil commitment.</w:t>
        </w:r>
        <w:r w:rsidR="00A64830">
          <w:rPr>
            <w:noProof/>
            <w:webHidden/>
          </w:rPr>
          <w:tab/>
        </w:r>
        <w:r w:rsidR="00A64830">
          <w:rPr>
            <w:noProof/>
            <w:webHidden/>
          </w:rPr>
          <w:fldChar w:fldCharType="begin"/>
        </w:r>
        <w:r w:rsidR="00A64830">
          <w:rPr>
            <w:noProof/>
            <w:webHidden/>
          </w:rPr>
          <w:instrText xml:space="preserve"> PAGEREF _Toc395604591 \h </w:instrText>
        </w:r>
        <w:r w:rsidR="00A64830">
          <w:rPr>
            <w:noProof/>
            <w:webHidden/>
          </w:rPr>
        </w:r>
        <w:r w:rsidR="00A64830">
          <w:rPr>
            <w:noProof/>
            <w:webHidden/>
          </w:rPr>
          <w:fldChar w:fldCharType="separate"/>
        </w:r>
        <w:r w:rsidR="00042677">
          <w:rPr>
            <w:noProof/>
            <w:webHidden/>
          </w:rPr>
          <w:t>54</w:t>
        </w:r>
        <w:r w:rsidR="00A64830">
          <w:rPr>
            <w:noProof/>
            <w:webHidden/>
          </w:rPr>
          <w:fldChar w:fldCharType="end"/>
        </w:r>
      </w:hyperlink>
    </w:p>
    <w:p w:rsidR="00A64830" w:rsidRDefault="000F30C0" w:rsidP="00334983">
      <w:pPr>
        <w:pStyle w:val="TOC4"/>
        <w:tabs>
          <w:tab w:val="left" w:pos="1200"/>
          <w:tab w:val="right" w:leader="dot" w:pos="9350"/>
        </w:tabs>
        <w:spacing w:after="0"/>
        <w:rPr>
          <w:rFonts w:asciiTheme="minorHAnsi" w:eastAsiaTheme="minorEastAsia" w:hAnsiTheme="minorHAnsi" w:cstheme="minorBidi"/>
          <w:noProof/>
          <w:sz w:val="22"/>
          <w:szCs w:val="22"/>
        </w:rPr>
      </w:pPr>
      <w:hyperlink w:anchor="_Toc395604592" w:history="1">
        <w:r w:rsidR="00A64830" w:rsidRPr="00965590">
          <w:rPr>
            <w:rStyle w:val="Hyperlink"/>
            <w:noProof/>
          </w:rPr>
          <w:t>a.</w:t>
        </w:r>
        <w:r w:rsidR="00A64830">
          <w:rPr>
            <w:rFonts w:asciiTheme="minorHAnsi" w:eastAsiaTheme="minorEastAsia" w:hAnsiTheme="minorHAnsi" w:cstheme="minorBidi"/>
            <w:noProof/>
            <w:sz w:val="22"/>
            <w:szCs w:val="22"/>
          </w:rPr>
          <w:tab/>
        </w:r>
        <w:r w:rsidR="00A64830" w:rsidRPr="00965590">
          <w:rPr>
            <w:rStyle w:val="Hyperlink"/>
            <w:noProof/>
          </w:rPr>
          <w:t>Mentally ill person</w:t>
        </w:r>
        <w:r w:rsidR="00A64830">
          <w:rPr>
            <w:noProof/>
            <w:webHidden/>
          </w:rPr>
          <w:tab/>
        </w:r>
        <w:r w:rsidR="00A64830">
          <w:rPr>
            <w:noProof/>
            <w:webHidden/>
          </w:rPr>
          <w:fldChar w:fldCharType="begin"/>
        </w:r>
        <w:r w:rsidR="00A64830">
          <w:rPr>
            <w:noProof/>
            <w:webHidden/>
          </w:rPr>
          <w:instrText xml:space="preserve"> PAGEREF _Toc395604592 \h </w:instrText>
        </w:r>
        <w:r w:rsidR="00A64830">
          <w:rPr>
            <w:noProof/>
            <w:webHidden/>
          </w:rPr>
        </w:r>
        <w:r w:rsidR="00A64830">
          <w:rPr>
            <w:noProof/>
            <w:webHidden/>
          </w:rPr>
          <w:fldChar w:fldCharType="separate"/>
        </w:r>
        <w:r w:rsidR="00042677">
          <w:rPr>
            <w:noProof/>
            <w:webHidden/>
          </w:rPr>
          <w:t>54</w:t>
        </w:r>
        <w:r w:rsidR="00A64830">
          <w:rPr>
            <w:noProof/>
            <w:webHidden/>
          </w:rPr>
          <w:fldChar w:fldCharType="end"/>
        </w:r>
      </w:hyperlink>
    </w:p>
    <w:p w:rsidR="00A64830" w:rsidRDefault="000F30C0" w:rsidP="00334983">
      <w:pPr>
        <w:pStyle w:val="TOC4"/>
        <w:tabs>
          <w:tab w:val="left" w:pos="1200"/>
          <w:tab w:val="right" w:leader="dot" w:pos="9350"/>
        </w:tabs>
        <w:spacing w:after="0"/>
        <w:rPr>
          <w:rFonts w:asciiTheme="minorHAnsi" w:eastAsiaTheme="minorEastAsia" w:hAnsiTheme="minorHAnsi" w:cstheme="minorBidi"/>
          <w:noProof/>
          <w:sz w:val="22"/>
          <w:szCs w:val="22"/>
        </w:rPr>
      </w:pPr>
      <w:hyperlink w:anchor="_Toc395604593" w:history="1">
        <w:r w:rsidR="00A64830" w:rsidRPr="00965590">
          <w:rPr>
            <w:rStyle w:val="Hyperlink"/>
            <w:noProof/>
          </w:rPr>
          <w:t>b.</w:t>
        </w:r>
        <w:r w:rsidR="00A64830">
          <w:rPr>
            <w:rFonts w:asciiTheme="minorHAnsi" w:eastAsiaTheme="minorEastAsia" w:hAnsiTheme="minorHAnsi" w:cstheme="minorBidi"/>
            <w:noProof/>
            <w:sz w:val="22"/>
            <w:szCs w:val="22"/>
          </w:rPr>
          <w:tab/>
        </w:r>
        <w:r w:rsidR="00A64830" w:rsidRPr="00965590">
          <w:rPr>
            <w:rStyle w:val="Hyperlink"/>
            <w:noProof/>
          </w:rPr>
          <w:t>Person who is mentally ill and dangerous to the public</w:t>
        </w:r>
        <w:r w:rsidR="00A64830">
          <w:rPr>
            <w:noProof/>
            <w:webHidden/>
          </w:rPr>
          <w:tab/>
        </w:r>
        <w:r w:rsidR="00A64830">
          <w:rPr>
            <w:noProof/>
            <w:webHidden/>
          </w:rPr>
          <w:fldChar w:fldCharType="begin"/>
        </w:r>
        <w:r w:rsidR="00A64830">
          <w:rPr>
            <w:noProof/>
            <w:webHidden/>
          </w:rPr>
          <w:instrText xml:space="preserve"> PAGEREF _Toc395604593 \h </w:instrText>
        </w:r>
        <w:r w:rsidR="00A64830">
          <w:rPr>
            <w:noProof/>
            <w:webHidden/>
          </w:rPr>
        </w:r>
        <w:r w:rsidR="00A64830">
          <w:rPr>
            <w:noProof/>
            <w:webHidden/>
          </w:rPr>
          <w:fldChar w:fldCharType="separate"/>
        </w:r>
        <w:r w:rsidR="00042677">
          <w:rPr>
            <w:noProof/>
            <w:webHidden/>
          </w:rPr>
          <w:t>54</w:t>
        </w:r>
        <w:r w:rsidR="00A64830">
          <w:rPr>
            <w:noProof/>
            <w:webHidden/>
          </w:rPr>
          <w:fldChar w:fldCharType="end"/>
        </w:r>
      </w:hyperlink>
    </w:p>
    <w:p w:rsidR="00A64830" w:rsidRDefault="000F30C0" w:rsidP="00334983">
      <w:pPr>
        <w:pStyle w:val="TOC4"/>
        <w:tabs>
          <w:tab w:val="left" w:pos="1200"/>
          <w:tab w:val="right" w:leader="dot" w:pos="9350"/>
        </w:tabs>
        <w:spacing w:after="0"/>
        <w:rPr>
          <w:rFonts w:asciiTheme="minorHAnsi" w:eastAsiaTheme="minorEastAsia" w:hAnsiTheme="minorHAnsi" w:cstheme="minorBidi"/>
          <w:noProof/>
          <w:sz w:val="22"/>
          <w:szCs w:val="22"/>
        </w:rPr>
      </w:pPr>
      <w:hyperlink w:anchor="_Toc395604594" w:history="1">
        <w:r w:rsidR="00A64830" w:rsidRPr="00965590">
          <w:rPr>
            <w:rStyle w:val="Hyperlink"/>
            <w:noProof/>
          </w:rPr>
          <w:t>c.</w:t>
        </w:r>
        <w:r w:rsidR="00A64830">
          <w:rPr>
            <w:rFonts w:asciiTheme="minorHAnsi" w:eastAsiaTheme="minorEastAsia" w:hAnsiTheme="minorHAnsi" w:cstheme="minorBidi"/>
            <w:noProof/>
            <w:sz w:val="22"/>
            <w:szCs w:val="22"/>
          </w:rPr>
          <w:tab/>
        </w:r>
        <w:r w:rsidR="00A64830" w:rsidRPr="00965590">
          <w:rPr>
            <w:rStyle w:val="Hyperlink"/>
            <w:noProof/>
          </w:rPr>
          <w:t>Developmentally disabled person (previously referred to as mentally retarded person)</w:t>
        </w:r>
        <w:r w:rsidR="00A64830">
          <w:rPr>
            <w:noProof/>
            <w:webHidden/>
          </w:rPr>
          <w:tab/>
        </w:r>
        <w:r w:rsidR="00A64830">
          <w:rPr>
            <w:noProof/>
            <w:webHidden/>
          </w:rPr>
          <w:fldChar w:fldCharType="begin"/>
        </w:r>
        <w:r w:rsidR="00A64830">
          <w:rPr>
            <w:noProof/>
            <w:webHidden/>
          </w:rPr>
          <w:instrText xml:space="preserve"> PAGEREF _Toc395604594 \h </w:instrText>
        </w:r>
        <w:r w:rsidR="00A64830">
          <w:rPr>
            <w:noProof/>
            <w:webHidden/>
          </w:rPr>
        </w:r>
        <w:r w:rsidR="00A64830">
          <w:rPr>
            <w:noProof/>
            <w:webHidden/>
          </w:rPr>
          <w:fldChar w:fldCharType="separate"/>
        </w:r>
        <w:r w:rsidR="00042677">
          <w:rPr>
            <w:noProof/>
            <w:webHidden/>
          </w:rPr>
          <w:t>54</w:t>
        </w:r>
        <w:r w:rsidR="00A64830">
          <w:rPr>
            <w:noProof/>
            <w:webHidden/>
          </w:rPr>
          <w:fldChar w:fldCharType="end"/>
        </w:r>
      </w:hyperlink>
    </w:p>
    <w:p w:rsidR="00A64830" w:rsidRDefault="000F30C0" w:rsidP="00334983">
      <w:pPr>
        <w:pStyle w:val="TOC4"/>
        <w:tabs>
          <w:tab w:val="left" w:pos="1200"/>
          <w:tab w:val="right" w:leader="dot" w:pos="9350"/>
        </w:tabs>
        <w:spacing w:after="0"/>
        <w:rPr>
          <w:rFonts w:asciiTheme="minorHAnsi" w:eastAsiaTheme="minorEastAsia" w:hAnsiTheme="minorHAnsi" w:cstheme="minorBidi"/>
          <w:noProof/>
          <w:sz w:val="22"/>
          <w:szCs w:val="22"/>
        </w:rPr>
      </w:pPr>
      <w:hyperlink w:anchor="_Toc395604595" w:history="1">
        <w:r w:rsidR="00A64830" w:rsidRPr="00965590">
          <w:rPr>
            <w:rStyle w:val="Hyperlink"/>
            <w:noProof/>
          </w:rPr>
          <w:t>d.</w:t>
        </w:r>
        <w:r w:rsidR="00A64830">
          <w:rPr>
            <w:rFonts w:asciiTheme="minorHAnsi" w:eastAsiaTheme="minorEastAsia" w:hAnsiTheme="minorHAnsi" w:cstheme="minorBidi"/>
            <w:noProof/>
            <w:sz w:val="22"/>
            <w:szCs w:val="22"/>
          </w:rPr>
          <w:tab/>
        </w:r>
        <w:r w:rsidR="00A64830" w:rsidRPr="00965590">
          <w:rPr>
            <w:rStyle w:val="Hyperlink"/>
            <w:noProof/>
          </w:rPr>
          <w:t>Chemically dependent person</w:t>
        </w:r>
        <w:r w:rsidR="00A64830">
          <w:rPr>
            <w:noProof/>
            <w:webHidden/>
          </w:rPr>
          <w:tab/>
        </w:r>
        <w:r w:rsidR="00A64830">
          <w:rPr>
            <w:noProof/>
            <w:webHidden/>
          </w:rPr>
          <w:fldChar w:fldCharType="begin"/>
        </w:r>
        <w:r w:rsidR="00A64830">
          <w:rPr>
            <w:noProof/>
            <w:webHidden/>
          </w:rPr>
          <w:instrText xml:space="preserve"> PAGEREF _Toc395604595 \h </w:instrText>
        </w:r>
        <w:r w:rsidR="00A64830">
          <w:rPr>
            <w:noProof/>
            <w:webHidden/>
          </w:rPr>
        </w:r>
        <w:r w:rsidR="00A64830">
          <w:rPr>
            <w:noProof/>
            <w:webHidden/>
          </w:rPr>
          <w:fldChar w:fldCharType="separate"/>
        </w:r>
        <w:r w:rsidR="00042677">
          <w:rPr>
            <w:noProof/>
            <w:webHidden/>
          </w:rPr>
          <w:t>54</w:t>
        </w:r>
        <w:r w:rsidR="00A64830">
          <w:rPr>
            <w:noProof/>
            <w:webHidden/>
          </w:rPr>
          <w:fldChar w:fldCharType="end"/>
        </w:r>
      </w:hyperlink>
    </w:p>
    <w:p w:rsidR="00A64830" w:rsidRDefault="000F30C0" w:rsidP="00334983">
      <w:pPr>
        <w:pStyle w:val="TOC4"/>
        <w:tabs>
          <w:tab w:val="left" w:pos="1200"/>
          <w:tab w:val="right" w:leader="dot" w:pos="9350"/>
        </w:tabs>
        <w:spacing w:after="0"/>
        <w:rPr>
          <w:rFonts w:asciiTheme="minorHAnsi" w:eastAsiaTheme="minorEastAsia" w:hAnsiTheme="minorHAnsi" w:cstheme="minorBidi"/>
          <w:noProof/>
          <w:sz w:val="22"/>
          <w:szCs w:val="22"/>
        </w:rPr>
      </w:pPr>
      <w:hyperlink w:anchor="_Toc395604596" w:history="1">
        <w:r w:rsidR="00A64830" w:rsidRPr="00965590">
          <w:rPr>
            <w:rStyle w:val="Hyperlink"/>
            <w:noProof/>
          </w:rPr>
          <w:t>e.</w:t>
        </w:r>
        <w:r w:rsidR="00A64830">
          <w:rPr>
            <w:rFonts w:asciiTheme="minorHAnsi" w:eastAsiaTheme="minorEastAsia" w:hAnsiTheme="minorHAnsi" w:cstheme="minorBidi"/>
            <w:noProof/>
            <w:sz w:val="22"/>
            <w:szCs w:val="22"/>
          </w:rPr>
          <w:tab/>
        </w:r>
        <w:r w:rsidR="00A64830" w:rsidRPr="00965590">
          <w:rPr>
            <w:rStyle w:val="Hyperlink"/>
            <w:noProof/>
          </w:rPr>
          <w:t>Sexually dangerous person</w:t>
        </w:r>
        <w:r w:rsidR="00A64830">
          <w:rPr>
            <w:noProof/>
            <w:webHidden/>
          </w:rPr>
          <w:tab/>
        </w:r>
        <w:r w:rsidR="00A64830">
          <w:rPr>
            <w:noProof/>
            <w:webHidden/>
          </w:rPr>
          <w:fldChar w:fldCharType="begin"/>
        </w:r>
        <w:r w:rsidR="00A64830">
          <w:rPr>
            <w:noProof/>
            <w:webHidden/>
          </w:rPr>
          <w:instrText xml:space="preserve"> PAGEREF _Toc395604596 \h </w:instrText>
        </w:r>
        <w:r w:rsidR="00A64830">
          <w:rPr>
            <w:noProof/>
            <w:webHidden/>
          </w:rPr>
        </w:r>
        <w:r w:rsidR="00A64830">
          <w:rPr>
            <w:noProof/>
            <w:webHidden/>
          </w:rPr>
          <w:fldChar w:fldCharType="separate"/>
        </w:r>
        <w:r w:rsidR="00042677">
          <w:rPr>
            <w:noProof/>
            <w:webHidden/>
          </w:rPr>
          <w:t>55</w:t>
        </w:r>
        <w:r w:rsidR="00A64830">
          <w:rPr>
            <w:noProof/>
            <w:webHidden/>
          </w:rPr>
          <w:fldChar w:fldCharType="end"/>
        </w:r>
      </w:hyperlink>
    </w:p>
    <w:p w:rsidR="00A64830" w:rsidRDefault="000F30C0" w:rsidP="00334983">
      <w:pPr>
        <w:pStyle w:val="TOC4"/>
        <w:tabs>
          <w:tab w:val="left" w:pos="1200"/>
          <w:tab w:val="right" w:leader="dot" w:pos="9350"/>
        </w:tabs>
        <w:spacing w:after="0"/>
        <w:rPr>
          <w:rFonts w:asciiTheme="minorHAnsi" w:eastAsiaTheme="minorEastAsia" w:hAnsiTheme="minorHAnsi" w:cstheme="minorBidi"/>
          <w:noProof/>
          <w:sz w:val="22"/>
          <w:szCs w:val="22"/>
        </w:rPr>
      </w:pPr>
      <w:hyperlink w:anchor="_Toc395604597" w:history="1">
        <w:r w:rsidR="00A64830" w:rsidRPr="00965590">
          <w:rPr>
            <w:rStyle w:val="Hyperlink"/>
            <w:noProof/>
          </w:rPr>
          <w:t>f.</w:t>
        </w:r>
        <w:r w:rsidR="00A64830">
          <w:rPr>
            <w:rFonts w:asciiTheme="minorHAnsi" w:eastAsiaTheme="minorEastAsia" w:hAnsiTheme="minorHAnsi" w:cstheme="minorBidi"/>
            <w:noProof/>
            <w:sz w:val="22"/>
            <w:szCs w:val="22"/>
          </w:rPr>
          <w:tab/>
        </w:r>
        <w:r w:rsidR="00A64830" w:rsidRPr="00965590">
          <w:rPr>
            <w:rStyle w:val="Hyperlink"/>
            <w:noProof/>
          </w:rPr>
          <w:t>Appeal from judicial appeal panel</w:t>
        </w:r>
        <w:r w:rsidR="00A64830">
          <w:rPr>
            <w:noProof/>
            <w:webHidden/>
          </w:rPr>
          <w:tab/>
        </w:r>
        <w:r w:rsidR="00A64830">
          <w:rPr>
            <w:noProof/>
            <w:webHidden/>
          </w:rPr>
          <w:fldChar w:fldCharType="begin"/>
        </w:r>
        <w:r w:rsidR="00A64830">
          <w:rPr>
            <w:noProof/>
            <w:webHidden/>
          </w:rPr>
          <w:instrText xml:space="preserve"> PAGEREF _Toc395604597 \h </w:instrText>
        </w:r>
        <w:r w:rsidR="00A64830">
          <w:rPr>
            <w:noProof/>
            <w:webHidden/>
          </w:rPr>
        </w:r>
        <w:r w:rsidR="00A64830">
          <w:rPr>
            <w:noProof/>
            <w:webHidden/>
          </w:rPr>
          <w:fldChar w:fldCharType="separate"/>
        </w:r>
        <w:r w:rsidR="00042677">
          <w:rPr>
            <w:noProof/>
            <w:webHidden/>
          </w:rPr>
          <w:t>56</w:t>
        </w:r>
        <w:r w:rsidR="00A64830">
          <w:rPr>
            <w:noProof/>
            <w:webHidden/>
          </w:rPr>
          <w:fldChar w:fldCharType="end"/>
        </w:r>
      </w:hyperlink>
    </w:p>
    <w:p w:rsidR="00A64830" w:rsidRDefault="000F30C0" w:rsidP="00334983">
      <w:pPr>
        <w:pStyle w:val="TOC3"/>
        <w:rPr>
          <w:rFonts w:asciiTheme="minorHAnsi" w:eastAsiaTheme="minorEastAsia" w:hAnsiTheme="minorHAnsi" w:cstheme="minorBidi"/>
          <w:noProof/>
          <w:sz w:val="22"/>
          <w:szCs w:val="22"/>
        </w:rPr>
      </w:pPr>
      <w:hyperlink w:anchor="_Toc395604598" w:history="1">
        <w:r w:rsidR="00A64830" w:rsidRPr="00965590">
          <w:rPr>
            <w:rStyle w:val="Hyperlink"/>
            <w:noProof/>
          </w:rPr>
          <w:t>2.</w:t>
        </w:r>
        <w:r w:rsidR="00A64830">
          <w:rPr>
            <w:rFonts w:asciiTheme="minorHAnsi" w:eastAsiaTheme="minorEastAsia" w:hAnsiTheme="minorHAnsi" w:cstheme="minorBidi"/>
            <w:noProof/>
            <w:sz w:val="22"/>
            <w:szCs w:val="22"/>
          </w:rPr>
          <w:tab/>
        </w:r>
        <w:r w:rsidR="00A64830" w:rsidRPr="00965590">
          <w:rPr>
            <w:rStyle w:val="Hyperlink"/>
            <w:noProof/>
          </w:rPr>
          <w:t>Findings on Less Restrictive Alternatives</w:t>
        </w:r>
        <w:r w:rsidR="00A64830">
          <w:rPr>
            <w:noProof/>
            <w:webHidden/>
          </w:rPr>
          <w:tab/>
        </w:r>
        <w:r w:rsidR="00A64830">
          <w:rPr>
            <w:noProof/>
            <w:webHidden/>
          </w:rPr>
          <w:fldChar w:fldCharType="begin"/>
        </w:r>
        <w:r w:rsidR="00A64830">
          <w:rPr>
            <w:noProof/>
            <w:webHidden/>
          </w:rPr>
          <w:instrText xml:space="preserve"> PAGEREF _Toc395604598 \h </w:instrText>
        </w:r>
        <w:r w:rsidR="00A64830">
          <w:rPr>
            <w:noProof/>
            <w:webHidden/>
          </w:rPr>
        </w:r>
        <w:r w:rsidR="00A64830">
          <w:rPr>
            <w:noProof/>
            <w:webHidden/>
          </w:rPr>
          <w:fldChar w:fldCharType="separate"/>
        </w:r>
        <w:r w:rsidR="00042677">
          <w:rPr>
            <w:noProof/>
            <w:webHidden/>
          </w:rPr>
          <w:t>56</w:t>
        </w:r>
        <w:r w:rsidR="00A64830">
          <w:rPr>
            <w:noProof/>
            <w:webHidden/>
          </w:rPr>
          <w:fldChar w:fldCharType="end"/>
        </w:r>
      </w:hyperlink>
    </w:p>
    <w:p w:rsidR="00A64830" w:rsidRDefault="000F30C0" w:rsidP="00334983">
      <w:pPr>
        <w:pStyle w:val="TOC4"/>
        <w:tabs>
          <w:tab w:val="left" w:pos="1200"/>
          <w:tab w:val="right" w:leader="dot" w:pos="9350"/>
        </w:tabs>
        <w:spacing w:after="0"/>
        <w:rPr>
          <w:rFonts w:asciiTheme="minorHAnsi" w:eastAsiaTheme="minorEastAsia" w:hAnsiTheme="minorHAnsi" w:cstheme="minorBidi"/>
          <w:noProof/>
          <w:sz w:val="22"/>
          <w:szCs w:val="22"/>
        </w:rPr>
      </w:pPr>
      <w:hyperlink w:anchor="_Toc395604599" w:history="1">
        <w:r w:rsidR="00A64830" w:rsidRPr="00965590">
          <w:rPr>
            <w:rStyle w:val="Hyperlink"/>
            <w:noProof/>
          </w:rPr>
          <w:t>a.</w:t>
        </w:r>
        <w:r w:rsidR="00A64830">
          <w:rPr>
            <w:rFonts w:asciiTheme="minorHAnsi" w:eastAsiaTheme="minorEastAsia" w:hAnsiTheme="minorHAnsi" w:cstheme="minorBidi"/>
            <w:noProof/>
            <w:sz w:val="22"/>
            <w:szCs w:val="22"/>
          </w:rPr>
          <w:tab/>
        </w:r>
        <w:r w:rsidR="00A64830" w:rsidRPr="00965590">
          <w:rPr>
            <w:rStyle w:val="Hyperlink"/>
            <w:noProof/>
          </w:rPr>
          <w:t>For a mentally ill, developmentally disabled, or chemically dependent person</w:t>
        </w:r>
        <w:r w:rsidR="00A64830">
          <w:rPr>
            <w:noProof/>
            <w:webHidden/>
          </w:rPr>
          <w:tab/>
        </w:r>
        <w:r w:rsidR="00A64830">
          <w:rPr>
            <w:noProof/>
            <w:webHidden/>
          </w:rPr>
          <w:fldChar w:fldCharType="begin"/>
        </w:r>
        <w:r w:rsidR="00A64830">
          <w:rPr>
            <w:noProof/>
            <w:webHidden/>
          </w:rPr>
          <w:instrText xml:space="preserve"> PAGEREF _Toc395604599 \h </w:instrText>
        </w:r>
        <w:r w:rsidR="00A64830">
          <w:rPr>
            <w:noProof/>
            <w:webHidden/>
          </w:rPr>
        </w:r>
        <w:r w:rsidR="00A64830">
          <w:rPr>
            <w:noProof/>
            <w:webHidden/>
          </w:rPr>
          <w:fldChar w:fldCharType="separate"/>
        </w:r>
        <w:r w:rsidR="00042677">
          <w:rPr>
            <w:noProof/>
            <w:webHidden/>
          </w:rPr>
          <w:t>56</w:t>
        </w:r>
        <w:r w:rsidR="00A64830">
          <w:rPr>
            <w:noProof/>
            <w:webHidden/>
          </w:rPr>
          <w:fldChar w:fldCharType="end"/>
        </w:r>
      </w:hyperlink>
    </w:p>
    <w:p w:rsidR="00A64830" w:rsidRDefault="000F30C0" w:rsidP="00334983">
      <w:pPr>
        <w:pStyle w:val="TOC4"/>
        <w:tabs>
          <w:tab w:val="left" w:pos="1200"/>
          <w:tab w:val="right" w:leader="dot" w:pos="9350"/>
        </w:tabs>
        <w:spacing w:after="0"/>
        <w:rPr>
          <w:rFonts w:asciiTheme="minorHAnsi" w:eastAsiaTheme="minorEastAsia" w:hAnsiTheme="minorHAnsi" w:cstheme="minorBidi"/>
          <w:noProof/>
          <w:sz w:val="22"/>
          <w:szCs w:val="22"/>
        </w:rPr>
      </w:pPr>
      <w:hyperlink w:anchor="_Toc395604600" w:history="1">
        <w:r w:rsidR="00A64830" w:rsidRPr="00965590">
          <w:rPr>
            <w:rStyle w:val="Hyperlink"/>
            <w:noProof/>
          </w:rPr>
          <w:t>b.</w:t>
        </w:r>
        <w:r w:rsidR="00A64830">
          <w:rPr>
            <w:rFonts w:asciiTheme="minorHAnsi" w:eastAsiaTheme="minorEastAsia" w:hAnsiTheme="minorHAnsi" w:cstheme="minorBidi"/>
            <w:noProof/>
            <w:sz w:val="22"/>
            <w:szCs w:val="22"/>
          </w:rPr>
          <w:tab/>
        </w:r>
        <w:r w:rsidR="00A64830" w:rsidRPr="00965590">
          <w:rPr>
            <w:rStyle w:val="Hyperlink"/>
            <w:noProof/>
          </w:rPr>
          <w:t>For a mentally ill and dangerous person</w:t>
        </w:r>
        <w:r w:rsidR="00A64830">
          <w:rPr>
            <w:noProof/>
            <w:webHidden/>
          </w:rPr>
          <w:tab/>
        </w:r>
        <w:r w:rsidR="00A64830">
          <w:rPr>
            <w:noProof/>
            <w:webHidden/>
          </w:rPr>
          <w:fldChar w:fldCharType="begin"/>
        </w:r>
        <w:r w:rsidR="00A64830">
          <w:rPr>
            <w:noProof/>
            <w:webHidden/>
          </w:rPr>
          <w:instrText xml:space="preserve"> PAGEREF _Toc395604600 \h </w:instrText>
        </w:r>
        <w:r w:rsidR="00A64830">
          <w:rPr>
            <w:noProof/>
            <w:webHidden/>
          </w:rPr>
        </w:r>
        <w:r w:rsidR="00A64830">
          <w:rPr>
            <w:noProof/>
            <w:webHidden/>
          </w:rPr>
          <w:fldChar w:fldCharType="separate"/>
        </w:r>
        <w:r w:rsidR="00042677">
          <w:rPr>
            <w:noProof/>
            <w:webHidden/>
          </w:rPr>
          <w:t>57</w:t>
        </w:r>
        <w:r w:rsidR="00A64830">
          <w:rPr>
            <w:noProof/>
            <w:webHidden/>
          </w:rPr>
          <w:fldChar w:fldCharType="end"/>
        </w:r>
      </w:hyperlink>
    </w:p>
    <w:p w:rsidR="00A64830" w:rsidRDefault="000F30C0" w:rsidP="00334983">
      <w:pPr>
        <w:pStyle w:val="TOC3"/>
        <w:rPr>
          <w:rStyle w:val="Hyperlink"/>
          <w:noProof/>
        </w:rPr>
      </w:pPr>
      <w:hyperlink w:anchor="_Toc395604601" w:history="1">
        <w:r w:rsidR="00A64830" w:rsidRPr="00965590">
          <w:rPr>
            <w:rStyle w:val="Hyperlink"/>
            <w:noProof/>
          </w:rPr>
          <w:t>3.</w:t>
        </w:r>
        <w:r w:rsidR="00A64830">
          <w:rPr>
            <w:rFonts w:asciiTheme="minorHAnsi" w:eastAsiaTheme="minorEastAsia" w:hAnsiTheme="minorHAnsi" w:cstheme="minorBidi"/>
            <w:noProof/>
            <w:sz w:val="22"/>
            <w:szCs w:val="22"/>
          </w:rPr>
          <w:tab/>
        </w:r>
        <w:r w:rsidR="00A64830" w:rsidRPr="00965590">
          <w:rPr>
            <w:rStyle w:val="Hyperlink"/>
            <w:noProof/>
          </w:rPr>
          <w:t>Findings Based on Expert Testimony</w:t>
        </w:r>
        <w:r w:rsidR="00A64830">
          <w:rPr>
            <w:noProof/>
            <w:webHidden/>
          </w:rPr>
          <w:tab/>
        </w:r>
        <w:r w:rsidR="00A64830">
          <w:rPr>
            <w:noProof/>
            <w:webHidden/>
          </w:rPr>
          <w:fldChar w:fldCharType="begin"/>
        </w:r>
        <w:r w:rsidR="00A64830">
          <w:rPr>
            <w:noProof/>
            <w:webHidden/>
          </w:rPr>
          <w:instrText xml:space="preserve"> PAGEREF _Toc395604601 \h </w:instrText>
        </w:r>
        <w:r w:rsidR="00A64830">
          <w:rPr>
            <w:noProof/>
            <w:webHidden/>
          </w:rPr>
        </w:r>
        <w:r w:rsidR="00A64830">
          <w:rPr>
            <w:noProof/>
            <w:webHidden/>
          </w:rPr>
          <w:fldChar w:fldCharType="separate"/>
        </w:r>
        <w:r w:rsidR="00042677">
          <w:rPr>
            <w:noProof/>
            <w:webHidden/>
          </w:rPr>
          <w:t>58</w:t>
        </w:r>
        <w:r w:rsidR="00A64830">
          <w:rPr>
            <w:noProof/>
            <w:webHidden/>
          </w:rPr>
          <w:fldChar w:fldCharType="end"/>
        </w:r>
      </w:hyperlink>
    </w:p>
    <w:p w:rsidR="00334983" w:rsidRPr="00334983" w:rsidRDefault="00334983" w:rsidP="00334983">
      <w:pPr>
        <w:rPr>
          <w:rFonts w:eastAsiaTheme="minorEastAsia"/>
        </w:rPr>
      </w:pPr>
    </w:p>
    <w:p w:rsidR="00A64830" w:rsidRDefault="000F30C0" w:rsidP="00334983">
      <w:pPr>
        <w:pStyle w:val="TOC2"/>
        <w:rPr>
          <w:rFonts w:asciiTheme="minorHAnsi" w:eastAsiaTheme="minorEastAsia" w:hAnsiTheme="minorHAnsi" w:cstheme="minorBidi"/>
          <w:noProof/>
          <w:sz w:val="22"/>
          <w:szCs w:val="22"/>
        </w:rPr>
      </w:pPr>
      <w:hyperlink w:anchor="_Toc395604602" w:history="1">
        <w:r w:rsidR="00A64830" w:rsidRPr="00965590">
          <w:rPr>
            <w:rStyle w:val="Hyperlink"/>
            <w:noProof/>
          </w:rPr>
          <w:t>B.</w:t>
        </w:r>
        <w:r w:rsidR="00A64830">
          <w:rPr>
            <w:rFonts w:asciiTheme="minorHAnsi" w:eastAsiaTheme="minorEastAsia" w:hAnsiTheme="minorHAnsi" w:cstheme="minorBidi"/>
            <w:noProof/>
            <w:sz w:val="22"/>
            <w:szCs w:val="22"/>
          </w:rPr>
          <w:tab/>
        </w:r>
        <w:r w:rsidR="00A64830" w:rsidRPr="00965590">
          <w:rPr>
            <w:rStyle w:val="Hyperlink"/>
            <w:noProof/>
          </w:rPr>
          <w:t>REVIEW OF CONCLUSIONS OF LAW</w:t>
        </w:r>
        <w:r w:rsidR="00A64830">
          <w:rPr>
            <w:noProof/>
            <w:webHidden/>
          </w:rPr>
          <w:tab/>
        </w:r>
        <w:r w:rsidR="00A64830">
          <w:rPr>
            <w:noProof/>
            <w:webHidden/>
          </w:rPr>
          <w:fldChar w:fldCharType="begin"/>
        </w:r>
        <w:r w:rsidR="00A64830">
          <w:rPr>
            <w:noProof/>
            <w:webHidden/>
          </w:rPr>
          <w:instrText xml:space="preserve"> PAGEREF _Toc395604602 \h </w:instrText>
        </w:r>
        <w:r w:rsidR="00A64830">
          <w:rPr>
            <w:noProof/>
            <w:webHidden/>
          </w:rPr>
        </w:r>
        <w:r w:rsidR="00A64830">
          <w:rPr>
            <w:noProof/>
            <w:webHidden/>
          </w:rPr>
          <w:fldChar w:fldCharType="separate"/>
        </w:r>
        <w:r w:rsidR="00042677">
          <w:rPr>
            <w:noProof/>
            <w:webHidden/>
          </w:rPr>
          <w:t>58</w:t>
        </w:r>
        <w:r w:rsidR="00A64830">
          <w:rPr>
            <w:noProof/>
            <w:webHidden/>
          </w:rPr>
          <w:fldChar w:fldCharType="end"/>
        </w:r>
      </w:hyperlink>
    </w:p>
    <w:p w:rsidR="00A64830" w:rsidRDefault="000F30C0" w:rsidP="00334983">
      <w:pPr>
        <w:pStyle w:val="TOC3"/>
        <w:rPr>
          <w:rFonts w:asciiTheme="minorHAnsi" w:eastAsiaTheme="minorEastAsia" w:hAnsiTheme="minorHAnsi" w:cstheme="minorBidi"/>
          <w:noProof/>
          <w:sz w:val="22"/>
          <w:szCs w:val="22"/>
        </w:rPr>
      </w:pPr>
      <w:hyperlink w:anchor="_Toc395604603" w:history="1">
        <w:r w:rsidR="00A64830" w:rsidRPr="00965590">
          <w:rPr>
            <w:rStyle w:val="Hyperlink"/>
            <w:noProof/>
          </w:rPr>
          <w:t>1.</w:t>
        </w:r>
        <w:r w:rsidR="00A64830">
          <w:rPr>
            <w:rFonts w:asciiTheme="minorHAnsi" w:eastAsiaTheme="minorEastAsia" w:hAnsiTheme="minorHAnsi" w:cstheme="minorBidi"/>
            <w:noProof/>
            <w:sz w:val="22"/>
            <w:szCs w:val="22"/>
          </w:rPr>
          <w:tab/>
        </w:r>
        <w:r w:rsidR="00A64830" w:rsidRPr="00965590">
          <w:rPr>
            <w:rStyle w:val="Hyperlink"/>
            <w:noProof/>
          </w:rPr>
          <w:t>District Court</w:t>
        </w:r>
        <w:r w:rsidR="00A64830">
          <w:rPr>
            <w:noProof/>
            <w:webHidden/>
          </w:rPr>
          <w:tab/>
        </w:r>
        <w:r w:rsidR="00A64830">
          <w:rPr>
            <w:noProof/>
            <w:webHidden/>
          </w:rPr>
          <w:fldChar w:fldCharType="begin"/>
        </w:r>
        <w:r w:rsidR="00A64830">
          <w:rPr>
            <w:noProof/>
            <w:webHidden/>
          </w:rPr>
          <w:instrText xml:space="preserve"> PAGEREF _Toc395604603 \h </w:instrText>
        </w:r>
        <w:r w:rsidR="00A64830">
          <w:rPr>
            <w:noProof/>
            <w:webHidden/>
          </w:rPr>
        </w:r>
        <w:r w:rsidR="00A64830">
          <w:rPr>
            <w:noProof/>
            <w:webHidden/>
          </w:rPr>
          <w:fldChar w:fldCharType="separate"/>
        </w:r>
        <w:r w:rsidR="00042677">
          <w:rPr>
            <w:noProof/>
            <w:webHidden/>
          </w:rPr>
          <w:t>58</w:t>
        </w:r>
        <w:r w:rsidR="00A64830">
          <w:rPr>
            <w:noProof/>
            <w:webHidden/>
          </w:rPr>
          <w:fldChar w:fldCharType="end"/>
        </w:r>
      </w:hyperlink>
    </w:p>
    <w:p w:rsidR="00A64830" w:rsidRDefault="000F30C0" w:rsidP="00334983">
      <w:pPr>
        <w:pStyle w:val="TOC3"/>
        <w:rPr>
          <w:rStyle w:val="Hyperlink"/>
          <w:noProof/>
        </w:rPr>
      </w:pPr>
      <w:hyperlink w:anchor="_Toc395604604" w:history="1">
        <w:r w:rsidR="00A64830" w:rsidRPr="00965590">
          <w:rPr>
            <w:rStyle w:val="Hyperlink"/>
            <w:noProof/>
          </w:rPr>
          <w:t>2.</w:t>
        </w:r>
        <w:r w:rsidR="00A64830">
          <w:rPr>
            <w:rFonts w:asciiTheme="minorHAnsi" w:eastAsiaTheme="minorEastAsia" w:hAnsiTheme="minorHAnsi" w:cstheme="minorBidi"/>
            <w:noProof/>
            <w:sz w:val="22"/>
            <w:szCs w:val="22"/>
          </w:rPr>
          <w:tab/>
        </w:r>
        <w:r w:rsidR="00A64830" w:rsidRPr="00965590">
          <w:rPr>
            <w:rStyle w:val="Hyperlink"/>
            <w:noProof/>
          </w:rPr>
          <w:t>Judicial Appeal Panel</w:t>
        </w:r>
        <w:r w:rsidR="00A64830">
          <w:rPr>
            <w:noProof/>
            <w:webHidden/>
          </w:rPr>
          <w:tab/>
        </w:r>
        <w:r w:rsidR="00A64830">
          <w:rPr>
            <w:noProof/>
            <w:webHidden/>
          </w:rPr>
          <w:fldChar w:fldCharType="begin"/>
        </w:r>
        <w:r w:rsidR="00A64830">
          <w:rPr>
            <w:noProof/>
            <w:webHidden/>
          </w:rPr>
          <w:instrText xml:space="preserve"> PAGEREF _Toc395604604 \h </w:instrText>
        </w:r>
        <w:r w:rsidR="00A64830">
          <w:rPr>
            <w:noProof/>
            <w:webHidden/>
          </w:rPr>
        </w:r>
        <w:r w:rsidR="00A64830">
          <w:rPr>
            <w:noProof/>
            <w:webHidden/>
          </w:rPr>
          <w:fldChar w:fldCharType="separate"/>
        </w:r>
        <w:r w:rsidR="00042677">
          <w:rPr>
            <w:noProof/>
            <w:webHidden/>
          </w:rPr>
          <w:t>59</w:t>
        </w:r>
        <w:r w:rsidR="00A64830">
          <w:rPr>
            <w:noProof/>
            <w:webHidden/>
          </w:rPr>
          <w:fldChar w:fldCharType="end"/>
        </w:r>
      </w:hyperlink>
    </w:p>
    <w:p w:rsidR="00334983" w:rsidRPr="00334983" w:rsidRDefault="00334983" w:rsidP="00334983">
      <w:pPr>
        <w:rPr>
          <w:rFonts w:eastAsiaTheme="minorEastAsia"/>
        </w:rPr>
      </w:pPr>
    </w:p>
    <w:p w:rsidR="00A64830" w:rsidRDefault="000F30C0" w:rsidP="00334983">
      <w:pPr>
        <w:pStyle w:val="TOC1"/>
        <w:rPr>
          <w:rStyle w:val="Hyperlink"/>
          <w:noProof/>
        </w:rPr>
      </w:pPr>
      <w:hyperlink w:anchor="_Toc395604605" w:history="1">
        <w:r w:rsidR="00A64830" w:rsidRPr="00965590">
          <w:rPr>
            <w:rStyle w:val="Hyperlink"/>
            <w:noProof/>
          </w:rPr>
          <w:t>V.</w:t>
        </w:r>
        <w:r w:rsidR="00A64830">
          <w:rPr>
            <w:rFonts w:asciiTheme="minorHAnsi" w:eastAsiaTheme="minorEastAsia" w:hAnsiTheme="minorHAnsi" w:cstheme="minorBidi"/>
            <w:noProof/>
            <w:sz w:val="22"/>
            <w:szCs w:val="22"/>
          </w:rPr>
          <w:tab/>
        </w:r>
        <w:r w:rsidR="00A64830" w:rsidRPr="00965590">
          <w:rPr>
            <w:rStyle w:val="Hyperlink"/>
            <w:noProof/>
          </w:rPr>
          <w:t>CRIMINAL – GENERAL</w:t>
        </w:r>
        <w:r w:rsidR="00A64830">
          <w:rPr>
            <w:noProof/>
            <w:webHidden/>
          </w:rPr>
          <w:tab/>
        </w:r>
        <w:r w:rsidR="00A64830">
          <w:rPr>
            <w:noProof/>
            <w:webHidden/>
          </w:rPr>
          <w:fldChar w:fldCharType="begin"/>
        </w:r>
        <w:r w:rsidR="00A64830">
          <w:rPr>
            <w:noProof/>
            <w:webHidden/>
          </w:rPr>
          <w:instrText xml:space="preserve"> PAGEREF _Toc395604605 \h </w:instrText>
        </w:r>
        <w:r w:rsidR="00A64830">
          <w:rPr>
            <w:noProof/>
            <w:webHidden/>
          </w:rPr>
        </w:r>
        <w:r w:rsidR="00A64830">
          <w:rPr>
            <w:noProof/>
            <w:webHidden/>
          </w:rPr>
          <w:fldChar w:fldCharType="separate"/>
        </w:r>
        <w:r w:rsidR="00042677">
          <w:rPr>
            <w:noProof/>
            <w:webHidden/>
          </w:rPr>
          <w:t>61</w:t>
        </w:r>
        <w:r w:rsidR="00A64830">
          <w:rPr>
            <w:noProof/>
            <w:webHidden/>
          </w:rPr>
          <w:fldChar w:fldCharType="end"/>
        </w:r>
      </w:hyperlink>
    </w:p>
    <w:p w:rsidR="00334983" w:rsidRPr="00334983" w:rsidRDefault="00334983" w:rsidP="00334983">
      <w:pPr>
        <w:rPr>
          <w:rFonts w:eastAsiaTheme="minorEastAsia"/>
        </w:rPr>
      </w:pPr>
    </w:p>
    <w:p w:rsidR="00A64830" w:rsidRDefault="000F30C0" w:rsidP="00334983">
      <w:pPr>
        <w:pStyle w:val="TOC2"/>
        <w:rPr>
          <w:rFonts w:asciiTheme="minorHAnsi" w:eastAsiaTheme="minorEastAsia" w:hAnsiTheme="minorHAnsi" w:cstheme="minorBidi"/>
          <w:noProof/>
          <w:sz w:val="22"/>
          <w:szCs w:val="22"/>
        </w:rPr>
      </w:pPr>
      <w:hyperlink w:anchor="_Toc395604606" w:history="1">
        <w:r w:rsidR="00A64830" w:rsidRPr="00965590">
          <w:rPr>
            <w:rStyle w:val="Hyperlink"/>
            <w:noProof/>
          </w:rPr>
          <w:t>A.</w:t>
        </w:r>
        <w:r w:rsidR="00A64830">
          <w:rPr>
            <w:rFonts w:asciiTheme="minorHAnsi" w:eastAsiaTheme="minorEastAsia" w:hAnsiTheme="minorHAnsi" w:cstheme="minorBidi"/>
            <w:noProof/>
            <w:sz w:val="22"/>
            <w:szCs w:val="22"/>
          </w:rPr>
          <w:tab/>
        </w:r>
        <w:r w:rsidR="00A64830" w:rsidRPr="00965590">
          <w:rPr>
            <w:rStyle w:val="Hyperlink"/>
            <w:noProof/>
          </w:rPr>
          <w:t>GENERAL STANDARDS OF REVIEW</w:t>
        </w:r>
        <w:r w:rsidR="00A64830">
          <w:rPr>
            <w:noProof/>
            <w:webHidden/>
          </w:rPr>
          <w:tab/>
        </w:r>
        <w:r w:rsidR="00A64830">
          <w:rPr>
            <w:noProof/>
            <w:webHidden/>
          </w:rPr>
          <w:fldChar w:fldCharType="begin"/>
        </w:r>
        <w:r w:rsidR="00A64830">
          <w:rPr>
            <w:noProof/>
            <w:webHidden/>
          </w:rPr>
          <w:instrText xml:space="preserve"> PAGEREF _Toc395604606 \h </w:instrText>
        </w:r>
        <w:r w:rsidR="00A64830">
          <w:rPr>
            <w:noProof/>
            <w:webHidden/>
          </w:rPr>
        </w:r>
        <w:r w:rsidR="00A64830">
          <w:rPr>
            <w:noProof/>
            <w:webHidden/>
          </w:rPr>
          <w:fldChar w:fldCharType="separate"/>
        </w:r>
        <w:r w:rsidR="00042677">
          <w:rPr>
            <w:noProof/>
            <w:webHidden/>
          </w:rPr>
          <w:t>61</w:t>
        </w:r>
        <w:r w:rsidR="00A64830">
          <w:rPr>
            <w:noProof/>
            <w:webHidden/>
          </w:rPr>
          <w:fldChar w:fldCharType="end"/>
        </w:r>
      </w:hyperlink>
    </w:p>
    <w:p w:rsidR="00A64830" w:rsidRDefault="000F30C0" w:rsidP="00334983">
      <w:pPr>
        <w:pStyle w:val="TOC3"/>
        <w:rPr>
          <w:rFonts w:asciiTheme="minorHAnsi" w:eastAsiaTheme="minorEastAsia" w:hAnsiTheme="minorHAnsi" w:cstheme="minorBidi"/>
          <w:noProof/>
          <w:sz w:val="22"/>
          <w:szCs w:val="22"/>
        </w:rPr>
      </w:pPr>
      <w:hyperlink w:anchor="_Toc395604607" w:history="1">
        <w:r w:rsidR="00A64830" w:rsidRPr="00965590">
          <w:rPr>
            <w:rStyle w:val="Hyperlink"/>
            <w:noProof/>
          </w:rPr>
          <w:t>1.</w:t>
        </w:r>
        <w:r w:rsidR="00A64830">
          <w:rPr>
            <w:rFonts w:asciiTheme="minorHAnsi" w:eastAsiaTheme="minorEastAsia" w:hAnsiTheme="minorHAnsi" w:cstheme="minorBidi"/>
            <w:noProof/>
            <w:sz w:val="22"/>
            <w:szCs w:val="22"/>
          </w:rPr>
          <w:tab/>
        </w:r>
        <w:r w:rsidR="00A64830" w:rsidRPr="00965590">
          <w:rPr>
            <w:rStyle w:val="Hyperlink"/>
            <w:noProof/>
          </w:rPr>
          <w:t>Questions of Law</w:t>
        </w:r>
        <w:r w:rsidR="00A64830">
          <w:rPr>
            <w:noProof/>
            <w:webHidden/>
          </w:rPr>
          <w:tab/>
        </w:r>
        <w:r w:rsidR="00A64830">
          <w:rPr>
            <w:noProof/>
            <w:webHidden/>
          </w:rPr>
          <w:fldChar w:fldCharType="begin"/>
        </w:r>
        <w:r w:rsidR="00A64830">
          <w:rPr>
            <w:noProof/>
            <w:webHidden/>
          </w:rPr>
          <w:instrText xml:space="preserve"> PAGEREF _Toc395604607 \h </w:instrText>
        </w:r>
        <w:r w:rsidR="00A64830">
          <w:rPr>
            <w:noProof/>
            <w:webHidden/>
          </w:rPr>
        </w:r>
        <w:r w:rsidR="00A64830">
          <w:rPr>
            <w:noProof/>
            <w:webHidden/>
          </w:rPr>
          <w:fldChar w:fldCharType="separate"/>
        </w:r>
        <w:r w:rsidR="00042677">
          <w:rPr>
            <w:noProof/>
            <w:webHidden/>
          </w:rPr>
          <w:t>61</w:t>
        </w:r>
        <w:r w:rsidR="00A64830">
          <w:rPr>
            <w:noProof/>
            <w:webHidden/>
          </w:rPr>
          <w:fldChar w:fldCharType="end"/>
        </w:r>
      </w:hyperlink>
    </w:p>
    <w:p w:rsidR="00A64830" w:rsidRDefault="000F30C0" w:rsidP="00334983">
      <w:pPr>
        <w:pStyle w:val="TOC3"/>
        <w:rPr>
          <w:rFonts w:asciiTheme="minorHAnsi" w:eastAsiaTheme="minorEastAsia" w:hAnsiTheme="minorHAnsi" w:cstheme="minorBidi"/>
          <w:noProof/>
          <w:sz w:val="22"/>
          <w:szCs w:val="22"/>
        </w:rPr>
      </w:pPr>
      <w:hyperlink w:anchor="_Toc395604608" w:history="1">
        <w:r w:rsidR="00A64830" w:rsidRPr="00965590">
          <w:rPr>
            <w:rStyle w:val="Hyperlink"/>
            <w:noProof/>
          </w:rPr>
          <w:t>2.</w:t>
        </w:r>
        <w:r w:rsidR="00A64830">
          <w:rPr>
            <w:rFonts w:asciiTheme="minorHAnsi" w:eastAsiaTheme="minorEastAsia" w:hAnsiTheme="minorHAnsi" w:cstheme="minorBidi"/>
            <w:noProof/>
            <w:sz w:val="22"/>
            <w:szCs w:val="22"/>
          </w:rPr>
          <w:tab/>
        </w:r>
        <w:r w:rsidR="00A64830" w:rsidRPr="00965590">
          <w:rPr>
            <w:rStyle w:val="Hyperlink"/>
            <w:noProof/>
          </w:rPr>
          <w:t>Questions of Fact</w:t>
        </w:r>
        <w:r w:rsidR="00A64830">
          <w:rPr>
            <w:noProof/>
            <w:webHidden/>
          </w:rPr>
          <w:tab/>
        </w:r>
        <w:r w:rsidR="00A64830">
          <w:rPr>
            <w:noProof/>
            <w:webHidden/>
          </w:rPr>
          <w:fldChar w:fldCharType="begin"/>
        </w:r>
        <w:r w:rsidR="00A64830">
          <w:rPr>
            <w:noProof/>
            <w:webHidden/>
          </w:rPr>
          <w:instrText xml:space="preserve"> PAGEREF _Toc395604608 \h </w:instrText>
        </w:r>
        <w:r w:rsidR="00A64830">
          <w:rPr>
            <w:noProof/>
            <w:webHidden/>
          </w:rPr>
        </w:r>
        <w:r w:rsidR="00A64830">
          <w:rPr>
            <w:noProof/>
            <w:webHidden/>
          </w:rPr>
          <w:fldChar w:fldCharType="separate"/>
        </w:r>
        <w:r w:rsidR="00042677">
          <w:rPr>
            <w:noProof/>
            <w:webHidden/>
          </w:rPr>
          <w:t>61</w:t>
        </w:r>
        <w:r w:rsidR="00A64830">
          <w:rPr>
            <w:noProof/>
            <w:webHidden/>
          </w:rPr>
          <w:fldChar w:fldCharType="end"/>
        </w:r>
      </w:hyperlink>
    </w:p>
    <w:p w:rsidR="00A64830" w:rsidRDefault="000F30C0" w:rsidP="00334983">
      <w:pPr>
        <w:pStyle w:val="TOC3"/>
        <w:rPr>
          <w:rFonts w:asciiTheme="minorHAnsi" w:eastAsiaTheme="minorEastAsia" w:hAnsiTheme="minorHAnsi" w:cstheme="minorBidi"/>
          <w:noProof/>
          <w:sz w:val="22"/>
          <w:szCs w:val="22"/>
        </w:rPr>
      </w:pPr>
      <w:hyperlink w:anchor="_Toc395604609" w:history="1">
        <w:r w:rsidR="00A64830" w:rsidRPr="00965590">
          <w:rPr>
            <w:rStyle w:val="Hyperlink"/>
            <w:noProof/>
          </w:rPr>
          <w:t>3.</w:t>
        </w:r>
        <w:r w:rsidR="00A64830">
          <w:rPr>
            <w:rFonts w:asciiTheme="minorHAnsi" w:eastAsiaTheme="minorEastAsia" w:hAnsiTheme="minorHAnsi" w:cstheme="minorBidi"/>
            <w:noProof/>
            <w:sz w:val="22"/>
            <w:szCs w:val="22"/>
          </w:rPr>
          <w:tab/>
        </w:r>
        <w:r w:rsidR="00A64830" w:rsidRPr="00965590">
          <w:rPr>
            <w:rStyle w:val="Hyperlink"/>
            <w:noProof/>
          </w:rPr>
          <w:t>Mixed Questions of Fact and Law</w:t>
        </w:r>
        <w:r w:rsidR="00A64830">
          <w:rPr>
            <w:noProof/>
            <w:webHidden/>
          </w:rPr>
          <w:tab/>
        </w:r>
        <w:r w:rsidR="00A64830">
          <w:rPr>
            <w:noProof/>
            <w:webHidden/>
          </w:rPr>
          <w:fldChar w:fldCharType="begin"/>
        </w:r>
        <w:r w:rsidR="00A64830">
          <w:rPr>
            <w:noProof/>
            <w:webHidden/>
          </w:rPr>
          <w:instrText xml:space="preserve"> PAGEREF _Toc395604609 \h </w:instrText>
        </w:r>
        <w:r w:rsidR="00A64830">
          <w:rPr>
            <w:noProof/>
            <w:webHidden/>
          </w:rPr>
        </w:r>
        <w:r w:rsidR="00A64830">
          <w:rPr>
            <w:noProof/>
            <w:webHidden/>
          </w:rPr>
          <w:fldChar w:fldCharType="separate"/>
        </w:r>
        <w:r w:rsidR="00042677">
          <w:rPr>
            <w:noProof/>
            <w:webHidden/>
          </w:rPr>
          <w:t>62</w:t>
        </w:r>
        <w:r w:rsidR="00A64830">
          <w:rPr>
            <w:noProof/>
            <w:webHidden/>
          </w:rPr>
          <w:fldChar w:fldCharType="end"/>
        </w:r>
      </w:hyperlink>
    </w:p>
    <w:p w:rsidR="00A64830" w:rsidRDefault="000F30C0" w:rsidP="00334983">
      <w:pPr>
        <w:pStyle w:val="TOC3"/>
        <w:rPr>
          <w:rStyle w:val="Hyperlink"/>
          <w:noProof/>
        </w:rPr>
      </w:pPr>
      <w:hyperlink w:anchor="_Toc395604610" w:history="1">
        <w:r w:rsidR="00A64830" w:rsidRPr="00965590">
          <w:rPr>
            <w:rStyle w:val="Hyperlink"/>
            <w:noProof/>
          </w:rPr>
          <w:t>4.</w:t>
        </w:r>
        <w:r w:rsidR="00A64830">
          <w:rPr>
            <w:rFonts w:asciiTheme="minorHAnsi" w:eastAsiaTheme="minorEastAsia" w:hAnsiTheme="minorHAnsi" w:cstheme="minorBidi"/>
            <w:noProof/>
            <w:sz w:val="22"/>
            <w:szCs w:val="22"/>
          </w:rPr>
          <w:tab/>
        </w:r>
        <w:r w:rsidR="00A64830" w:rsidRPr="00965590">
          <w:rPr>
            <w:rStyle w:val="Hyperlink"/>
            <w:noProof/>
          </w:rPr>
          <w:t>Exception to Waiver</w:t>
        </w:r>
        <w:r w:rsidR="00A64830">
          <w:rPr>
            <w:noProof/>
            <w:webHidden/>
          </w:rPr>
          <w:tab/>
        </w:r>
        <w:r w:rsidR="00A64830">
          <w:rPr>
            <w:noProof/>
            <w:webHidden/>
          </w:rPr>
          <w:fldChar w:fldCharType="begin"/>
        </w:r>
        <w:r w:rsidR="00A64830">
          <w:rPr>
            <w:noProof/>
            <w:webHidden/>
          </w:rPr>
          <w:instrText xml:space="preserve"> PAGEREF _Toc395604610 \h </w:instrText>
        </w:r>
        <w:r w:rsidR="00A64830">
          <w:rPr>
            <w:noProof/>
            <w:webHidden/>
          </w:rPr>
        </w:r>
        <w:r w:rsidR="00A64830">
          <w:rPr>
            <w:noProof/>
            <w:webHidden/>
          </w:rPr>
          <w:fldChar w:fldCharType="separate"/>
        </w:r>
        <w:r w:rsidR="00042677">
          <w:rPr>
            <w:noProof/>
            <w:webHidden/>
          </w:rPr>
          <w:t>62</w:t>
        </w:r>
        <w:r w:rsidR="00A64830">
          <w:rPr>
            <w:noProof/>
            <w:webHidden/>
          </w:rPr>
          <w:fldChar w:fldCharType="end"/>
        </w:r>
      </w:hyperlink>
    </w:p>
    <w:p w:rsidR="00334983" w:rsidRPr="00334983" w:rsidRDefault="00334983" w:rsidP="00334983">
      <w:pPr>
        <w:rPr>
          <w:rFonts w:eastAsiaTheme="minorEastAsia"/>
        </w:rPr>
      </w:pPr>
    </w:p>
    <w:p w:rsidR="00A64830" w:rsidRDefault="000F30C0" w:rsidP="00334983">
      <w:pPr>
        <w:pStyle w:val="TOC2"/>
        <w:rPr>
          <w:rFonts w:asciiTheme="minorHAnsi" w:eastAsiaTheme="minorEastAsia" w:hAnsiTheme="minorHAnsi" w:cstheme="minorBidi"/>
          <w:noProof/>
          <w:sz w:val="22"/>
          <w:szCs w:val="22"/>
        </w:rPr>
      </w:pPr>
      <w:hyperlink w:anchor="_Toc395604611" w:history="1">
        <w:r w:rsidR="00A64830" w:rsidRPr="00965590">
          <w:rPr>
            <w:rStyle w:val="Hyperlink"/>
            <w:noProof/>
          </w:rPr>
          <w:t>B.</w:t>
        </w:r>
        <w:r w:rsidR="00A64830">
          <w:rPr>
            <w:rFonts w:asciiTheme="minorHAnsi" w:eastAsiaTheme="minorEastAsia" w:hAnsiTheme="minorHAnsi" w:cstheme="minorBidi"/>
            <w:noProof/>
            <w:sz w:val="22"/>
            <w:szCs w:val="22"/>
          </w:rPr>
          <w:tab/>
        </w:r>
        <w:r w:rsidR="00A64830" w:rsidRPr="00965590">
          <w:rPr>
            <w:rStyle w:val="Hyperlink"/>
            <w:noProof/>
          </w:rPr>
          <w:t>PRETRIAL MATTERS</w:t>
        </w:r>
        <w:r w:rsidR="00A64830">
          <w:rPr>
            <w:noProof/>
            <w:webHidden/>
          </w:rPr>
          <w:tab/>
        </w:r>
        <w:r w:rsidR="00A64830">
          <w:rPr>
            <w:noProof/>
            <w:webHidden/>
          </w:rPr>
          <w:fldChar w:fldCharType="begin"/>
        </w:r>
        <w:r w:rsidR="00A64830">
          <w:rPr>
            <w:noProof/>
            <w:webHidden/>
          </w:rPr>
          <w:instrText xml:space="preserve"> PAGEREF _Toc395604611 \h </w:instrText>
        </w:r>
        <w:r w:rsidR="00A64830">
          <w:rPr>
            <w:noProof/>
            <w:webHidden/>
          </w:rPr>
        </w:r>
        <w:r w:rsidR="00A64830">
          <w:rPr>
            <w:noProof/>
            <w:webHidden/>
          </w:rPr>
          <w:fldChar w:fldCharType="separate"/>
        </w:r>
        <w:r w:rsidR="00042677">
          <w:rPr>
            <w:noProof/>
            <w:webHidden/>
          </w:rPr>
          <w:t>62</w:t>
        </w:r>
        <w:r w:rsidR="00A64830">
          <w:rPr>
            <w:noProof/>
            <w:webHidden/>
          </w:rPr>
          <w:fldChar w:fldCharType="end"/>
        </w:r>
      </w:hyperlink>
    </w:p>
    <w:p w:rsidR="00A64830" w:rsidRDefault="000F30C0" w:rsidP="00334983">
      <w:pPr>
        <w:pStyle w:val="TOC3"/>
        <w:rPr>
          <w:rFonts w:asciiTheme="minorHAnsi" w:eastAsiaTheme="minorEastAsia" w:hAnsiTheme="minorHAnsi" w:cstheme="minorBidi"/>
          <w:noProof/>
          <w:sz w:val="22"/>
          <w:szCs w:val="22"/>
        </w:rPr>
      </w:pPr>
      <w:hyperlink w:anchor="_Toc395604612" w:history="1">
        <w:r w:rsidR="00A64830" w:rsidRPr="00965590">
          <w:rPr>
            <w:rStyle w:val="Hyperlink"/>
            <w:noProof/>
          </w:rPr>
          <w:t>1.</w:t>
        </w:r>
        <w:r w:rsidR="00A64830">
          <w:rPr>
            <w:rFonts w:asciiTheme="minorHAnsi" w:eastAsiaTheme="minorEastAsia" w:hAnsiTheme="minorHAnsi" w:cstheme="minorBidi"/>
            <w:noProof/>
            <w:sz w:val="22"/>
            <w:szCs w:val="22"/>
          </w:rPr>
          <w:tab/>
        </w:r>
        <w:r w:rsidR="00A64830" w:rsidRPr="00965590">
          <w:rPr>
            <w:rStyle w:val="Hyperlink"/>
            <w:noProof/>
          </w:rPr>
          <w:t>Suppressing Evidence</w:t>
        </w:r>
        <w:r w:rsidR="00A64830">
          <w:rPr>
            <w:noProof/>
            <w:webHidden/>
          </w:rPr>
          <w:tab/>
        </w:r>
        <w:r w:rsidR="00A64830">
          <w:rPr>
            <w:noProof/>
            <w:webHidden/>
          </w:rPr>
          <w:fldChar w:fldCharType="begin"/>
        </w:r>
        <w:r w:rsidR="00A64830">
          <w:rPr>
            <w:noProof/>
            <w:webHidden/>
          </w:rPr>
          <w:instrText xml:space="preserve"> PAGEREF _Toc395604612 \h </w:instrText>
        </w:r>
        <w:r w:rsidR="00A64830">
          <w:rPr>
            <w:noProof/>
            <w:webHidden/>
          </w:rPr>
        </w:r>
        <w:r w:rsidR="00A64830">
          <w:rPr>
            <w:noProof/>
            <w:webHidden/>
          </w:rPr>
          <w:fldChar w:fldCharType="separate"/>
        </w:r>
        <w:r w:rsidR="00042677">
          <w:rPr>
            <w:noProof/>
            <w:webHidden/>
          </w:rPr>
          <w:t>62</w:t>
        </w:r>
        <w:r w:rsidR="00A64830">
          <w:rPr>
            <w:noProof/>
            <w:webHidden/>
          </w:rPr>
          <w:fldChar w:fldCharType="end"/>
        </w:r>
      </w:hyperlink>
    </w:p>
    <w:p w:rsidR="00A64830" w:rsidRDefault="000F30C0" w:rsidP="00334983">
      <w:pPr>
        <w:pStyle w:val="TOC4"/>
        <w:tabs>
          <w:tab w:val="left" w:pos="1200"/>
          <w:tab w:val="right" w:leader="dot" w:pos="9350"/>
        </w:tabs>
        <w:spacing w:after="0"/>
        <w:rPr>
          <w:rFonts w:asciiTheme="minorHAnsi" w:eastAsiaTheme="minorEastAsia" w:hAnsiTheme="minorHAnsi" w:cstheme="minorBidi"/>
          <w:noProof/>
          <w:sz w:val="22"/>
          <w:szCs w:val="22"/>
        </w:rPr>
      </w:pPr>
      <w:hyperlink w:anchor="_Toc395604613" w:history="1">
        <w:r w:rsidR="00A64830" w:rsidRPr="00965590">
          <w:rPr>
            <w:rStyle w:val="Hyperlink"/>
            <w:noProof/>
          </w:rPr>
          <w:t>a.</w:t>
        </w:r>
        <w:r w:rsidR="00A64830">
          <w:rPr>
            <w:rFonts w:asciiTheme="minorHAnsi" w:eastAsiaTheme="minorEastAsia" w:hAnsiTheme="minorHAnsi" w:cstheme="minorBidi"/>
            <w:noProof/>
            <w:sz w:val="22"/>
            <w:szCs w:val="22"/>
          </w:rPr>
          <w:tab/>
        </w:r>
        <w:r w:rsidR="00A64830" w:rsidRPr="00965590">
          <w:rPr>
            <w:rStyle w:val="Hyperlink"/>
            <w:noProof/>
          </w:rPr>
          <w:t>In General</w:t>
        </w:r>
        <w:r w:rsidR="00A64830">
          <w:rPr>
            <w:noProof/>
            <w:webHidden/>
          </w:rPr>
          <w:tab/>
        </w:r>
        <w:r w:rsidR="00A64830">
          <w:rPr>
            <w:noProof/>
            <w:webHidden/>
          </w:rPr>
          <w:fldChar w:fldCharType="begin"/>
        </w:r>
        <w:r w:rsidR="00A64830">
          <w:rPr>
            <w:noProof/>
            <w:webHidden/>
          </w:rPr>
          <w:instrText xml:space="preserve"> PAGEREF _Toc395604613 \h </w:instrText>
        </w:r>
        <w:r w:rsidR="00A64830">
          <w:rPr>
            <w:noProof/>
            <w:webHidden/>
          </w:rPr>
        </w:r>
        <w:r w:rsidR="00A64830">
          <w:rPr>
            <w:noProof/>
            <w:webHidden/>
          </w:rPr>
          <w:fldChar w:fldCharType="separate"/>
        </w:r>
        <w:r w:rsidR="00042677">
          <w:rPr>
            <w:noProof/>
            <w:webHidden/>
          </w:rPr>
          <w:t>62</w:t>
        </w:r>
        <w:r w:rsidR="00A64830">
          <w:rPr>
            <w:noProof/>
            <w:webHidden/>
          </w:rPr>
          <w:fldChar w:fldCharType="end"/>
        </w:r>
      </w:hyperlink>
    </w:p>
    <w:p w:rsidR="00A64830" w:rsidRDefault="000F30C0" w:rsidP="00334983">
      <w:pPr>
        <w:pStyle w:val="TOC4"/>
        <w:tabs>
          <w:tab w:val="left" w:pos="1200"/>
          <w:tab w:val="right" w:leader="dot" w:pos="9350"/>
        </w:tabs>
        <w:spacing w:after="0"/>
        <w:rPr>
          <w:rFonts w:asciiTheme="minorHAnsi" w:eastAsiaTheme="minorEastAsia" w:hAnsiTheme="minorHAnsi" w:cstheme="minorBidi"/>
          <w:noProof/>
          <w:sz w:val="22"/>
          <w:szCs w:val="22"/>
        </w:rPr>
      </w:pPr>
      <w:hyperlink w:anchor="_Toc395604614" w:history="1">
        <w:r w:rsidR="00A64830" w:rsidRPr="00965590">
          <w:rPr>
            <w:rStyle w:val="Hyperlink"/>
            <w:noProof/>
          </w:rPr>
          <w:t>b.</w:t>
        </w:r>
        <w:r w:rsidR="00A64830">
          <w:rPr>
            <w:rFonts w:asciiTheme="minorHAnsi" w:eastAsiaTheme="minorEastAsia" w:hAnsiTheme="minorHAnsi" w:cstheme="minorBidi"/>
            <w:noProof/>
            <w:sz w:val="22"/>
            <w:szCs w:val="22"/>
          </w:rPr>
          <w:tab/>
        </w:r>
        <w:r w:rsidR="00A64830" w:rsidRPr="00965590">
          <w:rPr>
            <w:rStyle w:val="Hyperlink"/>
            <w:noProof/>
          </w:rPr>
          <w:t>Critical Impact</w:t>
        </w:r>
        <w:r w:rsidR="00A64830">
          <w:rPr>
            <w:noProof/>
            <w:webHidden/>
          </w:rPr>
          <w:tab/>
        </w:r>
        <w:r w:rsidR="00A64830">
          <w:rPr>
            <w:noProof/>
            <w:webHidden/>
          </w:rPr>
          <w:fldChar w:fldCharType="begin"/>
        </w:r>
        <w:r w:rsidR="00A64830">
          <w:rPr>
            <w:noProof/>
            <w:webHidden/>
          </w:rPr>
          <w:instrText xml:space="preserve"> PAGEREF _Toc395604614 \h </w:instrText>
        </w:r>
        <w:r w:rsidR="00A64830">
          <w:rPr>
            <w:noProof/>
            <w:webHidden/>
          </w:rPr>
        </w:r>
        <w:r w:rsidR="00A64830">
          <w:rPr>
            <w:noProof/>
            <w:webHidden/>
          </w:rPr>
          <w:fldChar w:fldCharType="separate"/>
        </w:r>
        <w:r w:rsidR="00042677">
          <w:rPr>
            <w:noProof/>
            <w:webHidden/>
          </w:rPr>
          <w:t>62</w:t>
        </w:r>
        <w:r w:rsidR="00A64830">
          <w:rPr>
            <w:noProof/>
            <w:webHidden/>
          </w:rPr>
          <w:fldChar w:fldCharType="end"/>
        </w:r>
      </w:hyperlink>
    </w:p>
    <w:p w:rsidR="00A64830" w:rsidRDefault="000F30C0" w:rsidP="00334983">
      <w:pPr>
        <w:pStyle w:val="TOC4"/>
        <w:tabs>
          <w:tab w:val="left" w:pos="1200"/>
          <w:tab w:val="right" w:leader="dot" w:pos="9350"/>
        </w:tabs>
        <w:spacing w:after="0"/>
        <w:rPr>
          <w:rFonts w:asciiTheme="minorHAnsi" w:eastAsiaTheme="minorEastAsia" w:hAnsiTheme="minorHAnsi" w:cstheme="minorBidi"/>
          <w:noProof/>
          <w:sz w:val="22"/>
          <w:szCs w:val="22"/>
        </w:rPr>
      </w:pPr>
      <w:hyperlink w:anchor="_Toc395604615" w:history="1">
        <w:r w:rsidR="00A64830" w:rsidRPr="00965590">
          <w:rPr>
            <w:rStyle w:val="Hyperlink"/>
            <w:noProof/>
          </w:rPr>
          <w:t>c.</w:t>
        </w:r>
        <w:r w:rsidR="00A64830">
          <w:rPr>
            <w:rFonts w:asciiTheme="minorHAnsi" w:eastAsiaTheme="minorEastAsia" w:hAnsiTheme="minorHAnsi" w:cstheme="minorBidi"/>
            <w:noProof/>
            <w:sz w:val="22"/>
            <w:szCs w:val="22"/>
          </w:rPr>
          <w:tab/>
        </w:r>
        <w:r w:rsidR="00A64830" w:rsidRPr="00965590">
          <w:rPr>
            <w:rStyle w:val="Hyperlink"/>
            <w:noProof/>
          </w:rPr>
          <w:t>Suppression of Confessions and Admissions</w:t>
        </w:r>
        <w:r w:rsidR="00A64830">
          <w:rPr>
            <w:noProof/>
            <w:webHidden/>
          </w:rPr>
          <w:tab/>
        </w:r>
        <w:r w:rsidR="00A64830">
          <w:rPr>
            <w:noProof/>
            <w:webHidden/>
          </w:rPr>
          <w:fldChar w:fldCharType="begin"/>
        </w:r>
        <w:r w:rsidR="00A64830">
          <w:rPr>
            <w:noProof/>
            <w:webHidden/>
          </w:rPr>
          <w:instrText xml:space="preserve"> PAGEREF _Toc395604615 \h </w:instrText>
        </w:r>
        <w:r w:rsidR="00A64830">
          <w:rPr>
            <w:noProof/>
            <w:webHidden/>
          </w:rPr>
        </w:r>
        <w:r w:rsidR="00A64830">
          <w:rPr>
            <w:noProof/>
            <w:webHidden/>
          </w:rPr>
          <w:fldChar w:fldCharType="separate"/>
        </w:r>
        <w:r w:rsidR="00042677">
          <w:rPr>
            <w:noProof/>
            <w:webHidden/>
          </w:rPr>
          <w:t>63</w:t>
        </w:r>
        <w:r w:rsidR="00A64830">
          <w:rPr>
            <w:noProof/>
            <w:webHidden/>
          </w:rPr>
          <w:fldChar w:fldCharType="end"/>
        </w:r>
      </w:hyperlink>
    </w:p>
    <w:p w:rsidR="00A64830" w:rsidRDefault="000F30C0" w:rsidP="00334983">
      <w:pPr>
        <w:pStyle w:val="TOC4"/>
        <w:tabs>
          <w:tab w:val="left" w:pos="1200"/>
          <w:tab w:val="right" w:leader="dot" w:pos="9350"/>
        </w:tabs>
        <w:spacing w:after="0"/>
        <w:rPr>
          <w:rFonts w:asciiTheme="minorHAnsi" w:eastAsiaTheme="minorEastAsia" w:hAnsiTheme="minorHAnsi" w:cstheme="minorBidi"/>
          <w:noProof/>
          <w:sz w:val="22"/>
          <w:szCs w:val="22"/>
        </w:rPr>
      </w:pPr>
      <w:hyperlink w:anchor="_Toc395604616" w:history="1">
        <w:r w:rsidR="00A64830" w:rsidRPr="00965590">
          <w:rPr>
            <w:rStyle w:val="Hyperlink"/>
            <w:noProof/>
          </w:rPr>
          <w:t>d.</w:t>
        </w:r>
        <w:r w:rsidR="00A64830">
          <w:rPr>
            <w:rFonts w:asciiTheme="minorHAnsi" w:eastAsiaTheme="minorEastAsia" w:hAnsiTheme="minorHAnsi" w:cstheme="minorBidi"/>
            <w:noProof/>
            <w:sz w:val="22"/>
            <w:szCs w:val="22"/>
          </w:rPr>
          <w:tab/>
        </w:r>
        <w:r w:rsidR="00A64830" w:rsidRPr="00965590">
          <w:rPr>
            <w:rStyle w:val="Hyperlink"/>
            <w:noProof/>
          </w:rPr>
          <w:t>Suppression of Physical Evidence</w:t>
        </w:r>
        <w:r w:rsidR="00A64830">
          <w:rPr>
            <w:noProof/>
            <w:webHidden/>
          </w:rPr>
          <w:tab/>
        </w:r>
        <w:r w:rsidR="00A64830">
          <w:rPr>
            <w:noProof/>
            <w:webHidden/>
          </w:rPr>
          <w:fldChar w:fldCharType="begin"/>
        </w:r>
        <w:r w:rsidR="00A64830">
          <w:rPr>
            <w:noProof/>
            <w:webHidden/>
          </w:rPr>
          <w:instrText xml:space="preserve"> PAGEREF _Toc395604616 \h </w:instrText>
        </w:r>
        <w:r w:rsidR="00A64830">
          <w:rPr>
            <w:noProof/>
            <w:webHidden/>
          </w:rPr>
        </w:r>
        <w:r w:rsidR="00A64830">
          <w:rPr>
            <w:noProof/>
            <w:webHidden/>
          </w:rPr>
          <w:fldChar w:fldCharType="separate"/>
        </w:r>
        <w:r w:rsidR="00042677">
          <w:rPr>
            <w:noProof/>
            <w:webHidden/>
          </w:rPr>
          <w:t>64</w:t>
        </w:r>
        <w:r w:rsidR="00A64830">
          <w:rPr>
            <w:noProof/>
            <w:webHidden/>
          </w:rPr>
          <w:fldChar w:fldCharType="end"/>
        </w:r>
      </w:hyperlink>
    </w:p>
    <w:p w:rsidR="00A64830" w:rsidRDefault="000F30C0" w:rsidP="00334983">
      <w:pPr>
        <w:pStyle w:val="TOC3"/>
        <w:rPr>
          <w:rFonts w:asciiTheme="minorHAnsi" w:eastAsiaTheme="minorEastAsia" w:hAnsiTheme="minorHAnsi" w:cstheme="minorBidi"/>
          <w:noProof/>
          <w:sz w:val="22"/>
          <w:szCs w:val="22"/>
        </w:rPr>
      </w:pPr>
      <w:hyperlink w:anchor="_Toc395604617" w:history="1">
        <w:r w:rsidR="00A64830" w:rsidRPr="00965590">
          <w:rPr>
            <w:rStyle w:val="Hyperlink"/>
            <w:noProof/>
          </w:rPr>
          <w:t>2.</w:t>
        </w:r>
        <w:r w:rsidR="00A64830">
          <w:rPr>
            <w:rFonts w:asciiTheme="minorHAnsi" w:eastAsiaTheme="minorEastAsia" w:hAnsiTheme="minorHAnsi" w:cstheme="minorBidi"/>
            <w:noProof/>
            <w:sz w:val="22"/>
            <w:szCs w:val="22"/>
          </w:rPr>
          <w:tab/>
        </w:r>
        <w:r w:rsidR="00A64830" w:rsidRPr="00965590">
          <w:rPr>
            <w:rStyle w:val="Hyperlink"/>
            <w:noProof/>
          </w:rPr>
          <w:t>Probable Cause—General</w:t>
        </w:r>
        <w:r w:rsidR="00A64830">
          <w:rPr>
            <w:noProof/>
            <w:webHidden/>
          </w:rPr>
          <w:tab/>
        </w:r>
        <w:r w:rsidR="00A64830">
          <w:rPr>
            <w:noProof/>
            <w:webHidden/>
          </w:rPr>
          <w:fldChar w:fldCharType="begin"/>
        </w:r>
        <w:r w:rsidR="00A64830">
          <w:rPr>
            <w:noProof/>
            <w:webHidden/>
          </w:rPr>
          <w:instrText xml:space="preserve"> PAGEREF _Toc395604617 \h </w:instrText>
        </w:r>
        <w:r w:rsidR="00A64830">
          <w:rPr>
            <w:noProof/>
            <w:webHidden/>
          </w:rPr>
        </w:r>
        <w:r w:rsidR="00A64830">
          <w:rPr>
            <w:noProof/>
            <w:webHidden/>
          </w:rPr>
          <w:fldChar w:fldCharType="separate"/>
        </w:r>
        <w:r w:rsidR="00042677">
          <w:rPr>
            <w:noProof/>
            <w:webHidden/>
          </w:rPr>
          <w:t>65</w:t>
        </w:r>
        <w:r w:rsidR="00A64830">
          <w:rPr>
            <w:noProof/>
            <w:webHidden/>
          </w:rPr>
          <w:fldChar w:fldCharType="end"/>
        </w:r>
      </w:hyperlink>
    </w:p>
    <w:p w:rsidR="00A64830" w:rsidRDefault="000F30C0" w:rsidP="00334983">
      <w:pPr>
        <w:pStyle w:val="TOC3"/>
        <w:rPr>
          <w:rFonts w:asciiTheme="minorHAnsi" w:eastAsiaTheme="minorEastAsia" w:hAnsiTheme="minorHAnsi" w:cstheme="minorBidi"/>
          <w:noProof/>
          <w:sz w:val="22"/>
          <w:szCs w:val="22"/>
        </w:rPr>
      </w:pPr>
      <w:hyperlink w:anchor="_Toc395604618" w:history="1">
        <w:r w:rsidR="00A64830" w:rsidRPr="00965590">
          <w:rPr>
            <w:rStyle w:val="Hyperlink"/>
            <w:noProof/>
          </w:rPr>
          <w:t>3.</w:t>
        </w:r>
        <w:r w:rsidR="00A64830">
          <w:rPr>
            <w:rFonts w:asciiTheme="minorHAnsi" w:eastAsiaTheme="minorEastAsia" w:hAnsiTheme="minorHAnsi" w:cstheme="minorBidi"/>
            <w:noProof/>
            <w:sz w:val="22"/>
            <w:szCs w:val="22"/>
          </w:rPr>
          <w:tab/>
        </w:r>
        <w:r w:rsidR="00A64830" w:rsidRPr="00965590">
          <w:rPr>
            <w:rStyle w:val="Hyperlink"/>
            <w:noProof/>
          </w:rPr>
          <w:t>Warrantless Searches and Seizures</w:t>
        </w:r>
        <w:r w:rsidR="00A64830">
          <w:rPr>
            <w:noProof/>
            <w:webHidden/>
          </w:rPr>
          <w:tab/>
        </w:r>
        <w:r w:rsidR="00A64830">
          <w:rPr>
            <w:noProof/>
            <w:webHidden/>
          </w:rPr>
          <w:fldChar w:fldCharType="begin"/>
        </w:r>
        <w:r w:rsidR="00A64830">
          <w:rPr>
            <w:noProof/>
            <w:webHidden/>
          </w:rPr>
          <w:instrText xml:space="preserve"> PAGEREF _Toc395604618 \h </w:instrText>
        </w:r>
        <w:r w:rsidR="00A64830">
          <w:rPr>
            <w:noProof/>
            <w:webHidden/>
          </w:rPr>
        </w:r>
        <w:r w:rsidR="00A64830">
          <w:rPr>
            <w:noProof/>
            <w:webHidden/>
          </w:rPr>
          <w:fldChar w:fldCharType="separate"/>
        </w:r>
        <w:r w:rsidR="00042677">
          <w:rPr>
            <w:noProof/>
            <w:webHidden/>
          </w:rPr>
          <w:t>65</w:t>
        </w:r>
        <w:r w:rsidR="00A64830">
          <w:rPr>
            <w:noProof/>
            <w:webHidden/>
          </w:rPr>
          <w:fldChar w:fldCharType="end"/>
        </w:r>
      </w:hyperlink>
    </w:p>
    <w:p w:rsidR="00A64830" w:rsidRDefault="000F30C0" w:rsidP="00334983">
      <w:pPr>
        <w:pStyle w:val="TOC3"/>
        <w:rPr>
          <w:rFonts w:asciiTheme="minorHAnsi" w:eastAsiaTheme="minorEastAsia" w:hAnsiTheme="minorHAnsi" w:cstheme="minorBidi"/>
          <w:noProof/>
          <w:sz w:val="22"/>
          <w:szCs w:val="22"/>
        </w:rPr>
      </w:pPr>
      <w:hyperlink w:anchor="_Toc395604619" w:history="1">
        <w:r w:rsidR="00A64830" w:rsidRPr="00965590">
          <w:rPr>
            <w:rStyle w:val="Hyperlink"/>
            <w:noProof/>
          </w:rPr>
          <w:t>4.</w:t>
        </w:r>
        <w:r w:rsidR="00A64830">
          <w:rPr>
            <w:rFonts w:asciiTheme="minorHAnsi" w:eastAsiaTheme="minorEastAsia" w:hAnsiTheme="minorHAnsi" w:cstheme="minorBidi"/>
            <w:noProof/>
            <w:sz w:val="22"/>
            <w:szCs w:val="22"/>
          </w:rPr>
          <w:tab/>
        </w:r>
        <w:r w:rsidR="00A64830" w:rsidRPr="00965590">
          <w:rPr>
            <w:rStyle w:val="Hyperlink"/>
            <w:noProof/>
          </w:rPr>
          <w:t>Probable Cause—Search Warrants</w:t>
        </w:r>
        <w:r w:rsidR="00A64830">
          <w:rPr>
            <w:noProof/>
            <w:webHidden/>
          </w:rPr>
          <w:tab/>
        </w:r>
        <w:r w:rsidR="00A64830">
          <w:rPr>
            <w:noProof/>
            <w:webHidden/>
          </w:rPr>
          <w:fldChar w:fldCharType="begin"/>
        </w:r>
        <w:r w:rsidR="00A64830">
          <w:rPr>
            <w:noProof/>
            <w:webHidden/>
          </w:rPr>
          <w:instrText xml:space="preserve"> PAGEREF _Toc395604619 \h </w:instrText>
        </w:r>
        <w:r w:rsidR="00A64830">
          <w:rPr>
            <w:noProof/>
            <w:webHidden/>
          </w:rPr>
        </w:r>
        <w:r w:rsidR="00A64830">
          <w:rPr>
            <w:noProof/>
            <w:webHidden/>
          </w:rPr>
          <w:fldChar w:fldCharType="separate"/>
        </w:r>
        <w:r w:rsidR="00042677">
          <w:rPr>
            <w:noProof/>
            <w:webHidden/>
          </w:rPr>
          <w:t>65</w:t>
        </w:r>
        <w:r w:rsidR="00A64830">
          <w:rPr>
            <w:noProof/>
            <w:webHidden/>
          </w:rPr>
          <w:fldChar w:fldCharType="end"/>
        </w:r>
      </w:hyperlink>
    </w:p>
    <w:p w:rsidR="00A64830" w:rsidRDefault="000F30C0" w:rsidP="00334983">
      <w:pPr>
        <w:pStyle w:val="TOC3"/>
        <w:rPr>
          <w:rFonts w:asciiTheme="minorHAnsi" w:eastAsiaTheme="minorEastAsia" w:hAnsiTheme="minorHAnsi" w:cstheme="minorBidi"/>
          <w:noProof/>
          <w:sz w:val="22"/>
          <w:szCs w:val="22"/>
        </w:rPr>
      </w:pPr>
      <w:hyperlink w:anchor="_Toc395604620" w:history="1">
        <w:r w:rsidR="00A64830" w:rsidRPr="00965590">
          <w:rPr>
            <w:rStyle w:val="Hyperlink"/>
            <w:noProof/>
          </w:rPr>
          <w:t>5.</w:t>
        </w:r>
        <w:r w:rsidR="00A64830">
          <w:rPr>
            <w:rFonts w:asciiTheme="minorHAnsi" w:eastAsiaTheme="minorEastAsia" w:hAnsiTheme="minorHAnsi" w:cstheme="minorBidi"/>
            <w:noProof/>
            <w:sz w:val="22"/>
            <w:szCs w:val="22"/>
          </w:rPr>
          <w:tab/>
        </w:r>
        <w:r w:rsidR="00A64830" w:rsidRPr="00965590">
          <w:rPr>
            <w:rStyle w:val="Hyperlink"/>
            <w:noProof/>
          </w:rPr>
          <w:t>Grand Jury Proceedings</w:t>
        </w:r>
        <w:r w:rsidR="00A64830">
          <w:rPr>
            <w:noProof/>
            <w:webHidden/>
          </w:rPr>
          <w:tab/>
        </w:r>
        <w:r w:rsidR="00A64830">
          <w:rPr>
            <w:noProof/>
            <w:webHidden/>
          </w:rPr>
          <w:fldChar w:fldCharType="begin"/>
        </w:r>
        <w:r w:rsidR="00A64830">
          <w:rPr>
            <w:noProof/>
            <w:webHidden/>
          </w:rPr>
          <w:instrText xml:space="preserve"> PAGEREF _Toc395604620 \h </w:instrText>
        </w:r>
        <w:r w:rsidR="00A64830">
          <w:rPr>
            <w:noProof/>
            <w:webHidden/>
          </w:rPr>
        </w:r>
        <w:r w:rsidR="00A64830">
          <w:rPr>
            <w:noProof/>
            <w:webHidden/>
          </w:rPr>
          <w:fldChar w:fldCharType="separate"/>
        </w:r>
        <w:r w:rsidR="00042677">
          <w:rPr>
            <w:noProof/>
            <w:webHidden/>
          </w:rPr>
          <w:t>66</w:t>
        </w:r>
        <w:r w:rsidR="00A64830">
          <w:rPr>
            <w:noProof/>
            <w:webHidden/>
          </w:rPr>
          <w:fldChar w:fldCharType="end"/>
        </w:r>
      </w:hyperlink>
    </w:p>
    <w:p w:rsidR="00A64830" w:rsidRDefault="000F30C0" w:rsidP="00334983">
      <w:pPr>
        <w:pStyle w:val="TOC3"/>
        <w:rPr>
          <w:rFonts w:asciiTheme="minorHAnsi" w:eastAsiaTheme="minorEastAsia" w:hAnsiTheme="minorHAnsi" w:cstheme="minorBidi"/>
          <w:noProof/>
          <w:sz w:val="22"/>
          <w:szCs w:val="22"/>
        </w:rPr>
      </w:pPr>
      <w:hyperlink w:anchor="_Toc395604621" w:history="1">
        <w:r w:rsidR="00A64830" w:rsidRPr="00965590">
          <w:rPr>
            <w:rStyle w:val="Hyperlink"/>
            <w:noProof/>
          </w:rPr>
          <w:t>6.</w:t>
        </w:r>
        <w:r w:rsidR="00A64830">
          <w:rPr>
            <w:rFonts w:asciiTheme="minorHAnsi" w:eastAsiaTheme="minorEastAsia" w:hAnsiTheme="minorHAnsi" w:cstheme="minorBidi"/>
            <w:noProof/>
            <w:sz w:val="22"/>
            <w:szCs w:val="22"/>
          </w:rPr>
          <w:tab/>
        </w:r>
        <w:r w:rsidR="00A64830" w:rsidRPr="00965590">
          <w:rPr>
            <w:rStyle w:val="Hyperlink"/>
            <w:noProof/>
          </w:rPr>
          <w:t>Guilty Plea Withdrawal</w:t>
        </w:r>
        <w:r w:rsidR="00A64830">
          <w:rPr>
            <w:noProof/>
            <w:webHidden/>
          </w:rPr>
          <w:tab/>
        </w:r>
        <w:r w:rsidR="00A64830">
          <w:rPr>
            <w:noProof/>
            <w:webHidden/>
          </w:rPr>
          <w:fldChar w:fldCharType="begin"/>
        </w:r>
        <w:r w:rsidR="00A64830">
          <w:rPr>
            <w:noProof/>
            <w:webHidden/>
          </w:rPr>
          <w:instrText xml:space="preserve"> PAGEREF _Toc395604621 \h </w:instrText>
        </w:r>
        <w:r w:rsidR="00A64830">
          <w:rPr>
            <w:noProof/>
            <w:webHidden/>
          </w:rPr>
        </w:r>
        <w:r w:rsidR="00A64830">
          <w:rPr>
            <w:noProof/>
            <w:webHidden/>
          </w:rPr>
          <w:fldChar w:fldCharType="separate"/>
        </w:r>
        <w:r w:rsidR="00042677">
          <w:rPr>
            <w:noProof/>
            <w:webHidden/>
          </w:rPr>
          <w:t>66</w:t>
        </w:r>
        <w:r w:rsidR="00A64830">
          <w:rPr>
            <w:noProof/>
            <w:webHidden/>
          </w:rPr>
          <w:fldChar w:fldCharType="end"/>
        </w:r>
      </w:hyperlink>
    </w:p>
    <w:p w:rsidR="00A64830" w:rsidRDefault="000F30C0" w:rsidP="00334983">
      <w:pPr>
        <w:pStyle w:val="TOC3"/>
        <w:rPr>
          <w:rFonts w:asciiTheme="minorHAnsi" w:eastAsiaTheme="minorEastAsia" w:hAnsiTheme="minorHAnsi" w:cstheme="minorBidi"/>
          <w:noProof/>
          <w:sz w:val="22"/>
          <w:szCs w:val="22"/>
        </w:rPr>
      </w:pPr>
      <w:hyperlink w:anchor="_Toc395604622" w:history="1">
        <w:r w:rsidR="00A64830" w:rsidRPr="00965590">
          <w:rPr>
            <w:rStyle w:val="Hyperlink"/>
            <w:noProof/>
          </w:rPr>
          <w:t>7.</w:t>
        </w:r>
        <w:r w:rsidR="00A64830">
          <w:rPr>
            <w:rFonts w:asciiTheme="minorHAnsi" w:eastAsiaTheme="minorEastAsia" w:hAnsiTheme="minorHAnsi" w:cstheme="minorBidi"/>
            <w:noProof/>
            <w:sz w:val="22"/>
            <w:szCs w:val="22"/>
          </w:rPr>
          <w:tab/>
        </w:r>
        <w:r w:rsidR="00A64830" w:rsidRPr="00965590">
          <w:rPr>
            <w:rStyle w:val="Hyperlink"/>
            <w:noProof/>
          </w:rPr>
          <w:t>Plea Agreements</w:t>
        </w:r>
        <w:r w:rsidR="00A64830">
          <w:rPr>
            <w:noProof/>
            <w:webHidden/>
          </w:rPr>
          <w:tab/>
        </w:r>
        <w:r w:rsidR="00A64830">
          <w:rPr>
            <w:noProof/>
            <w:webHidden/>
          </w:rPr>
          <w:fldChar w:fldCharType="begin"/>
        </w:r>
        <w:r w:rsidR="00A64830">
          <w:rPr>
            <w:noProof/>
            <w:webHidden/>
          </w:rPr>
          <w:instrText xml:space="preserve"> PAGEREF _Toc395604622 \h </w:instrText>
        </w:r>
        <w:r w:rsidR="00A64830">
          <w:rPr>
            <w:noProof/>
            <w:webHidden/>
          </w:rPr>
        </w:r>
        <w:r w:rsidR="00A64830">
          <w:rPr>
            <w:noProof/>
            <w:webHidden/>
          </w:rPr>
          <w:fldChar w:fldCharType="separate"/>
        </w:r>
        <w:r w:rsidR="00042677">
          <w:rPr>
            <w:noProof/>
            <w:webHidden/>
          </w:rPr>
          <w:t>67</w:t>
        </w:r>
        <w:r w:rsidR="00A64830">
          <w:rPr>
            <w:noProof/>
            <w:webHidden/>
          </w:rPr>
          <w:fldChar w:fldCharType="end"/>
        </w:r>
      </w:hyperlink>
    </w:p>
    <w:p w:rsidR="00A64830" w:rsidRDefault="000F30C0" w:rsidP="00334983">
      <w:pPr>
        <w:pStyle w:val="TOC3"/>
        <w:rPr>
          <w:rFonts w:asciiTheme="minorHAnsi" w:eastAsiaTheme="minorEastAsia" w:hAnsiTheme="minorHAnsi" w:cstheme="minorBidi"/>
          <w:noProof/>
          <w:sz w:val="22"/>
          <w:szCs w:val="22"/>
        </w:rPr>
      </w:pPr>
      <w:hyperlink w:anchor="_Toc395604623" w:history="1">
        <w:r w:rsidR="00A64830" w:rsidRPr="00965590">
          <w:rPr>
            <w:rStyle w:val="Hyperlink"/>
            <w:noProof/>
          </w:rPr>
          <w:t>8.</w:t>
        </w:r>
        <w:r w:rsidR="00A64830">
          <w:rPr>
            <w:rFonts w:asciiTheme="minorHAnsi" w:eastAsiaTheme="minorEastAsia" w:hAnsiTheme="minorHAnsi" w:cstheme="minorBidi"/>
            <w:noProof/>
            <w:sz w:val="22"/>
            <w:szCs w:val="22"/>
          </w:rPr>
          <w:tab/>
        </w:r>
        <w:r w:rsidR="00A64830" w:rsidRPr="00965590">
          <w:rPr>
            <w:rStyle w:val="Hyperlink"/>
            <w:noProof/>
          </w:rPr>
          <w:t>Adverse Psychological Examinations</w:t>
        </w:r>
        <w:r w:rsidR="00A64830">
          <w:rPr>
            <w:noProof/>
            <w:webHidden/>
          </w:rPr>
          <w:tab/>
        </w:r>
        <w:r w:rsidR="00A64830">
          <w:rPr>
            <w:noProof/>
            <w:webHidden/>
          </w:rPr>
          <w:fldChar w:fldCharType="begin"/>
        </w:r>
        <w:r w:rsidR="00A64830">
          <w:rPr>
            <w:noProof/>
            <w:webHidden/>
          </w:rPr>
          <w:instrText xml:space="preserve"> PAGEREF _Toc395604623 \h </w:instrText>
        </w:r>
        <w:r w:rsidR="00A64830">
          <w:rPr>
            <w:noProof/>
            <w:webHidden/>
          </w:rPr>
        </w:r>
        <w:r w:rsidR="00A64830">
          <w:rPr>
            <w:noProof/>
            <w:webHidden/>
          </w:rPr>
          <w:fldChar w:fldCharType="separate"/>
        </w:r>
        <w:r w:rsidR="00042677">
          <w:rPr>
            <w:noProof/>
            <w:webHidden/>
          </w:rPr>
          <w:t>67</w:t>
        </w:r>
        <w:r w:rsidR="00A64830">
          <w:rPr>
            <w:noProof/>
            <w:webHidden/>
          </w:rPr>
          <w:fldChar w:fldCharType="end"/>
        </w:r>
      </w:hyperlink>
    </w:p>
    <w:p w:rsidR="00A64830" w:rsidRDefault="000F30C0" w:rsidP="00334983">
      <w:pPr>
        <w:pStyle w:val="TOC3"/>
        <w:rPr>
          <w:rFonts w:asciiTheme="minorHAnsi" w:eastAsiaTheme="minorEastAsia" w:hAnsiTheme="minorHAnsi" w:cstheme="minorBidi"/>
          <w:noProof/>
          <w:sz w:val="22"/>
          <w:szCs w:val="22"/>
        </w:rPr>
      </w:pPr>
      <w:hyperlink w:anchor="_Toc395604624" w:history="1">
        <w:r w:rsidR="00A64830" w:rsidRPr="00965590">
          <w:rPr>
            <w:rStyle w:val="Hyperlink"/>
            <w:noProof/>
          </w:rPr>
          <w:t>9.</w:t>
        </w:r>
        <w:r w:rsidR="00A64830">
          <w:rPr>
            <w:rFonts w:asciiTheme="minorHAnsi" w:eastAsiaTheme="minorEastAsia" w:hAnsiTheme="minorHAnsi" w:cstheme="minorBidi"/>
            <w:noProof/>
            <w:sz w:val="22"/>
            <w:szCs w:val="22"/>
          </w:rPr>
          <w:tab/>
        </w:r>
        <w:r w:rsidR="00A64830" w:rsidRPr="00965590">
          <w:rPr>
            <w:rStyle w:val="Hyperlink"/>
            <w:noProof/>
          </w:rPr>
          <w:t>Change of Venue</w:t>
        </w:r>
        <w:r w:rsidR="00A64830">
          <w:rPr>
            <w:noProof/>
            <w:webHidden/>
          </w:rPr>
          <w:tab/>
        </w:r>
        <w:r w:rsidR="00A64830">
          <w:rPr>
            <w:noProof/>
            <w:webHidden/>
          </w:rPr>
          <w:fldChar w:fldCharType="begin"/>
        </w:r>
        <w:r w:rsidR="00A64830">
          <w:rPr>
            <w:noProof/>
            <w:webHidden/>
          </w:rPr>
          <w:instrText xml:space="preserve"> PAGEREF _Toc395604624 \h </w:instrText>
        </w:r>
        <w:r w:rsidR="00A64830">
          <w:rPr>
            <w:noProof/>
            <w:webHidden/>
          </w:rPr>
        </w:r>
        <w:r w:rsidR="00A64830">
          <w:rPr>
            <w:noProof/>
            <w:webHidden/>
          </w:rPr>
          <w:fldChar w:fldCharType="separate"/>
        </w:r>
        <w:r w:rsidR="00042677">
          <w:rPr>
            <w:noProof/>
            <w:webHidden/>
          </w:rPr>
          <w:t>67</w:t>
        </w:r>
        <w:r w:rsidR="00A64830">
          <w:rPr>
            <w:noProof/>
            <w:webHidden/>
          </w:rPr>
          <w:fldChar w:fldCharType="end"/>
        </w:r>
      </w:hyperlink>
    </w:p>
    <w:p w:rsidR="00A64830" w:rsidRDefault="000F30C0" w:rsidP="00334983">
      <w:pPr>
        <w:pStyle w:val="TOC3"/>
        <w:rPr>
          <w:rFonts w:asciiTheme="minorHAnsi" w:eastAsiaTheme="minorEastAsia" w:hAnsiTheme="minorHAnsi" w:cstheme="minorBidi"/>
          <w:noProof/>
          <w:sz w:val="22"/>
          <w:szCs w:val="22"/>
        </w:rPr>
      </w:pPr>
      <w:hyperlink w:anchor="_Toc395604625" w:history="1">
        <w:r w:rsidR="00A64830" w:rsidRPr="00965590">
          <w:rPr>
            <w:rStyle w:val="Hyperlink"/>
            <w:noProof/>
          </w:rPr>
          <w:t>10.</w:t>
        </w:r>
        <w:r w:rsidR="00A64830">
          <w:rPr>
            <w:rFonts w:asciiTheme="minorHAnsi" w:eastAsiaTheme="minorEastAsia" w:hAnsiTheme="minorHAnsi" w:cstheme="minorBidi"/>
            <w:noProof/>
            <w:sz w:val="22"/>
            <w:szCs w:val="22"/>
          </w:rPr>
          <w:tab/>
        </w:r>
        <w:r w:rsidR="00A64830" w:rsidRPr="00965590">
          <w:rPr>
            <w:rStyle w:val="Hyperlink"/>
            <w:noProof/>
          </w:rPr>
          <w:t>Double Jeopardy</w:t>
        </w:r>
        <w:r w:rsidR="00A64830">
          <w:rPr>
            <w:noProof/>
            <w:webHidden/>
          </w:rPr>
          <w:tab/>
        </w:r>
        <w:r w:rsidR="00A64830">
          <w:rPr>
            <w:noProof/>
            <w:webHidden/>
          </w:rPr>
          <w:fldChar w:fldCharType="begin"/>
        </w:r>
        <w:r w:rsidR="00A64830">
          <w:rPr>
            <w:noProof/>
            <w:webHidden/>
          </w:rPr>
          <w:instrText xml:space="preserve"> PAGEREF _Toc395604625 \h </w:instrText>
        </w:r>
        <w:r w:rsidR="00A64830">
          <w:rPr>
            <w:noProof/>
            <w:webHidden/>
          </w:rPr>
        </w:r>
        <w:r w:rsidR="00A64830">
          <w:rPr>
            <w:noProof/>
            <w:webHidden/>
          </w:rPr>
          <w:fldChar w:fldCharType="separate"/>
        </w:r>
        <w:r w:rsidR="00042677">
          <w:rPr>
            <w:noProof/>
            <w:webHidden/>
          </w:rPr>
          <w:t>68</w:t>
        </w:r>
        <w:r w:rsidR="00A64830">
          <w:rPr>
            <w:noProof/>
            <w:webHidden/>
          </w:rPr>
          <w:fldChar w:fldCharType="end"/>
        </w:r>
      </w:hyperlink>
    </w:p>
    <w:p w:rsidR="00A64830" w:rsidRDefault="000F30C0" w:rsidP="00334983">
      <w:pPr>
        <w:pStyle w:val="TOC3"/>
        <w:rPr>
          <w:rFonts w:asciiTheme="minorHAnsi" w:eastAsiaTheme="minorEastAsia" w:hAnsiTheme="minorHAnsi" w:cstheme="minorBidi"/>
          <w:noProof/>
          <w:sz w:val="22"/>
          <w:szCs w:val="22"/>
        </w:rPr>
      </w:pPr>
      <w:hyperlink w:anchor="_Toc395604626" w:history="1">
        <w:r w:rsidR="00A64830" w:rsidRPr="00965590">
          <w:rPr>
            <w:rStyle w:val="Hyperlink"/>
            <w:noProof/>
          </w:rPr>
          <w:t>11.</w:t>
        </w:r>
        <w:r w:rsidR="00A64830">
          <w:rPr>
            <w:rFonts w:asciiTheme="minorHAnsi" w:eastAsiaTheme="minorEastAsia" w:hAnsiTheme="minorHAnsi" w:cstheme="minorBidi"/>
            <w:noProof/>
            <w:sz w:val="22"/>
            <w:szCs w:val="22"/>
          </w:rPr>
          <w:tab/>
        </w:r>
        <w:r w:rsidR="00A64830" w:rsidRPr="00965590">
          <w:rPr>
            <w:rStyle w:val="Hyperlink"/>
            <w:noProof/>
          </w:rPr>
          <w:t>Continuances</w:t>
        </w:r>
        <w:r w:rsidR="00A64830">
          <w:rPr>
            <w:noProof/>
            <w:webHidden/>
          </w:rPr>
          <w:tab/>
        </w:r>
        <w:r w:rsidR="00A64830">
          <w:rPr>
            <w:noProof/>
            <w:webHidden/>
          </w:rPr>
          <w:fldChar w:fldCharType="begin"/>
        </w:r>
        <w:r w:rsidR="00A64830">
          <w:rPr>
            <w:noProof/>
            <w:webHidden/>
          </w:rPr>
          <w:instrText xml:space="preserve"> PAGEREF _Toc395604626 \h </w:instrText>
        </w:r>
        <w:r w:rsidR="00A64830">
          <w:rPr>
            <w:noProof/>
            <w:webHidden/>
          </w:rPr>
        </w:r>
        <w:r w:rsidR="00A64830">
          <w:rPr>
            <w:noProof/>
            <w:webHidden/>
          </w:rPr>
          <w:fldChar w:fldCharType="separate"/>
        </w:r>
        <w:r w:rsidR="00042677">
          <w:rPr>
            <w:noProof/>
            <w:webHidden/>
          </w:rPr>
          <w:t>68</w:t>
        </w:r>
        <w:r w:rsidR="00A64830">
          <w:rPr>
            <w:noProof/>
            <w:webHidden/>
          </w:rPr>
          <w:fldChar w:fldCharType="end"/>
        </w:r>
      </w:hyperlink>
    </w:p>
    <w:p w:rsidR="00A64830" w:rsidRDefault="000F30C0" w:rsidP="00334983">
      <w:pPr>
        <w:pStyle w:val="TOC3"/>
        <w:rPr>
          <w:rFonts w:asciiTheme="minorHAnsi" w:eastAsiaTheme="minorEastAsia" w:hAnsiTheme="minorHAnsi" w:cstheme="minorBidi"/>
          <w:noProof/>
          <w:sz w:val="22"/>
          <w:szCs w:val="22"/>
        </w:rPr>
      </w:pPr>
      <w:hyperlink w:anchor="_Toc395604627" w:history="1">
        <w:r w:rsidR="00A64830" w:rsidRPr="00965590">
          <w:rPr>
            <w:rStyle w:val="Hyperlink"/>
            <w:noProof/>
          </w:rPr>
          <w:t>12.</w:t>
        </w:r>
        <w:r w:rsidR="00A64830">
          <w:rPr>
            <w:rFonts w:asciiTheme="minorHAnsi" w:eastAsiaTheme="minorEastAsia" w:hAnsiTheme="minorHAnsi" w:cstheme="minorBidi"/>
            <w:noProof/>
            <w:sz w:val="22"/>
            <w:szCs w:val="22"/>
          </w:rPr>
          <w:tab/>
        </w:r>
        <w:r w:rsidR="00A64830" w:rsidRPr="00965590">
          <w:rPr>
            <w:rStyle w:val="Hyperlink"/>
            <w:noProof/>
          </w:rPr>
          <w:t>Competency of Defendant</w:t>
        </w:r>
        <w:r w:rsidR="00A64830">
          <w:rPr>
            <w:noProof/>
            <w:webHidden/>
          </w:rPr>
          <w:tab/>
        </w:r>
        <w:r w:rsidR="00A64830">
          <w:rPr>
            <w:noProof/>
            <w:webHidden/>
          </w:rPr>
          <w:fldChar w:fldCharType="begin"/>
        </w:r>
        <w:r w:rsidR="00A64830">
          <w:rPr>
            <w:noProof/>
            <w:webHidden/>
          </w:rPr>
          <w:instrText xml:space="preserve"> PAGEREF _Toc395604627 \h </w:instrText>
        </w:r>
        <w:r w:rsidR="00A64830">
          <w:rPr>
            <w:noProof/>
            <w:webHidden/>
          </w:rPr>
        </w:r>
        <w:r w:rsidR="00A64830">
          <w:rPr>
            <w:noProof/>
            <w:webHidden/>
          </w:rPr>
          <w:fldChar w:fldCharType="separate"/>
        </w:r>
        <w:r w:rsidR="00042677">
          <w:rPr>
            <w:noProof/>
            <w:webHidden/>
          </w:rPr>
          <w:t>68</w:t>
        </w:r>
        <w:r w:rsidR="00A64830">
          <w:rPr>
            <w:noProof/>
            <w:webHidden/>
          </w:rPr>
          <w:fldChar w:fldCharType="end"/>
        </w:r>
      </w:hyperlink>
    </w:p>
    <w:p w:rsidR="00A64830" w:rsidRDefault="000F30C0" w:rsidP="00334983">
      <w:pPr>
        <w:pStyle w:val="TOC3"/>
        <w:rPr>
          <w:rFonts w:asciiTheme="minorHAnsi" w:eastAsiaTheme="minorEastAsia" w:hAnsiTheme="minorHAnsi" w:cstheme="minorBidi"/>
          <w:noProof/>
          <w:sz w:val="22"/>
          <w:szCs w:val="22"/>
        </w:rPr>
      </w:pPr>
      <w:hyperlink w:anchor="_Toc395604628" w:history="1">
        <w:r w:rsidR="00A64830" w:rsidRPr="00965590">
          <w:rPr>
            <w:rStyle w:val="Hyperlink"/>
            <w:noProof/>
          </w:rPr>
          <w:t>13.</w:t>
        </w:r>
        <w:r w:rsidR="00A64830">
          <w:rPr>
            <w:rFonts w:asciiTheme="minorHAnsi" w:eastAsiaTheme="minorEastAsia" w:hAnsiTheme="minorHAnsi" w:cstheme="minorBidi"/>
            <w:noProof/>
            <w:sz w:val="22"/>
            <w:szCs w:val="22"/>
          </w:rPr>
          <w:tab/>
        </w:r>
        <w:r w:rsidR="00A64830" w:rsidRPr="00965590">
          <w:rPr>
            <w:rStyle w:val="Hyperlink"/>
            <w:noProof/>
          </w:rPr>
          <w:t>Waiver of Counsel</w:t>
        </w:r>
        <w:r w:rsidR="00A64830">
          <w:rPr>
            <w:noProof/>
            <w:webHidden/>
          </w:rPr>
          <w:tab/>
        </w:r>
        <w:r w:rsidR="00A64830">
          <w:rPr>
            <w:noProof/>
            <w:webHidden/>
          </w:rPr>
          <w:fldChar w:fldCharType="begin"/>
        </w:r>
        <w:r w:rsidR="00A64830">
          <w:rPr>
            <w:noProof/>
            <w:webHidden/>
          </w:rPr>
          <w:instrText xml:space="preserve"> PAGEREF _Toc395604628 \h </w:instrText>
        </w:r>
        <w:r w:rsidR="00A64830">
          <w:rPr>
            <w:noProof/>
            <w:webHidden/>
          </w:rPr>
        </w:r>
        <w:r w:rsidR="00A64830">
          <w:rPr>
            <w:noProof/>
            <w:webHidden/>
          </w:rPr>
          <w:fldChar w:fldCharType="separate"/>
        </w:r>
        <w:r w:rsidR="00042677">
          <w:rPr>
            <w:noProof/>
            <w:webHidden/>
          </w:rPr>
          <w:t>68</w:t>
        </w:r>
        <w:r w:rsidR="00A64830">
          <w:rPr>
            <w:noProof/>
            <w:webHidden/>
          </w:rPr>
          <w:fldChar w:fldCharType="end"/>
        </w:r>
      </w:hyperlink>
    </w:p>
    <w:p w:rsidR="00A64830" w:rsidRDefault="000F30C0" w:rsidP="00334983">
      <w:pPr>
        <w:pStyle w:val="TOC3"/>
        <w:rPr>
          <w:rFonts w:asciiTheme="minorHAnsi" w:eastAsiaTheme="minorEastAsia" w:hAnsiTheme="minorHAnsi" w:cstheme="minorBidi"/>
          <w:noProof/>
          <w:sz w:val="22"/>
          <w:szCs w:val="22"/>
        </w:rPr>
      </w:pPr>
      <w:hyperlink w:anchor="_Toc395604629" w:history="1">
        <w:r w:rsidR="00A64830" w:rsidRPr="00965590">
          <w:rPr>
            <w:rStyle w:val="Hyperlink"/>
            <w:noProof/>
          </w:rPr>
          <w:t>14.</w:t>
        </w:r>
        <w:r w:rsidR="00A64830">
          <w:rPr>
            <w:rFonts w:asciiTheme="minorHAnsi" w:eastAsiaTheme="minorEastAsia" w:hAnsiTheme="minorHAnsi" w:cstheme="minorBidi"/>
            <w:noProof/>
            <w:sz w:val="22"/>
            <w:szCs w:val="22"/>
          </w:rPr>
          <w:tab/>
        </w:r>
        <w:r w:rsidR="00A64830" w:rsidRPr="00965590">
          <w:rPr>
            <w:rStyle w:val="Hyperlink"/>
            <w:noProof/>
          </w:rPr>
          <w:t>Substitution of Counsel</w:t>
        </w:r>
        <w:r w:rsidR="00A64830">
          <w:rPr>
            <w:noProof/>
            <w:webHidden/>
          </w:rPr>
          <w:tab/>
        </w:r>
        <w:r w:rsidR="00A64830">
          <w:rPr>
            <w:noProof/>
            <w:webHidden/>
          </w:rPr>
          <w:fldChar w:fldCharType="begin"/>
        </w:r>
        <w:r w:rsidR="00A64830">
          <w:rPr>
            <w:noProof/>
            <w:webHidden/>
          </w:rPr>
          <w:instrText xml:space="preserve"> PAGEREF _Toc395604629 \h </w:instrText>
        </w:r>
        <w:r w:rsidR="00A64830">
          <w:rPr>
            <w:noProof/>
            <w:webHidden/>
          </w:rPr>
        </w:r>
        <w:r w:rsidR="00A64830">
          <w:rPr>
            <w:noProof/>
            <w:webHidden/>
          </w:rPr>
          <w:fldChar w:fldCharType="separate"/>
        </w:r>
        <w:r w:rsidR="00042677">
          <w:rPr>
            <w:noProof/>
            <w:webHidden/>
          </w:rPr>
          <w:t>68</w:t>
        </w:r>
        <w:r w:rsidR="00A64830">
          <w:rPr>
            <w:noProof/>
            <w:webHidden/>
          </w:rPr>
          <w:fldChar w:fldCharType="end"/>
        </w:r>
      </w:hyperlink>
    </w:p>
    <w:p w:rsidR="00A64830" w:rsidRDefault="000F30C0" w:rsidP="00334983">
      <w:pPr>
        <w:pStyle w:val="TOC3"/>
        <w:rPr>
          <w:rFonts w:asciiTheme="minorHAnsi" w:eastAsiaTheme="minorEastAsia" w:hAnsiTheme="minorHAnsi" w:cstheme="minorBidi"/>
          <w:noProof/>
          <w:sz w:val="22"/>
          <w:szCs w:val="22"/>
        </w:rPr>
      </w:pPr>
      <w:hyperlink w:anchor="_Toc395604630" w:history="1">
        <w:r w:rsidR="00A64830" w:rsidRPr="00965590">
          <w:rPr>
            <w:rStyle w:val="Hyperlink"/>
            <w:noProof/>
          </w:rPr>
          <w:t>15.</w:t>
        </w:r>
        <w:r w:rsidR="00A64830">
          <w:rPr>
            <w:rFonts w:asciiTheme="minorHAnsi" w:eastAsiaTheme="minorEastAsia" w:hAnsiTheme="minorHAnsi" w:cstheme="minorBidi"/>
            <w:noProof/>
            <w:sz w:val="22"/>
            <w:szCs w:val="22"/>
          </w:rPr>
          <w:tab/>
        </w:r>
        <w:r w:rsidR="00A64830" w:rsidRPr="00965590">
          <w:rPr>
            <w:rStyle w:val="Hyperlink"/>
            <w:noProof/>
          </w:rPr>
          <w:t>Speedy Trial</w:t>
        </w:r>
        <w:r w:rsidR="00A64830">
          <w:rPr>
            <w:noProof/>
            <w:webHidden/>
          </w:rPr>
          <w:tab/>
        </w:r>
        <w:r w:rsidR="00A64830">
          <w:rPr>
            <w:noProof/>
            <w:webHidden/>
          </w:rPr>
          <w:fldChar w:fldCharType="begin"/>
        </w:r>
        <w:r w:rsidR="00A64830">
          <w:rPr>
            <w:noProof/>
            <w:webHidden/>
          </w:rPr>
          <w:instrText xml:space="preserve"> PAGEREF _Toc395604630 \h </w:instrText>
        </w:r>
        <w:r w:rsidR="00A64830">
          <w:rPr>
            <w:noProof/>
            <w:webHidden/>
          </w:rPr>
        </w:r>
        <w:r w:rsidR="00A64830">
          <w:rPr>
            <w:noProof/>
            <w:webHidden/>
          </w:rPr>
          <w:fldChar w:fldCharType="separate"/>
        </w:r>
        <w:r w:rsidR="00042677">
          <w:rPr>
            <w:noProof/>
            <w:webHidden/>
          </w:rPr>
          <w:t>69</w:t>
        </w:r>
        <w:r w:rsidR="00A64830">
          <w:rPr>
            <w:noProof/>
            <w:webHidden/>
          </w:rPr>
          <w:fldChar w:fldCharType="end"/>
        </w:r>
      </w:hyperlink>
    </w:p>
    <w:p w:rsidR="00A64830" w:rsidRDefault="000F30C0" w:rsidP="00334983">
      <w:pPr>
        <w:pStyle w:val="TOC3"/>
        <w:rPr>
          <w:rFonts w:asciiTheme="minorHAnsi" w:eastAsiaTheme="minorEastAsia" w:hAnsiTheme="minorHAnsi" w:cstheme="minorBidi"/>
          <w:noProof/>
          <w:sz w:val="22"/>
          <w:szCs w:val="22"/>
        </w:rPr>
      </w:pPr>
      <w:hyperlink w:anchor="_Toc395604631" w:history="1">
        <w:r w:rsidR="00A64830" w:rsidRPr="00965590">
          <w:rPr>
            <w:rStyle w:val="Hyperlink"/>
            <w:noProof/>
          </w:rPr>
          <w:t>16.</w:t>
        </w:r>
        <w:r w:rsidR="00A64830">
          <w:rPr>
            <w:rFonts w:asciiTheme="minorHAnsi" w:eastAsiaTheme="minorEastAsia" w:hAnsiTheme="minorHAnsi" w:cstheme="minorBidi"/>
            <w:noProof/>
            <w:sz w:val="22"/>
            <w:szCs w:val="22"/>
          </w:rPr>
          <w:tab/>
        </w:r>
        <w:r w:rsidR="00A64830" w:rsidRPr="00965590">
          <w:rPr>
            <w:rStyle w:val="Hyperlink"/>
            <w:noProof/>
          </w:rPr>
          <w:t>Joinder and Severance of Defendants</w:t>
        </w:r>
        <w:r w:rsidR="00A64830">
          <w:rPr>
            <w:noProof/>
            <w:webHidden/>
          </w:rPr>
          <w:tab/>
        </w:r>
        <w:r w:rsidR="00A64830">
          <w:rPr>
            <w:noProof/>
            <w:webHidden/>
          </w:rPr>
          <w:fldChar w:fldCharType="begin"/>
        </w:r>
        <w:r w:rsidR="00A64830">
          <w:rPr>
            <w:noProof/>
            <w:webHidden/>
          </w:rPr>
          <w:instrText xml:space="preserve"> PAGEREF _Toc395604631 \h </w:instrText>
        </w:r>
        <w:r w:rsidR="00A64830">
          <w:rPr>
            <w:noProof/>
            <w:webHidden/>
          </w:rPr>
        </w:r>
        <w:r w:rsidR="00A64830">
          <w:rPr>
            <w:noProof/>
            <w:webHidden/>
          </w:rPr>
          <w:fldChar w:fldCharType="separate"/>
        </w:r>
        <w:r w:rsidR="00042677">
          <w:rPr>
            <w:noProof/>
            <w:webHidden/>
          </w:rPr>
          <w:t>69</w:t>
        </w:r>
        <w:r w:rsidR="00A64830">
          <w:rPr>
            <w:noProof/>
            <w:webHidden/>
          </w:rPr>
          <w:fldChar w:fldCharType="end"/>
        </w:r>
      </w:hyperlink>
    </w:p>
    <w:p w:rsidR="00A64830" w:rsidRDefault="000F30C0" w:rsidP="00334983">
      <w:pPr>
        <w:pStyle w:val="TOC3"/>
        <w:rPr>
          <w:rFonts w:asciiTheme="minorHAnsi" w:eastAsiaTheme="minorEastAsia" w:hAnsiTheme="minorHAnsi" w:cstheme="minorBidi"/>
          <w:noProof/>
          <w:sz w:val="22"/>
          <w:szCs w:val="22"/>
        </w:rPr>
      </w:pPr>
      <w:hyperlink w:anchor="_Toc395604632" w:history="1">
        <w:r w:rsidR="00A64830" w:rsidRPr="00965590">
          <w:rPr>
            <w:rStyle w:val="Hyperlink"/>
            <w:noProof/>
          </w:rPr>
          <w:t>17.</w:t>
        </w:r>
        <w:r w:rsidR="00A64830">
          <w:rPr>
            <w:rFonts w:asciiTheme="minorHAnsi" w:eastAsiaTheme="minorEastAsia" w:hAnsiTheme="minorHAnsi" w:cstheme="minorBidi"/>
            <w:noProof/>
            <w:sz w:val="22"/>
            <w:szCs w:val="22"/>
          </w:rPr>
          <w:tab/>
        </w:r>
        <w:r w:rsidR="00A64830" w:rsidRPr="00965590">
          <w:rPr>
            <w:rStyle w:val="Hyperlink"/>
            <w:noProof/>
          </w:rPr>
          <w:t>Joinder of Offenses</w:t>
        </w:r>
        <w:r w:rsidR="00A64830">
          <w:rPr>
            <w:noProof/>
            <w:webHidden/>
          </w:rPr>
          <w:tab/>
        </w:r>
        <w:r w:rsidR="00A64830">
          <w:rPr>
            <w:noProof/>
            <w:webHidden/>
          </w:rPr>
          <w:fldChar w:fldCharType="begin"/>
        </w:r>
        <w:r w:rsidR="00A64830">
          <w:rPr>
            <w:noProof/>
            <w:webHidden/>
          </w:rPr>
          <w:instrText xml:space="preserve"> PAGEREF _Toc395604632 \h </w:instrText>
        </w:r>
        <w:r w:rsidR="00A64830">
          <w:rPr>
            <w:noProof/>
            <w:webHidden/>
          </w:rPr>
        </w:r>
        <w:r w:rsidR="00A64830">
          <w:rPr>
            <w:noProof/>
            <w:webHidden/>
          </w:rPr>
          <w:fldChar w:fldCharType="separate"/>
        </w:r>
        <w:r w:rsidR="00042677">
          <w:rPr>
            <w:noProof/>
            <w:webHidden/>
          </w:rPr>
          <w:t>69</w:t>
        </w:r>
        <w:r w:rsidR="00A64830">
          <w:rPr>
            <w:noProof/>
            <w:webHidden/>
          </w:rPr>
          <w:fldChar w:fldCharType="end"/>
        </w:r>
      </w:hyperlink>
    </w:p>
    <w:p w:rsidR="00A64830" w:rsidRDefault="000F30C0" w:rsidP="00334983">
      <w:pPr>
        <w:pStyle w:val="TOC3"/>
        <w:rPr>
          <w:rStyle w:val="Hyperlink"/>
          <w:noProof/>
        </w:rPr>
      </w:pPr>
      <w:hyperlink w:anchor="_Toc395604633" w:history="1">
        <w:r w:rsidR="00A64830" w:rsidRPr="00965590">
          <w:rPr>
            <w:rStyle w:val="Hyperlink"/>
            <w:noProof/>
          </w:rPr>
          <w:t>18.</w:t>
        </w:r>
        <w:r w:rsidR="00A64830">
          <w:rPr>
            <w:rFonts w:asciiTheme="minorHAnsi" w:eastAsiaTheme="minorEastAsia" w:hAnsiTheme="minorHAnsi" w:cstheme="minorBidi"/>
            <w:noProof/>
            <w:sz w:val="22"/>
            <w:szCs w:val="22"/>
          </w:rPr>
          <w:tab/>
        </w:r>
        <w:r w:rsidR="00A64830" w:rsidRPr="00965590">
          <w:rPr>
            <w:rStyle w:val="Hyperlink"/>
            <w:noProof/>
          </w:rPr>
          <w:t>Jurisdiction</w:t>
        </w:r>
        <w:r w:rsidR="00A64830">
          <w:rPr>
            <w:noProof/>
            <w:webHidden/>
          </w:rPr>
          <w:tab/>
        </w:r>
        <w:r w:rsidR="00A64830">
          <w:rPr>
            <w:noProof/>
            <w:webHidden/>
          </w:rPr>
          <w:fldChar w:fldCharType="begin"/>
        </w:r>
        <w:r w:rsidR="00A64830">
          <w:rPr>
            <w:noProof/>
            <w:webHidden/>
          </w:rPr>
          <w:instrText xml:space="preserve"> PAGEREF _Toc395604633 \h </w:instrText>
        </w:r>
        <w:r w:rsidR="00A64830">
          <w:rPr>
            <w:noProof/>
            <w:webHidden/>
          </w:rPr>
        </w:r>
        <w:r w:rsidR="00A64830">
          <w:rPr>
            <w:noProof/>
            <w:webHidden/>
          </w:rPr>
          <w:fldChar w:fldCharType="separate"/>
        </w:r>
        <w:r w:rsidR="00042677">
          <w:rPr>
            <w:noProof/>
            <w:webHidden/>
          </w:rPr>
          <w:t>69</w:t>
        </w:r>
        <w:r w:rsidR="00A64830">
          <w:rPr>
            <w:noProof/>
            <w:webHidden/>
          </w:rPr>
          <w:fldChar w:fldCharType="end"/>
        </w:r>
      </w:hyperlink>
    </w:p>
    <w:p w:rsidR="00334983" w:rsidRPr="00334983" w:rsidRDefault="00334983" w:rsidP="00334983">
      <w:pPr>
        <w:rPr>
          <w:rFonts w:eastAsiaTheme="minorEastAsia"/>
        </w:rPr>
      </w:pPr>
    </w:p>
    <w:p w:rsidR="00A64830" w:rsidRDefault="000F30C0" w:rsidP="00334983">
      <w:pPr>
        <w:pStyle w:val="TOC2"/>
        <w:rPr>
          <w:rFonts w:asciiTheme="minorHAnsi" w:eastAsiaTheme="minorEastAsia" w:hAnsiTheme="minorHAnsi" w:cstheme="minorBidi"/>
          <w:noProof/>
          <w:sz w:val="22"/>
          <w:szCs w:val="22"/>
        </w:rPr>
      </w:pPr>
      <w:hyperlink w:anchor="_Toc395604634" w:history="1">
        <w:r w:rsidR="00A64830" w:rsidRPr="00965590">
          <w:rPr>
            <w:rStyle w:val="Hyperlink"/>
            <w:noProof/>
          </w:rPr>
          <w:t>C.</w:t>
        </w:r>
        <w:r w:rsidR="00A64830">
          <w:rPr>
            <w:rFonts w:asciiTheme="minorHAnsi" w:eastAsiaTheme="minorEastAsia" w:hAnsiTheme="minorHAnsi" w:cstheme="minorBidi"/>
            <w:noProof/>
            <w:sz w:val="22"/>
            <w:szCs w:val="22"/>
          </w:rPr>
          <w:tab/>
        </w:r>
        <w:r w:rsidR="00A64830" w:rsidRPr="00965590">
          <w:rPr>
            <w:rStyle w:val="Hyperlink"/>
            <w:noProof/>
          </w:rPr>
          <w:t>TRIAL MATTERS</w:t>
        </w:r>
        <w:r w:rsidR="00A64830">
          <w:rPr>
            <w:noProof/>
            <w:webHidden/>
          </w:rPr>
          <w:tab/>
        </w:r>
        <w:r w:rsidR="00A64830">
          <w:rPr>
            <w:noProof/>
            <w:webHidden/>
          </w:rPr>
          <w:fldChar w:fldCharType="begin"/>
        </w:r>
        <w:r w:rsidR="00A64830">
          <w:rPr>
            <w:noProof/>
            <w:webHidden/>
          </w:rPr>
          <w:instrText xml:space="preserve"> PAGEREF _Toc395604634 \h </w:instrText>
        </w:r>
        <w:r w:rsidR="00A64830">
          <w:rPr>
            <w:noProof/>
            <w:webHidden/>
          </w:rPr>
        </w:r>
        <w:r w:rsidR="00A64830">
          <w:rPr>
            <w:noProof/>
            <w:webHidden/>
          </w:rPr>
          <w:fldChar w:fldCharType="separate"/>
        </w:r>
        <w:r w:rsidR="00042677">
          <w:rPr>
            <w:noProof/>
            <w:webHidden/>
          </w:rPr>
          <w:t>69</w:t>
        </w:r>
        <w:r w:rsidR="00A64830">
          <w:rPr>
            <w:noProof/>
            <w:webHidden/>
          </w:rPr>
          <w:fldChar w:fldCharType="end"/>
        </w:r>
      </w:hyperlink>
    </w:p>
    <w:p w:rsidR="00A64830" w:rsidRDefault="000F30C0" w:rsidP="00334983">
      <w:pPr>
        <w:pStyle w:val="TOC3"/>
        <w:rPr>
          <w:rFonts w:asciiTheme="minorHAnsi" w:eastAsiaTheme="minorEastAsia" w:hAnsiTheme="minorHAnsi" w:cstheme="minorBidi"/>
          <w:noProof/>
          <w:sz w:val="22"/>
          <w:szCs w:val="22"/>
        </w:rPr>
      </w:pPr>
      <w:hyperlink w:anchor="_Toc395604635" w:history="1">
        <w:r w:rsidR="00A64830" w:rsidRPr="00965590">
          <w:rPr>
            <w:rStyle w:val="Hyperlink"/>
            <w:noProof/>
          </w:rPr>
          <w:t>1.</w:t>
        </w:r>
        <w:r w:rsidR="00A64830">
          <w:rPr>
            <w:rFonts w:asciiTheme="minorHAnsi" w:eastAsiaTheme="minorEastAsia" w:hAnsiTheme="minorHAnsi" w:cstheme="minorBidi"/>
            <w:noProof/>
            <w:sz w:val="22"/>
            <w:szCs w:val="22"/>
          </w:rPr>
          <w:tab/>
        </w:r>
        <w:r w:rsidR="00A64830" w:rsidRPr="00965590">
          <w:rPr>
            <w:rStyle w:val="Hyperlink"/>
            <w:noProof/>
          </w:rPr>
          <w:t>Jury Selection</w:t>
        </w:r>
        <w:r w:rsidR="00A64830">
          <w:rPr>
            <w:noProof/>
            <w:webHidden/>
          </w:rPr>
          <w:tab/>
        </w:r>
        <w:r w:rsidR="00A64830">
          <w:rPr>
            <w:noProof/>
            <w:webHidden/>
          </w:rPr>
          <w:fldChar w:fldCharType="begin"/>
        </w:r>
        <w:r w:rsidR="00A64830">
          <w:rPr>
            <w:noProof/>
            <w:webHidden/>
          </w:rPr>
          <w:instrText xml:space="preserve"> PAGEREF _Toc395604635 \h </w:instrText>
        </w:r>
        <w:r w:rsidR="00A64830">
          <w:rPr>
            <w:noProof/>
            <w:webHidden/>
          </w:rPr>
        </w:r>
        <w:r w:rsidR="00A64830">
          <w:rPr>
            <w:noProof/>
            <w:webHidden/>
          </w:rPr>
          <w:fldChar w:fldCharType="separate"/>
        </w:r>
        <w:r w:rsidR="00042677">
          <w:rPr>
            <w:noProof/>
            <w:webHidden/>
          </w:rPr>
          <w:t>69</w:t>
        </w:r>
        <w:r w:rsidR="00A64830">
          <w:rPr>
            <w:noProof/>
            <w:webHidden/>
          </w:rPr>
          <w:fldChar w:fldCharType="end"/>
        </w:r>
      </w:hyperlink>
    </w:p>
    <w:p w:rsidR="00A64830" w:rsidRDefault="000F30C0" w:rsidP="00334983">
      <w:pPr>
        <w:pStyle w:val="TOC4"/>
        <w:tabs>
          <w:tab w:val="left" w:pos="1200"/>
          <w:tab w:val="right" w:leader="dot" w:pos="9350"/>
        </w:tabs>
        <w:spacing w:after="0"/>
        <w:rPr>
          <w:rFonts w:asciiTheme="minorHAnsi" w:eastAsiaTheme="minorEastAsia" w:hAnsiTheme="minorHAnsi" w:cstheme="minorBidi"/>
          <w:noProof/>
          <w:sz w:val="22"/>
          <w:szCs w:val="22"/>
        </w:rPr>
      </w:pPr>
      <w:hyperlink w:anchor="_Toc395604636" w:history="1">
        <w:r w:rsidR="00A64830" w:rsidRPr="00965590">
          <w:rPr>
            <w:rStyle w:val="Hyperlink"/>
            <w:noProof/>
          </w:rPr>
          <w:t>a.</w:t>
        </w:r>
        <w:r w:rsidR="00A64830">
          <w:rPr>
            <w:rFonts w:asciiTheme="minorHAnsi" w:eastAsiaTheme="minorEastAsia" w:hAnsiTheme="minorHAnsi" w:cstheme="minorBidi"/>
            <w:noProof/>
            <w:sz w:val="22"/>
            <w:szCs w:val="22"/>
          </w:rPr>
          <w:tab/>
        </w:r>
        <w:r w:rsidR="00A64830" w:rsidRPr="00965590">
          <w:rPr>
            <w:rStyle w:val="Hyperlink"/>
            <w:noProof/>
          </w:rPr>
          <w:t>Peremptory Challenges</w:t>
        </w:r>
        <w:r w:rsidR="00A64830">
          <w:rPr>
            <w:noProof/>
            <w:webHidden/>
          </w:rPr>
          <w:tab/>
        </w:r>
        <w:r w:rsidR="00A64830">
          <w:rPr>
            <w:noProof/>
            <w:webHidden/>
          </w:rPr>
          <w:fldChar w:fldCharType="begin"/>
        </w:r>
        <w:r w:rsidR="00A64830">
          <w:rPr>
            <w:noProof/>
            <w:webHidden/>
          </w:rPr>
          <w:instrText xml:space="preserve"> PAGEREF _Toc395604636 \h </w:instrText>
        </w:r>
        <w:r w:rsidR="00A64830">
          <w:rPr>
            <w:noProof/>
            <w:webHidden/>
          </w:rPr>
        </w:r>
        <w:r w:rsidR="00A64830">
          <w:rPr>
            <w:noProof/>
            <w:webHidden/>
          </w:rPr>
          <w:fldChar w:fldCharType="separate"/>
        </w:r>
        <w:r w:rsidR="00042677">
          <w:rPr>
            <w:noProof/>
            <w:webHidden/>
          </w:rPr>
          <w:t>69</w:t>
        </w:r>
        <w:r w:rsidR="00A64830">
          <w:rPr>
            <w:noProof/>
            <w:webHidden/>
          </w:rPr>
          <w:fldChar w:fldCharType="end"/>
        </w:r>
      </w:hyperlink>
    </w:p>
    <w:p w:rsidR="00A64830" w:rsidRDefault="000F30C0" w:rsidP="00334983">
      <w:pPr>
        <w:pStyle w:val="TOC4"/>
        <w:tabs>
          <w:tab w:val="left" w:pos="1200"/>
          <w:tab w:val="right" w:leader="dot" w:pos="9350"/>
        </w:tabs>
        <w:spacing w:after="0"/>
        <w:rPr>
          <w:rFonts w:asciiTheme="minorHAnsi" w:eastAsiaTheme="minorEastAsia" w:hAnsiTheme="minorHAnsi" w:cstheme="minorBidi"/>
          <w:noProof/>
          <w:sz w:val="22"/>
          <w:szCs w:val="22"/>
        </w:rPr>
      </w:pPr>
      <w:hyperlink w:anchor="_Toc395604637" w:history="1">
        <w:r w:rsidR="00A64830" w:rsidRPr="00965590">
          <w:rPr>
            <w:rStyle w:val="Hyperlink"/>
            <w:noProof/>
          </w:rPr>
          <w:t>b.</w:t>
        </w:r>
        <w:r w:rsidR="00A64830">
          <w:rPr>
            <w:rFonts w:asciiTheme="minorHAnsi" w:eastAsiaTheme="minorEastAsia" w:hAnsiTheme="minorHAnsi" w:cstheme="minorBidi"/>
            <w:noProof/>
            <w:sz w:val="22"/>
            <w:szCs w:val="22"/>
          </w:rPr>
          <w:tab/>
        </w:r>
        <w:r w:rsidR="00A64830" w:rsidRPr="00965590">
          <w:rPr>
            <w:rStyle w:val="Hyperlink"/>
            <w:noProof/>
          </w:rPr>
          <w:t>Batson Challenges</w:t>
        </w:r>
        <w:r w:rsidR="00A64830">
          <w:rPr>
            <w:noProof/>
            <w:webHidden/>
          </w:rPr>
          <w:tab/>
        </w:r>
        <w:r w:rsidR="00A64830">
          <w:rPr>
            <w:noProof/>
            <w:webHidden/>
          </w:rPr>
          <w:fldChar w:fldCharType="begin"/>
        </w:r>
        <w:r w:rsidR="00A64830">
          <w:rPr>
            <w:noProof/>
            <w:webHidden/>
          </w:rPr>
          <w:instrText xml:space="preserve"> PAGEREF _Toc395604637 \h </w:instrText>
        </w:r>
        <w:r w:rsidR="00A64830">
          <w:rPr>
            <w:noProof/>
            <w:webHidden/>
          </w:rPr>
        </w:r>
        <w:r w:rsidR="00A64830">
          <w:rPr>
            <w:noProof/>
            <w:webHidden/>
          </w:rPr>
          <w:fldChar w:fldCharType="separate"/>
        </w:r>
        <w:r w:rsidR="00042677">
          <w:rPr>
            <w:noProof/>
            <w:webHidden/>
          </w:rPr>
          <w:t>70</w:t>
        </w:r>
        <w:r w:rsidR="00A64830">
          <w:rPr>
            <w:noProof/>
            <w:webHidden/>
          </w:rPr>
          <w:fldChar w:fldCharType="end"/>
        </w:r>
      </w:hyperlink>
    </w:p>
    <w:p w:rsidR="00A64830" w:rsidRDefault="000F30C0" w:rsidP="00334983">
      <w:pPr>
        <w:pStyle w:val="TOC5"/>
        <w:tabs>
          <w:tab w:val="left" w:pos="1540"/>
          <w:tab w:val="right" w:leader="dot" w:pos="9350"/>
        </w:tabs>
        <w:spacing w:after="0"/>
        <w:rPr>
          <w:rFonts w:asciiTheme="minorHAnsi" w:eastAsiaTheme="minorEastAsia" w:hAnsiTheme="minorHAnsi" w:cstheme="minorBidi"/>
          <w:noProof/>
          <w:sz w:val="22"/>
          <w:szCs w:val="22"/>
        </w:rPr>
      </w:pPr>
      <w:hyperlink w:anchor="_Toc395604638" w:history="1">
        <w:r w:rsidR="00A64830" w:rsidRPr="00965590">
          <w:rPr>
            <w:rStyle w:val="Hyperlink"/>
            <w:noProof/>
          </w:rPr>
          <w:t>(1)</w:t>
        </w:r>
        <w:r w:rsidR="00A64830">
          <w:rPr>
            <w:rFonts w:asciiTheme="minorHAnsi" w:eastAsiaTheme="minorEastAsia" w:hAnsiTheme="minorHAnsi" w:cstheme="minorBidi"/>
            <w:noProof/>
            <w:sz w:val="22"/>
            <w:szCs w:val="22"/>
          </w:rPr>
          <w:tab/>
        </w:r>
        <w:r w:rsidR="00A64830" w:rsidRPr="00965590">
          <w:rPr>
            <w:rStyle w:val="Hyperlink"/>
            <w:noProof/>
          </w:rPr>
          <w:t>General</w:t>
        </w:r>
        <w:r w:rsidR="00A64830">
          <w:rPr>
            <w:noProof/>
            <w:webHidden/>
          </w:rPr>
          <w:tab/>
        </w:r>
        <w:r w:rsidR="00A64830">
          <w:rPr>
            <w:noProof/>
            <w:webHidden/>
          </w:rPr>
          <w:fldChar w:fldCharType="begin"/>
        </w:r>
        <w:r w:rsidR="00A64830">
          <w:rPr>
            <w:noProof/>
            <w:webHidden/>
          </w:rPr>
          <w:instrText xml:space="preserve"> PAGEREF _Toc395604638 \h </w:instrText>
        </w:r>
        <w:r w:rsidR="00A64830">
          <w:rPr>
            <w:noProof/>
            <w:webHidden/>
          </w:rPr>
        </w:r>
        <w:r w:rsidR="00A64830">
          <w:rPr>
            <w:noProof/>
            <w:webHidden/>
          </w:rPr>
          <w:fldChar w:fldCharType="separate"/>
        </w:r>
        <w:r w:rsidR="00042677">
          <w:rPr>
            <w:noProof/>
            <w:webHidden/>
          </w:rPr>
          <w:t>70</w:t>
        </w:r>
        <w:r w:rsidR="00A64830">
          <w:rPr>
            <w:noProof/>
            <w:webHidden/>
          </w:rPr>
          <w:fldChar w:fldCharType="end"/>
        </w:r>
      </w:hyperlink>
    </w:p>
    <w:p w:rsidR="00A64830" w:rsidRDefault="000F30C0" w:rsidP="00334983">
      <w:pPr>
        <w:pStyle w:val="TOC5"/>
        <w:tabs>
          <w:tab w:val="left" w:pos="1540"/>
          <w:tab w:val="right" w:leader="dot" w:pos="9350"/>
        </w:tabs>
        <w:spacing w:after="0"/>
        <w:rPr>
          <w:rFonts w:asciiTheme="minorHAnsi" w:eastAsiaTheme="minorEastAsia" w:hAnsiTheme="minorHAnsi" w:cstheme="minorBidi"/>
          <w:noProof/>
          <w:sz w:val="22"/>
          <w:szCs w:val="22"/>
        </w:rPr>
      </w:pPr>
      <w:hyperlink w:anchor="_Toc395604639" w:history="1">
        <w:r w:rsidR="00A64830" w:rsidRPr="00965590">
          <w:rPr>
            <w:rStyle w:val="Hyperlink"/>
            <w:noProof/>
          </w:rPr>
          <w:t>(2)</w:t>
        </w:r>
        <w:r w:rsidR="00A64830">
          <w:rPr>
            <w:rFonts w:asciiTheme="minorHAnsi" w:eastAsiaTheme="minorEastAsia" w:hAnsiTheme="minorHAnsi" w:cstheme="minorBidi"/>
            <w:noProof/>
            <w:sz w:val="22"/>
            <w:szCs w:val="22"/>
          </w:rPr>
          <w:tab/>
        </w:r>
        <w:r w:rsidR="00A64830" w:rsidRPr="00965590">
          <w:rPr>
            <w:rStyle w:val="Hyperlink"/>
            <w:noProof/>
          </w:rPr>
          <w:t>Prong one—prima facie case of discrimination</w:t>
        </w:r>
        <w:r w:rsidR="00A64830">
          <w:rPr>
            <w:noProof/>
            <w:webHidden/>
          </w:rPr>
          <w:tab/>
        </w:r>
        <w:r w:rsidR="00A64830">
          <w:rPr>
            <w:noProof/>
            <w:webHidden/>
          </w:rPr>
          <w:fldChar w:fldCharType="begin"/>
        </w:r>
        <w:r w:rsidR="00A64830">
          <w:rPr>
            <w:noProof/>
            <w:webHidden/>
          </w:rPr>
          <w:instrText xml:space="preserve"> PAGEREF _Toc395604639 \h </w:instrText>
        </w:r>
        <w:r w:rsidR="00A64830">
          <w:rPr>
            <w:noProof/>
            <w:webHidden/>
          </w:rPr>
        </w:r>
        <w:r w:rsidR="00A64830">
          <w:rPr>
            <w:noProof/>
            <w:webHidden/>
          </w:rPr>
          <w:fldChar w:fldCharType="separate"/>
        </w:r>
        <w:r w:rsidR="00042677">
          <w:rPr>
            <w:noProof/>
            <w:webHidden/>
          </w:rPr>
          <w:t>70</w:t>
        </w:r>
        <w:r w:rsidR="00A64830">
          <w:rPr>
            <w:noProof/>
            <w:webHidden/>
          </w:rPr>
          <w:fldChar w:fldCharType="end"/>
        </w:r>
      </w:hyperlink>
    </w:p>
    <w:p w:rsidR="00A64830" w:rsidRDefault="000F30C0" w:rsidP="00334983">
      <w:pPr>
        <w:pStyle w:val="TOC5"/>
        <w:tabs>
          <w:tab w:val="left" w:pos="1540"/>
          <w:tab w:val="right" w:leader="dot" w:pos="9350"/>
        </w:tabs>
        <w:spacing w:after="0"/>
        <w:rPr>
          <w:rFonts w:asciiTheme="minorHAnsi" w:eastAsiaTheme="minorEastAsia" w:hAnsiTheme="minorHAnsi" w:cstheme="minorBidi"/>
          <w:noProof/>
          <w:sz w:val="22"/>
          <w:szCs w:val="22"/>
        </w:rPr>
      </w:pPr>
      <w:hyperlink w:anchor="_Toc395604640" w:history="1">
        <w:r w:rsidR="00A64830" w:rsidRPr="00965590">
          <w:rPr>
            <w:rStyle w:val="Hyperlink"/>
            <w:noProof/>
          </w:rPr>
          <w:t>(3)</w:t>
        </w:r>
        <w:r w:rsidR="00A64830">
          <w:rPr>
            <w:rFonts w:asciiTheme="minorHAnsi" w:eastAsiaTheme="minorEastAsia" w:hAnsiTheme="minorHAnsi" w:cstheme="minorBidi"/>
            <w:noProof/>
            <w:sz w:val="22"/>
            <w:szCs w:val="22"/>
          </w:rPr>
          <w:tab/>
        </w:r>
        <w:r w:rsidR="00A64830" w:rsidRPr="00965590">
          <w:rPr>
            <w:rStyle w:val="Hyperlink"/>
            <w:noProof/>
          </w:rPr>
          <w:t>Prong three—purposeful discrimination</w:t>
        </w:r>
        <w:r w:rsidR="00A64830">
          <w:rPr>
            <w:noProof/>
            <w:webHidden/>
          </w:rPr>
          <w:tab/>
        </w:r>
        <w:r w:rsidR="00A64830">
          <w:rPr>
            <w:noProof/>
            <w:webHidden/>
          </w:rPr>
          <w:fldChar w:fldCharType="begin"/>
        </w:r>
        <w:r w:rsidR="00A64830">
          <w:rPr>
            <w:noProof/>
            <w:webHidden/>
          </w:rPr>
          <w:instrText xml:space="preserve"> PAGEREF _Toc395604640 \h </w:instrText>
        </w:r>
        <w:r w:rsidR="00A64830">
          <w:rPr>
            <w:noProof/>
            <w:webHidden/>
          </w:rPr>
        </w:r>
        <w:r w:rsidR="00A64830">
          <w:rPr>
            <w:noProof/>
            <w:webHidden/>
          </w:rPr>
          <w:fldChar w:fldCharType="separate"/>
        </w:r>
        <w:r w:rsidR="00042677">
          <w:rPr>
            <w:noProof/>
            <w:webHidden/>
          </w:rPr>
          <w:t>70</w:t>
        </w:r>
        <w:r w:rsidR="00A64830">
          <w:rPr>
            <w:noProof/>
            <w:webHidden/>
          </w:rPr>
          <w:fldChar w:fldCharType="end"/>
        </w:r>
      </w:hyperlink>
    </w:p>
    <w:p w:rsidR="00A64830" w:rsidRDefault="000F30C0" w:rsidP="00334983">
      <w:pPr>
        <w:pStyle w:val="TOC4"/>
        <w:tabs>
          <w:tab w:val="left" w:pos="1200"/>
          <w:tab w:val="right" w:leader="dot" w:pos="9350"/>
        </w:tabs>
        <w:spacing w:after="0"/>
        <w:rPr>
          <w:rFonts w:asciiTheme="minorHAnsi" w:eastAsiaTheme="minorEastAsia" w:hAnsiTheme="minorHAnsi" w:cstheme="minorBidi"/>
          <w:noProof/>
          <w:sz w:val="22"/>
          <w:szCs w:val="22"/>
        </w:rPr>
      </w:pPr>
      <w:hyperlink w:anchor="_Toc395604641" w:history="1">
        <w:r w:rsidR="00A64830" w:rsidRPr="00965590">
          <w:rPr>
            <w:rStyle w:val="Hyperlink"/>
            <w:noProof/>
          </w:rPr>
          <w:t>c.</w:t>
        </w:r>
        <w:r w:rsidR="00A64830">
          <w:rPr>
            <w:rFonts w:asciiTheme="minorHAnsi" w:eastAsiaTheme="minorEastAsia" w:hAnsiTheme="minorHAnsi" w:cstheme="minorBidi"/>
            <w:noProof/>
            <w:sz w:val="22"/>
            <w:szCs w:val="22"/>
          </w:rPr>
          <w:tab/>
        </w:r>
        <w:r w:rsidR="00A64830" w:rsidRPr="00965590">
          <w:rPr>
            <w:rStyle w:val="Hyperlink"/>
            <w:noProof/>
          </w:rPr>
          <w:t>Challenges for Cause</w:t>
        </w:r>
        <w:r w:rsidR="00A64830">
          <w:rPr>
            <w:noProof/>
            <w:webHidden/>
          </w:rPr>
          <w:tab/>
        </w:r>
        <w:r w:rsidR="00A64830">
          <w:rPr>
            <w:noProof/>
            <w:webHidden/>
          </w:rPr>
          <w:fldChar w:fldCharType="begin"/>
        </w:r>
        <w:r w:rsidR="00A64830">
          <w:rPr>
            <w:noProof/>
            <w:webHidden/>
          </w:rPr>
          <w:instrText xml:space="preserve"> PAGEREF _Toc395604641 \h </w:instrText>
        </w:r>
        <w:r w:rsidR="00A64830">
          <w:rPr>
            <w:noProof/>
            <w:webHidden/>
          </w:rPr>
        </w:r>
        <w:r w:rsidR="00A64830">
          <w:rPr>
            <w:noProof/>
            <w:webHidden/>
          </w:rPr>
          <w:fldChar w:fldCharType="separate"/>
        </w:r>
        <w:r w:rsidR="00042677">
          <w:rPr>
            <w:noProof/>
            <w:webHidden/>
          </w:rPr>
          <w:t>71</w:t>
        </w:r>
        <w:r w:rsidR="00A64830">
          <w:rPr>
            <w:noProof/>
            <w:webHidden/>
          </w:rPr>
          <w:fldChar w:fldCharType="end"/>
        </w:r>
      </w:hyperlink>
    </w:p>
    <w:p w:rsidR="00A64830" w:rsidRDefault="000F30C0" w:rsidP="00334983">
      <w:pPr>
        <w:pStyle w:val="TOC3"/>
        <w:rPr>
          <w:rFonts w:asciiTheme="minorHAnsi" w:eastAsiaTheme="minorEastAsia" w:hAnsiTheme="minorHAnsi" w:cstheme="minorBidi"/>
          <w:noProof/>
          <w:sz w:val="22"/>
          <w:szCs w:val="22"/>
        </w:rPr>
      </w:pPr>
      <w:hyperlink w:anchor="_Toc395604642" w:history="1">
        <w:r w:rsidR="00A64830" w:rsidRPr="00965590">
          <w:rPr>
            <w:rStyle w:val="Hyperlink"/>
            <w:noProof/>
          </w:rPr>
          <w:t>2.</w:t>
        </w:r>
        <w:r w:rsidR="00A64830">
          <w:rPr>
            <w:rFonts w:asciiTheme="minorHAnsi" w:eastAsiaTheme="minorEastAsia" w:hAnsiTheme="minorHAnsi" w:cstheme="minorBidi"/>
            <w:noProof/>
            <w:sz w:val="22"/>
            <w:szCs w:val="22"/>
          </w:rPr>
          <w:tab/>
        </w:r>
        <w:r w:rsidR="00A64830" w:rsidRPr="00965590">
          <w:rPr>
            <w:rStyle w:val="Hyperlink"/>
            <w:noProof/>
          </w:rPr>
          <w:t>Trial Management</w:t>
        </w:r>
        <w:r w:rsidR="00A64830">
          <w:rPr>
            <w:noProof/>
            <w:webHidden/>
          </w:rPr>
          <w:tab/>
        </w:r>
        <w:r w:rsidR="00A64830">
          <w:rPr>
            <w:noProof/>
            <w:webHidden/>
          </w:rPr>
          <w:fldChar w:fldCharType="begin"/>
        </w:r>
        <w:r w:rsidR="00A64830">
          <w:rPr>
            <w:noProof/>
            <w:webHidden/>
          </w:rPr>
          <w:instrText xml:space="preserve"> PAGEREF _Toc395604642 \h </w:instrText>
        </w:r>
        <w:r w:rsidR="00A64830">
          <w:rPr>
            <w:noProof/>
            <w:webHidden/>
          </w:rPr>
        </w:r>
        <w:r w:rsidR="00A64830">
          <w:rPr>
            <w:noProof/>
            <w:webHidden/>
          </w:rPr>
          <w:fldChar w:fldCharType="separate"/>
        </w:r>
        <w:r w:rsidR="00042677">
          <w:rPr>
            <w:noProof/>
            <w:webHidden/>
          </w:rPr>
          <w:t>71</w:t>
        </w:r>
        <w:r w:rsidR="00A64830">
          <w:rPr>
            <w:noProof/>
            <w:webHidden/>
          </w:rPr>
          <w:fldChar w:fldCharType="end"/>
        </w:r>
      </w:hyperlink>
    </w:p>
    <w:p w:rsidR="00A64830" w:rsidRDefault="000F30C0" w:rsidP="00334983">
      <w:pPr>
        <w:pStyle w:val="TOC4"/>
        <w:tabs>
          <w:tab w:val="left" w:pos="1200"/>
          <w:tab w:val="right" w:leader="dot" w:pos="9350"/>
        </w:tabs>
        <w:spacing w:after="0"/>
        <w:rPr>
          <w:rFonts w:asciiTheme="minorHAnsi" w:eastAsiaTheme="minorEastAsia" w:hAnsiTheme="minorHAnsi" w:cstheme="minorBidi"/>
          <w:noProof/>
          <w:sz w:val="22"/>
          <w:szCs w:val="22"/>
        </w:rPr>
      </w:pPr>
      <w:hyperlink w:anchor="_Toc395604643" w:history="1">
        <w:r w:rsidR="00A64830" w:rsidRPr="00965590">
          <w:rPr>
            <w:rStyle w:val="Hyperlink"/>
            <w:noProof/>
          </w:rPr>
          <w:t>a.</w:t>
        </w:r>
        <w:r w:rsidR="00A64830">
          <w:rPr>
            <w:rFonts w:asciiTheme="minorHAnsi" w:eastAsiaTheme="minorEastAsia" w:hAnsiTheme="minorHAnsi" w:cstheme="minorBidi"/>
            <w:noProof/>
            <w:sz w:val="22"/>
            <w:szCs w:val="22"/>
          </w:rPr>
          <w:tab/>
        </w:r>
        <w:r w:rsidR="00A64830" w:rsidRPr="00965590">
          <w:rPr>
            <w:rStyle w:val="Hyperlink"/>
            <w:noProof/>
          </w:rPr>
          <w:t>Removal of Judge</w:t>
        </w:r>
        <w:r w:rsidR="00A64830">
          <w:rPr>
            <w:noProof/>
            <w:webHidden/>
          </w:rPr>
          <w:tab/>
        </w:r>
        <w:r w:rsidR="00A64830">
          <w:rPr>
            <w:noProof/>
            <w:webHidden/>
          </w:rPr>
          <w:fldChar w:fldCharType="begin"/>
        </w:r>
        <w:r w:rsidR="00A64830">
          <w:rPr>
            <w:noProof/>
            <w:webHidden/>
          </w:rPr>
          <w:instrText xml:space="preserve"> PAGEREF _Toc395604643 \h </w:instrText>
        </w:r>
        <w:r w:rsidR="00A64830">
          <w:rPr>
            <w:noProof/>
            <w:webHidden/>
          </w:rPr>
        </w:r>
        <w:r w:rsidR="00A64830">
          <w:rPr>
            <w:noProof/>
            <w:webHidden/>
          </w:rPr>
          <w:fldChar w:fldCharType="separate"/>
        </w:r>
        <w:r w:rsidR="00042677">
          <w:rPr>
            <w:noProof/>
            <w:webHidden/>
          </w:rPr>
          <w:t>71</w:t>
        </w:r>
        <w:r w:rsidR="00A64830">
          <w:rPr>
            <w:noProof/>
            <w:webHidden/>
          </w:rPr>
          <w:fldChar w:fldCharType="end"/>
        </w:r>
      </w:hyperlink>
    </w:p>
    <w:p w:rsidR="00A64830" w:rsidRDefault="000F30C0" w:rsidP="00334983">
      <w:pPr>
        <w:pStyle w:val="TOC4"/>
        <w:tabs>
          <w:tab w:val="left" w:pos="1200"/>
          <w:tab w:val="right" w:leader="dot" w:pos="9350"/>
        </w:tabs>
        <w:spacing w:after="0"/>
        <w:rPr>
          <w:rFonts w:asciiTheme="minorHAnsi" w:eastAsiaTheme="minorEastAsia" w:hAnsiTheme="minorHAnsi" w:cstheme="minorBidi"/>
          <w:noProof/>
          <w:sz w:val="22"/>
          <w:szCs w:val="22"/>
        </w:rPr>
      </w:pPr>
      <w:hyperlink w:anchor="_Toc395604644" w:history="1">
        <w:r w:rsidR="00A64830" w:rsidRPr="00965590">
          <w:rPr>
            <w:rStyle w:val="Hyperlink"/>
            <w:noProof/>
          </w:rPr>
          <w:t>b.</w:t>
        </w:r>
        <w:r w:rsidR="00A64830">
          <w:rPr>
            <w:rFonts w:asciiTheme="minorHAnsi" w:eastAsiaTheme="minorEastAsia" w:hAnsiTheme="minorHAnsi" w:cstheme="minorBidi"/>
            <w:noProof/>
            <w:sz w:val="22"/>
            <w:szCs w:val="22"/>
          </w:rPr>
          <w:tab/>
        </w:r>
        <w:r w:rsidR="00A64830" w:rsidRPr="00965590">
          <w:rPr>
            <w:rStyle w:val="Hyperlink"/>
            <w:noProof/>
          </w:rPr>
          <w:t>Sanctions for Discovery Violations</w:t>
        </w:r>
        <w:r w:rsidR="00A64830">
          <w:rPr>
            <w:noProof/>
            <w:webHidden/>
          </w:rPr>
          <w:tab/>
        </w:r>
        <w:r w:rsidR="00A64830">
          <w:rPr>
            <w:noProof/>
            <w:webHidden/>
          </w:rPr>
          <w:fldChar w:fldCharType="begin"/>
        </w:r>
        <w:r w:rsidR="00A64830">
          <w:rPr>
            <w:noProof/>
            <w:webHidden/>
          </w:rPr>
          <w:instrText xml:space="preserve"> PAGEREF _Toc395604644 \h </w:instrText>
        </w:r>
        <w:r w:rsidR="00A64830">
          <w:rPr>
            <w:noProof/>
            <w:webHidden/>
          </w:rPr>
        </w:r>
        <w:r w:rsidR="00A64830">
          <w:rPr>
            <w:noProof/>
            <w:webHidden/>
          </w:rPr>
          <w:fldChar w:fldCharType="separate"/>
        </w:r>
        <w:r w:rsidR="00042677">
          <w:rPr>
            <w:noProof/>
            <w:webHidden/>
          </w:rPr>
          <w:t>71</w:t>
        </w:r>
        <w:r w:rsidR="00A64830">
          <w:rPr>
            <w:noProof/>
            <w:webHidden/>
          </w:rPr>
          <w:fldChar w:fldCharType="end"/>
        </w:r>
      </w:hyperlink>
    </w:p>
    <w:p w:rsidR="00A64830" w:rsidRDefault="000F30C0" w:rsidP="00334983">
      <w:pPr>
        <w:pStyle w:val="TOC4"/>
        <w:tabs>
          <w:tab w:val="left" w:pos="1200"/>
          <w:tab w:val="right" w:leader="dot" w:pos="9350"/>
        </w:tabs>
        <w:spacing w:after="0"/>
        <w:rPr>
          <w:rFonts w:asciiTheme="minorHAnsi" w:eastAsiaTheme="minorEastAsia" w:hAnsiTheme="minorHAnsi" w:cstheme="minorBidi"/>
          <w:noProof/>
          <w:sz w:val="22"/>
          <w:szCs w:val="22"/>
        </w:rPr>
      </w:pPr>
      <w:hyperlink w:anchor="_Toc395604645" w:history="1">
        <w:r w:rsidR="00A64830" w:rsidRPr="00965590">
          <w:rPr>
            <w:rStyle w:val="Hyperlink"/>
            <w:noProof/>
          </w:rPr>
          <w:t>c.</w:t>
        </w:r>
        <w:r w:rsidR="00A64830">
          <w:rPr>
            <w:rFonts w:asciiTheme="minorHAnsi" w:eastAsiaTheme="minorEastAsia" w:hAnsiTheme="minorHAnsi" w:cstheme="minorBidi"/>
            <w:noProof/>
            <w:sz w:val="22"/>
            <w:szCs w:val="22"/>
          </w:rPr>
          <w:tab/>
        </w:r>
        <w:r w:rsidR="00A64830" w:rsidRPr="00965590">
          <w:rPr>
            <w:rStyle w:val="Hyperlink"/>
            <w:noProof/>
          </w:rPr>
          <w:t>Sequestration/Courtroom Closure</w:t>
        </w:r>
        <w:r w:rsidR="00A64830">
          <w:rPr>
            <w:noProof/>
            <w:webHidden/>
          </w:rPr>
          <w:tab/>
        </w:r>
        <w:r w:rsidR="00A64830">
          <w:rPr>
            <w:noProof/>
            <w:webHidden/>
          </w:rPr>
          <w:fldChar w:fldCharType="begin"/>
        </w:r>
        <w:r w:rsidR="00A64830">
          <w:rPr>
            <w:noProof/>
            <w:webHidden/>
          </w:rPr>
          <w:instrText xml:space="preserve"> PAGEREF _Toc395604645 \h </w:instrText>
        </w:r>
        <w:r w:rsidR="00A64830">
          <w:rPr>
            <w:noProof/>
            <w:webHidden/>
          </w:rPr>
        </w:r>
        <w:r w:rsidR="00A64830">
          <w:rPr>
            <w:noProof/>
            <w:webHidden/>
          </w:rPr>
          <w:fldChar w:fldCharType="separate"/>
        </w:r>
        <w:r w:rsidR="00042677">
          <w:rPr>
            <w:noProof/>
            <w:webHidden/>
          </w:rPr>
          <w:t>71</w:t>
        </w:r>
        <w:r w:rsidR="00A64830">
          <w:rPr>
            <w:noProof/>
            <w:webHidden/>
          </w:rPr>
          <w:fldChar w:fldCharType="end"/>
        </w:r>
      </w:hyperlink>
    </w:p>
    <w:p w:rsidR="00A64830" w:rsidRDefault="000F30C0" w:rsidP="00334983">
      <w:pPr>
        <w:pStyle w:val="TOC4"/>
        <w:tabs>
          <w:tab w:val="left" w:pos="1200"/>
          <w:tab w:val="right" w:leader="dot" w:pos="9350"/>
        </w:tabs>
        <w:spacing w:after="0"/>
        <w:rPr>
          <w:rFonts w:asciiTheme="minorHAnsi" w:eastAsiaTheme="minorEastAsia" w:hAnsiTheme="minorHAnsi" w:cstheme="minorBidi"/>
          <w:noProof/>
          <w:sz w:val="22"/>
          <w:szCs w:val="22"/>
        </w:rPr>
      </w:pPr>
      <w:hyperlink w:anchor="_Toc395604646" w:history="1">
        <w:r w:rsidR="00A64830" w:rsidRPr="00965590">
          <w:rPr>
            <w:rStyle w:val="Hyperlink"/>
            <w:noProof/>
          </w:rPr>
          <w:t>d.</w:t>
        </w:r>
        <w:r w:rsidR="00A64830">
          <w:rPr>
            <w:rFonts w:asciiTheme="minorHAnsi" w:eastAsiaTheme="minorEastAsia" w:hAnsiTheme="minorHAnsi" w:cstheme="minorBidi"/>
            <w:noProof/>
            <w:sz w:val="22"/>
            <w:szCs w:val="22"/>
          </w:rPr>
          <w:tab/>
        </w:r>
        <w:r w:rsidR="00A64830" w:rsidRPr="00965590">
          <w:rPr>
            <w:rStyle w:val="Hyperlink"/>
            <w:noProof/>
          </w:rPr>
          <w:t>Trial in Absentia</w:t>
        </w:r>
        <w:r w:rsidR="00A64830">
          <w:rPr>
            <w:noProof/>
            <w:webHidden/>
          </w:rPr>
          <w:tab/>
        </w:r>
        <w:r w:rsidR="00A64830">
          <w:rPr>
            <w:noProof/>
            <w:webHidden/>
          </w:rPr>
          <w:fldChar w:fldCharType="begin"/>
        </w:r>
        <w:r w:rsidR="00A64830">
          <w:rPr>
            <w:noProof/>
            <w:webHidden/>
          </w:rPr>
          <w:instrText xml:space="preserve"> PAGEREF _Toc395604646 \h </w:instrText>
        </w:r>
        <w:r w:rsidR="00A64830">
          <w:rPr>
            <w:noProof/>
            <w:webHidden/>
          </w:rPr>
        </w:r>
        <w:r w:rsidR="00A64830">
          <w:rPr>
            <w:noProof/>
            <w:webHidden/>
          </w:rPr>
          <w:fldChar w:fldCharType="separate"/>
        </w:r>
        <w:r w:rsidR="00042677">
          <w:rPr>
            <w:noProof/>
            <w:webHidden/>
          </w:rPr>
          <w:t>72</w:t>
        </w:r>
        <w:r w:rsidR="00A64830">
          <w:rPr>
            <w:noProof/>
            <w:webHidden/>
          </w:rPr>
          <w:fldChar w:fldCharType="end"/>
        </w:r>
      </w:hyperlink>
    </w:p>
    <w:p w:rsidR="00A64830" w:rsidRDefault="000F30C0" w:rsidP="00334983">
      <w:pPr>
        <w:pStyle w:val="TOC4"/>
        <w:tabs>
          <w:tab w:val="left" w:pos="1200"/>
          <w:tab w:val="right" w:leader="dot" w:pos="9350"/>
        </w:tabs>
        <w:spacing w:after="0"/>
        <w:rPr>
          <w:rFonts w:asciiTheme="minorHAnsi" w:eastAsiaTheme="minorEastAsia" w:hAnsiTheme="minorHAnsi" w:cstheme="minorBidi"/>
          <w:noProof/>
          <w:sz w:val="22"/>
          <w:szCs w:val="22"/>
        </w:rPr>
      </w:pPr>
      <w:hyperlink w:anchor="_Toc395604647" w:history="1">
        <w:r w:rsidR="00A64830" w:rsidRPr="00965590">
          <w:rPr>
            <w:rStyle w:val="Hyperlink"/>
            <w:noProof/>
          </w:rPr>
          <w:t>e.</w:t>
        </w:r>
        <w:r w:rsidR="00A64830">
          <w:rPr>
            <w:rFonts w:asciiTheme="minorHAnsi" w:eastAsiaTheme="minorEastAsia" w:hAnsiTheme="minorHAnsi" w:cstheme="minorBidi"/>
            <w:noProof/>
            <w:sz w:val="22"/>
            <w:szCs w:val="22"/>
          </w:rPr>
          <w:tab/>
        </w:r>
        <w:r w:rsidR="00A64830" w:rsidRPr="00965590">
          <w:rPr>
            <w:rStyle w:val="Hyperlink"/>
            <w:noProof/>
          </w:rPr>
          <w:t>Restraints on Defendant</w:t>
        </w:r>
        <w:r w:rsidR="00A64830">
          <w:rPr>
            <w:noProof/>
            <w:webHidden/>
          </w:rPr>
          <w:tab/>
        </w:r>
        <w:r w:rsidR="00A64830">
          <w:rPr>
            <w:noProof/>
            <w:webHidden/>
          </w:rPr>
          <w:fldChar w:fldCharType="begin"/>
        </w:r>
        <w:r w:rsidR="00A64830">
          <w:rPr>
            <w:noProof/>
            <w:webHidden/>
          </w:rPr>
          <w:instrText xml:space="preserve"> PAGEREF _Toc395604647 \h </w:instrText>
        </w:r>
        <w:r w:rsidR="00A64830">
          <w:rPr>
            <w:noProof/>
            <w:webHidden/>
          </w:rPr>
        </w:r>
        <w:r w:rsidR="00A64830">
          <w:rPr>
            <w:noProof/>
            <w:webHidden/>
          </w:rPr>
          <w:fldChar w:fldCharType="separate"/>
        </w:r>
        <w:r w:rsidR="00042677">
          <w:rPr>
            <w:noProof/>
            <w:webHidden/>
          </w:rPr>
          <w:t>72</w:t>
        </w:r>
        <w:r w:rsidR="00A64830">
          <w:rPr>
            <w:noProof/>
            <w:webHidden/>
          </w:rPr>
          <w:fldChar w:fldCharType="end"/>
        </w:r>
      </w:hyperlink>
    </w:p>
    <w:p w:rsidR="00A64830" w:rsidRDefault="000F30C0" w:rsidP="00334983">
      <w:pPr>
        <w:pStyle w:val="TOC4"/>
        <w:tabs>
          <w:tab w:val="left" w:pos="1200"/>
          <w:tab w:val="right" w:leader="dot" w:pos="9350"/>
        </w:tabs>
        <w:spacing w:after="0"/>
        <w:rPr>
          <w:rFonts w:asciiTheme="minorHAnsi" w:eastAsiaTheme="minorEastAsia" w:hAnsiTheme="minorHAnsi" w:cstheme="minorBidi"/>
          <w:noProof/>
          <w:sz w:val="22"/>
          <w:szCs w:val="22"/>
        </w:rPr>
      </w:pPr>
      <w:hyperlink w:anchor="_Toc395604648" w:history="1">
        <w:r w:rsidR="00A64830" w:rsidRPr="00965590">
          <w:rPr>
            <w:rStyle w:val="Hyperlink"/>
            <w:noProof/>
          </w:rPr>
          <w:t>f.</w:t>
        </w:r>
        <w:r w:rsidR="00A64830">
          <w:rPr>
            <w:rFonts w:asciiTheme="minorHAnsi" w:eastAsiaTheme="minorEastAsia" w:hAnsiTheme="minorHAnsi" w:cstheme="minorBidi"/>
            <w:noProof/>
            <w:sz w:val="22"/>
            <w:szCs w:val="22"/>
          </w:rPr>
          <w:tab/>
        </w:r>
        <w:r w:rsidR="00A64830" w:rsidRPr="00965590">
          <w:rPr>
            <w:rStyle w:val="Hyperlink"/>
            <w:noProof/>
          </w:rPr>
          <w:t>Unruly Defendant</w:t>
        </w:r>
        <w:r w:rsidR="00A64830">
          <w:rPr>
            <w:noProof/>
            <w:webHidden/>
          </w:rPr>
          <w:tab/>
        </w:r>
        <w:r w:rsidR="00A64830">
          <w:rPr>
            <w:noProof/>
            <w:webHidden/>
          </w:rPr>
          <w:fldChar w:fldCharType="begin"/>
        </w:r>
        <w:r w:rsidR="00A64830">
          <w:rPr>
            <w:noProof/>
            <w:webHidden/>
          </w:rPr>
          <w:instrText xml:space="preserve"> PAGEREF _Toc395604648 \h </w:instrText>
        </w:r>
        <w:r w:rsidR="00A64830">
          <w:rPr>
            <w:noProof/>
            <w:webHidden/>
          </w:rPr>
        </w:r>
        <w:r w:rsidR="00A64830">
          <w:rPr>
            <w:noProof/>
            <w:webHidden/>
          </w:rPr>
          <w:fldChar w:fldCharType="separate"/>
        </w:r>
        <w:r w:rsidR="00042677">
          <w:rPr>
            <w:noProof/>
            <w:webHidden/>
          </w:rPr>
          <w:t>72</w:t>
        </w:r>
        <w:r w:rsidR="00A64830">
          <w:rPr>
            <w:noProof/>
            <w:webHidden/>
          </w:rPr>
          <w:fldChar w:fldCharType="end"/>
        </w:r>
      </w:hyperlink>
    </w:p>
    <w:p w:rsidR="00A64830" w:rsidRDefault="000F30C0" w:rsidP="00334983">
      <w:pPr>
        <w:pStyle w:val="TOC4"/>
        <w:tabs>
          <w:tab w:val="left" w:pos="1200"/>
          <w:tab w:val="right" w:leader="dot" w:pos="9350"/>
        </w:tabs>
        <w:spacing w:after="0"/>
        <w:rPr>
          <w:rFonts w:asciiTheme="minorHAnsi" w:eastAsiaTheme="minorEastAsia" w:hAnsiTheme="minorHAnsi" w:cstheme="minorBidi"/>
          <w:noProof/>
          <w:sz w:val="22"/>
          <w:szCs w:val="22"/>
        </w:rPr>
      </w:pPr>
      <w:hyperlink w:anchor="_Toc395604649" w:history="1">
        <w:r w:rsidR="00A64830" w:rsidRPr="00965590">
          <w:rPr>
            <w:rStyle w:val="Hyperlink"/>
            <w:noProof/>
          </w:rPr>
          <w:t>g.</w:t>
        </w:r>
        <w:r w:rsidR="00A64830">
          <w:rPr>
            <w:rFonts w:asciiTheme="minorHAnsi" w:eastAsiaTheme="minorEastAsia" w:hAnsiTheme="minorHAnsi" w:cstheme="minorBidi"/>
            <w:noProof/>
            <w:sz w:val="22"/>
            <w:szCs w:val="22"/>
          </w:rPr>
          <w:tab/>
        </w:r>
        <w:r w:rsidR="00A64830" w:rsidRPr="00965590">
          <w:rPr>
            <w:rStyle w:val="Hyperlink"/>
            <w:noProof/>
          </w:rPr>
          <w:t>Mistrial</w:t>
        </w:r>
        <w:r w:rsidR="00A64830">
          <w:rPr>
            <w:noProof/>
            <w:webHidden/>
          </w:rPr>
          <w:tab/>
        </w:r>
        <w:r w:rsidR="00A64830">
          <w:rPr>
            <w:noProof/>
            <w:webHidden/>
          </w:rPr>
          <w:fldChar w:fldCharType="begin"/>
        </w:r>
        <w:r w:rsidR="00A64830">
          <w:rPr>
            <w:noProof/>
            <w:webHidden/>
          </w:rPr>
          <w:instrText xml:space="preserve"> PAGEREF _Toc395604649 \h </w:instrText>
        </w:r>
        <w:r w:rsidR="00A64830">
          <w:rPr>
            <w:noProof/>
            <w:webHidden/>
          </w:rPr>
        </w:r>
        <w:r w:rsidR="00A64830">
          <w:rPr>
            <w:noProof/>
            <w:webHidden/>
          </w:rPr>
          <w:fldChar w:fldCharType="separate"/>
        </w:r>
        <w:r w:rsidR="00042677">
          <w:rPr>
            <w:noProof/>
            <w:webHidden/>
          </w:rPr>
          <w:t>72</w:t>
        </w:r>
        <w:r w:rsidR="00A64830">
          <w:rPr>
            <w:noProof/>
            <w:webHidden/>
          </w:rPr>
          <w:fldChar w:fldCharType="end"/>
        </w:r>
      </w:hyperlink>
    </w:p>
    <w:p w:rsidR="00A64830" w:rsidRDefault="000F30C0" w:rsidP="00334983">
      <w:pPr>
        <w:pStyle w:val="TOC3"/>
        <w:rPr>
          <w:rFonts w:asciiTheme="minorHAnsi" w:eastAsiaTheme="minorEastAsia" w:hAnsiTheme="minorHAnsi" w:cstheme="minorBidi"/>
          <w:noProof/>
          <w:sz w:val="22"/>
          <w:szCs w:val="22"/>
        </w:rPr>
      </w:pPr>
      <w:hyperlink w:anchor="_Toc395604650" w:history="1">
        <w:r w:rsidR="00A64830" w:rsidRPr="00965590">
          <w:rPr>
            <w:rStyle w:val="Hyperlink"/>
            <w:noProof/>
          </w:rPr>
          <w:t>3.</w:t>
        </w:r>
        <w:r w:rsidR="00A64830">
          <w:rPr>
            <w:rFonts w:asciiTheme="minorHAnsi" w:eastAsiaTheme="minorEastAsia" w:hAnsiTheme="minorHAnsi" w:cstheme="minorBidi"/>
            <w:noProof/>
            <w:sz w:val="22"/>
            <w:szCs w:val="22"/>
          </w:rPr>
          <w:tab/>
        </w:r>
        <w:r w:rsidR="00A64830" w:rsidRPr="00965590">
          <w:rPr>
            <w:rStyle w:val="Hyperlink"/>
            <w:noProof/>
          </w:rPr>
          <w:t>Evidentiary Rulings</w:t>
        </w:r>
        <w:r w:rsidR="00A64830">
          <w:rPr>
            <w:noProof/>
            <w:webHidden/>
          </w:rPr>
          <w:tab/>
        </w:r>
        <w:r w:rsidR="00A64830">
          <w:rPr>
            <w:noProof/>
            <w:webHidden/>
          </w:rPr>
          <w:fldChar w:fldCharType="begin"/>
        </w:r>
        <w:r w:rsidR="00A64830">
          <w:rPr>
            <w:noProof/>
            <w:webHidden/>
          </w:rPr>
          <w:instrText xml:space="preserve"> PAGEREF _Toc395604650 \h </w:instrText>
        </w:r>
        <w:r w:rsidR="00A64830">
          <w:rPr>
            <w:noProof/>
            <w:webHidden/>
          </w:rPr>
        </w:r>
        <w:r w:rsidR="00A64830">
          <w:rPr>
            <w:noProof/>
            <w:webHidden/>
          </w:rPr>
          <w:fldChar w:fldCharType="separate"/>
        </w:r>
        <w:r w:rsidR="00042677">
          <w:rPr>
            <w:noProof/>
            <w:webHidden/>
          </w:rPr>
          <w:t>72</w:t>
        </w:r>
        <w:r w:rsidR="00A64830">
          <w:rPr>
            <w:noProof/>
            <w:webHidden/>
          </w:rPr>
          <w:fldChar w:fldCharType="end"/>
        </w:r>
      </w:hyperlink>
    </w:p>
    <w:p w:rsidR="00A64830" w:rsidRDefault="000F30C0" w:rsidP="00334983">
      <w:pPr>
        <w:pStyle w:val="TOC4"/>
        <w:tabs>
          <w:tab w:val="left" w:pos="1200"/>
          <w:tab w:val="right" w:leader="dot" w:pos="9350"/>
        </w:tabs>
        <w:spacing w:after="0"/>
        <w:rPr>
          <w:rFonts w:asciiTheme="minorHAnsi" w:eastAsiaTheme="minorEastAsia" w:hAnsiTheme="minorHAnsi" w:cstheme="minorBidi"/>
          <w:noProof/>
          <w:sz w:val="22"/>
          <w:szCs w:val="22"/>
        </w:rPr>
      </w:pPr>
      <w:hyperlink w:anchor="_Toc395604651" w:history="1">
        <w:r w:rsidR="00A64830" w:rsidRPr="00965590">
          <w:rPr>
            <w:rStyle w:val="Hyperlink"/>
            <w:noProof/>
          </w:rPr>
          <w:t>a.</w:t>
        </w:r>
        <w:r w:rsidR="00A64830">
          <w:rPr>
            <w:rFonts w:asciiTheme="minorHAnsi" w:eastAsiaTheme="minorEastAsia" w:hAnsiTheme="minorHAnsi" w:cstheme="minorBidi"/>
            <w:noProof/>
            <w:sz w:val="22"/>
            <w:szCs w:val="22"/>
          </w:rPr>
          <w:tab/>
        </w:r>
        <w:r w:rsidR="00A64830" w:rsidRPr="00965590">
          <w:rPr>
            <w:rStyle w:val="Hyperlink"/>
            <w:noProof/>
          </w:rPr>
          <w:t>In General</w:t>
        </w:r>
        <w:r w:rsidR="00A64830">
          <w:rPr>
            <w:noProof/>
            <w:webHidden/>
          </w:rPr>
          <w:tab/>
        </w:r>
        <w:r w:rsidR="00A64830">
          <w:rPr>
            <w:noProof/>
            <w:webHidden/>
          </w:rPr>
          <w:fldChar w:fldCharType="begin"/>
        </w:r>
        <w:r w:rsidR="00A64830">
          <w:rPr>
            <w:noProof/>
            <w:webHidden/>
          </w:rPr>
          <w:instrText xml:space="preserve"> PAGEREF _Toc395604651 \h </w:instrText>
        </w:r>
        <w:r w:rsidR="00A64830">
          <w:rPr>
            <w:noProof/>
            <w:webHidden/>
          </w:rPr>
        </w:r>
        <w:r w:rsidR="00A64830">
          <w:rPr>
            <w:noProof/>
            <w:webHidden/>
          </w:rPr>
          <w:fldChar w:fldCharType="separate"/>
        </w:r>
        <w:r w:rsidR="00042677">
          <w:rPr>
            <w:noProof/>
            <w:webHidden/>
          </w:rPr>
          <w:t>72</w:t>
        </w:r>
        <w:r w:rsidR="00A64830">
          <w:rPr>
            <w:noProof/>
            <w:webHidden/>
          </w:rPr>
          <w:fldChar w:fldCharType="end"/>
        </w:r>
      </w:hyperlink>
    </w:p>
    <w:p w:rsidR="00A64830" w:rsidRDefault="000F30C0" w:rsidP="00334983">
      <w:pPr>
        <w:pStyle w:val="TOC4"/>
        <w:tabs>
          <w:tab w:val="left" w:pos="1200"/>
          <w:tab w:val="right" w:leader="dot" w:pos="9350"/>
        </w:tabs>
        <w:spacing w:after="0"/>
        <w:rPr>
          <w:rFonts w:asciiTheme="minorHAnsi" w:eastAsiaTheme="minorEastAsia" w:hAnsiTheme="minorHAnsi" w:cstheme="minorBidi"/>
          <w:noProof/>
          <w:sz w:val="22"/>
          <w:szCs w:val="22"/>
        </w:rPr>
      </w:pPr>
      <w:hyperlink w:anchor="_Toc395604652" w:history="1">
        <w:r w:rsidR="00A64830" w:rsidRPr="00965590">
          <w:rPr>
            <w:rStyle w:val="Hyperlink"/>
            <w:noProof/>
          </w:rPr>
          <w:t>b.</w:t>
        </w:r>
        <w:r w:rsidR="00A64830">
          <w:rPr>
            <w:rFonts w:asciiTheme="minorHAnsi" w:eastAsiaTheme="minorEastAsia" w:hAnsiTheme="minorHAnsi" w:cstheme="minorBidi"/>
            <w:noProof/>
            <w:sz w:val="22"/>
            <w:szCs w:val="22"/>
          </w:rPr>
          <w:tab/>
        </w:r>
        <w:r w:rsidR="00A64830" w:rsidRPr="00965590">
          <w:rPr>
            <w:rStyle w:val="Hyperlink"/>
            <w:noProof/>
          </w:rPr>
          <w:t>Harmless Error</w:t>
        </w:r>
        <w:r w:rsidR="00A64830">
          <w:rPr>
            <w:noProof/>
            <w:webHidden/>
          </w:rPr>
          <w:tab/>
        </w:r>
        <w:r w:rsidR="00A64830">
          <w:rPr>
            <w:noProof/>
            <w:webHidden/>
          </w:rPr>
          <w:fldChar w:fldCharType="begin"/>
        </w:r>
        <w:r w:rsidR="00A64830">
          <w:rPr>
            <w:noProof/>
            <w:webHidden/>
          </w:rPr>
          <w:instrText xml:space="preserve"> PAGEREF _Toc395604652 \h </w:instrText>
        </w:r>
        <w:r w:rsidR="00A64830">
          <w:rPr>
            <w:noProof/>
            <w:webHidden/>
          </w:rPr>
        </w:r>
        <w:r w:rsidR="00A64830">
          <w:rPr>
            <w:noProof/>
            <w:webHidden/>
          </w:rPr>
          <w:fldChar w:fldCharType="separate"/>
        </w:r>
        <w:r w:rsidR="00042677">
          <w:rPr>
            <w:noProof/>
            <w:webHidden/>
          </w:rPr>
          <w:t>72</w:t>
        </w:r>
        <w:r w:rsidR="00A64830">
          <w:rPr>
            <w:noProof/>
            <w:webHidden/>
          </w:rPr>
          <w:fldChar w:fldCharType="end"/>
        </w:r>
      </w:hyperlink>
    </w:p>
    <w:p w:rsidR="00A64830" w:rsidRDefault="000F30C0" w:rsidP="00334983">
      <w:pPr>
        <w:pStyle w:val="TOC4"/>
        <w:tabs>
          <w:tab w:val="left" w:pos="1200"/>
          <w:tab w:val="right" w:leader="dot" w:pos="9350"/>
        </w:tabs>
        <w:spacing w:after="0"/>
        <w:rPr>
          <w:rFonts w:asciiTheme="minorHAnsi" w:eastAsiaTheme="minorEastAsia" w:hAnsiTheme="minorHAnsi" w:cstheme="minorBidi"/>
          <w:noProof/>
          <w:sz w:val="22"/>
          <w:szCs w:val="22"/>
        </w:rPr>
      </w:pPr>
      <w:hyperlink w:anchor="_Toc395604653" w:history="1">
        <w:r w:rsidR="00A64830" w:rsidRPr="00965590">
          <w:rPr>
            <w:rStyle w:val="Hyperlink"/>
            <w:noProof/>
          </w:rPr>
          <w:t>c.</w:t>
        </w:r>
        <w:r w:rsidR="00A64830">
          <w:rPr>
            <w:rFonts w:asciiTheme="minorHAnsi" w:eastAsiaTheme="minorEastAsia" w:hAnsiTheme="minorHAnsi" w:cstheme="minorBidi"/>
            <w:noProof/>
            <w:sz w:val="22"/>
            <w:szCs w:val="22"/>
          </w:rPr>
          <w:tab/>
        </w:r>
        <w:r w:rsidR="00A64830" w:rsidRPr="00965590">
          <w:rPr>
            <w:rStyle w:val="Hyperlink"/>
            <w:noProof/>
          </w:rPr>
          <w:t>Plain Error</w:t>
        </w:r>
        <w:r w:rsidR="00A64830">
          <w:rPr>
            <w:noProof/>
            <w:webHidden/>
          </w:rPr>
          <w:tab/>
        </w:r>
        <w:r w:rsidR="00A64830">
          <w:rPr>
            <w:noProof/>
            <w:webHidden/>
          </w:rPr>
          <w:fldChar w:fldCharType="begin"/>
        </w:r>
        <w:r w:rsidR="00A64830">
          <w:rPr>
            <w:noProof/>
            <w:webHidden/>
          </w:rPr>
          <w:instrText xml:space="preserve"> PAGEREF _Toc395604653 \h </w:instrText>
        </w:r>
        <w:r w:rsidR="00A64830">
          <w:rPr>
            <w:noProof/>
            <w:webHidden/>
          </w:rPr>
        </w:r>
        <w:r w:rsidR="00A64830">
          <w:rPr>
            <w:noProof/>
            <w:webHidden/>
          </w:rPr>
          <w:fldChar w:fldCharType="separate"/>
        </w:r>
        <w:r w:rsidR="00042677">
          <w:rPr>
            <w:noProof/>
            <w:webHidden/>
          </w:rPr>
          <w:t>73</w:t>
        </w:r>
        <w:r w:rsidR="00A64830">
          <w:rPr>
            <w:noProof/>
            <w:webHidden/>
          </w:rPr>
          <w:fldChar w:fldCharType="end"/>
        </w:r>
      </w:hyperlink>
    </w:p>
    <w:p w:rsidR="00A64830" w:rsidRDefault="000F30C0" w:rsidP="00334983">
      <w:pPr>
        <w:pStyle w:val="TOC4"/>
        <w:tabs>
          <w:tab w:val="left" w:pos="1200"/>
          <w:tab w:val="right" w:leader="dot" w:pos="9350"/>
        </w:tabs>
        <w:spacing w:after="0"/>
        <w:rPr>
          <w:rFonts w:asciiTheme="minorHAnsi" w:eastAsiaTheme="minorEastAsia" w:hAnsiTheme="minorHAnsi" w:cstheme="minorBidi"/>
          <w:noProof/>
          <w:sz w:val="22"/>
          <w:szCs w:val="22"/>
        </w:rPr>
      </w:pPr>
      <w:hyperlink w:anchor="_Toc395604654" w:history="1">
        <w:r w:rsidR="00A64830" w:rsidRPr="00965590">
          <w:rPr>
            <w:rStyle w:val="Hyperlink"/>
            <w:noProof/>
          </w:rPr>
          <w:t>d.</w:t>
        </w:r>
        <w:r w:rsidR="00A64830">
          <w:rPr>
            <w:rFonts w:asciiTheme="minorHAnsi" w:eastAsiaTheme="minorEastAsia" w:hAnsiTheme="minorHAnsi" w:cstheme="minorBidi"/>
            <w:noProof/>
            <w:sz w:val="22"/>
            <w:szCs w:val="22"/>
          </w:rPr>
          <w:tab/>
        </w:r>
        <w:r w:rsidR="00A64830" w:rsidRPr="00965590">
          <w:rPr>
            <w:rStyle w:val="Hyperlink"/>
            <w:noProof/>
          </w:rPr>
          <w:t>Privilege</w:t>
        </w:r>
        <w:r w:rsidR="00A64830">
          <w:rPr>
            <w:noProof/>
            <w:webHidden/>
          </w:rPr>
          <w:tab/>
        </w:r>
        <w:r w:rsidR="00A64830">
          <w:rPr>
            <w:noProof/>
            <w:webHidden/>
          </w:rPr>
          <w:fldChar w:fldCharType="begin"/>
        </w:r>
        <w:r w:rsidR="00A64830">
          <w:rPr>
            <w:noProof/>
            <w:webHidden/>
          </w:rPr>
          <w:instrText xml:space="preserve"> PAGEREF _Toc395604654 \h </w:instrText>
        </w:r>
        <w:r w:rsidR="00A64830">
          <w:rPr>
            <w:noProof/>
            <w:webHidden/>
          </w:rPr>
        </w:r>
        <w:r w:rsidR="00A64830">
          <w:rPr>
            <w:noProof/>
            <w:webHidden/>
          </w:rPr>
          <w:fldChar w:fldCharType="separate"/>
        </w:r>
        <w:r w:rsidR="00042677">
          <w:rPr>
            <w:noProof/>
            <w:webHidden/>
          </w:rPr>
          <w:t>74</w:t>
        </w:r>
        <w:r w:rsidR="00A64830">
          <w:rPr>
            <w:noProof/>
            <w:webHidden/>
          </w:rPr>
          <w:fldChar w:fldCharType="end"/>
        </w:r>
      </w:hyperlink>
    </w:p>
    <w:p w:rsidR="00A64830" w:rsidRDefault="000F30C0" w:rsidP="00334983">
      <w:pPr>
        <w:pStyle w:val="TOC4"/>
        <w:tabs>
          <w:tab w:val="left" w:pos="1200"/>
          <w:tab w:val="right" w:leader="dot" w:pos="9350"/>
        </w:tabs>
        <w:spacing w:after="0"/>
        <w:rPr>
          <w:rFonts w:asciiTheme="minorHAnsi" w:eastAsiaTheme="minorEastAsia" w:hAnsiTheme="minorHAnsi" w:cstheme="minorBidi"/>
          <w:noProof/>
          <w:sz w:val="22"/>
          <w:szCs w:val="22"/>
        </w:rPr>
      </w:pPr>
      <w:hyperlink w:anchor="_Toc395604655" w:history="1">
        <w:r w:rsidR="00A64830" w:rsidRPr="00965590">
          <w:rPr>
            <w:rStyle w:val="Hyperlink"/>
            <w:noProof/>
          </w:rPr>
          <w:t>e.</w:t>
        </w:r>
        <w:r w:rsidR="00A64830">
          <w:rPr>
            <w:rFonts w:asciiTheme="minorHAnsi" w:eastAsiaTheme="minorEastAsia" w:hAnsiTheme="minorHAnsi" w:cstheme="minorBidi"/>
            <w:noProof/>
            <w:sz w:val="22"/>
            <w:szCs w:val="22"/>
          </w:rPr>
          <w:tab/>
        </w:r>
        <w:r w:rsidR="00A64830" w:rsidRPr="00965590">
          <w:rPr>
            <w:rStyle w:val="Hyperlink"/>
            <w:noProof/>
          </w:rPr>
          <w:t>Expert-Witness Testimony</w:t>
        </w:r>
        <w:r w:rsidR="00A64830">
          <w:rPr>
            <w:noProof/>
            <w:webHidden/>
          </w:rPr>
          <w:tab/>
        </w:r>
        <w:r w:rsidR="00A64830">
          <w:rPr>
            <w:noProof/>
            <w:webHidden/>
          </w:rPr>
          <w:fldChar w:fldCharType="begin"/>
        </w:r>
        <w:r w:rsidR="00A64830">
          <w:rPr>
            <w:noProof/>
            <w:webHidden/>
          </w:rPr>
          <w:instrText xml:space="preserve"> PAGEREF _Toc395604655 \h </w:instrText>
        </w:r>
        <w:r w:rsidR="00A64830">
          <w:rPr>
            <w:noProof/>
            <w:webHidden/>
          </w:rPr>
        </w:r>
        <w:r w:rsidR="00A64830">
          <w:rPr>
            <w:noProof/>
            <w:webHidden/>
          </w:rPr>
          <w:fldChar w:fldCharType="separate"/>
        </w:r>
        <w:r w:rsidR="00042677">
          <w:rPr>
            <w:noProof/>
            <w:webHidden/>
          </w:rPr>
          <w:t>74</w:t>
        </w:r>
        <w:r w:rsidR="00A64830">
          <w:rPr>
            <w:noProof/>
            <w:webHidden/>
          </w:rPr>
          <w:fldChar w:fldCharType="end"/>
        </w:r>
      </w:hyperlink>
    </w:p>
    <w:p w:rsidR="00A64830" w:rsidRDefault="000F30C0" w:rsidP="00334983">
      <w:pPr>
        <w:pStyle w:val="TOC4"/>
        <w:tabs>
          <w:tab w:val="left" w:pos="1200"/>
          <w:tab w:val="right" w:leader="dot" w:pos="9350"/>
        </w:tabs>
        <w:spacing w:after="0"/>
        <w:rPr>
          <w:rFonts w:asciiTheme="minorHAnsi" w:eastAsiaTheme="minorEastAsia" w:hAnsiTheme="minorHAnsi" w:cstheme="minorBidi"/>
          <w:noProof/>
          <w:sz w:val="22"/>
          <w:szCs w:val="22"/>
        </w:rPr>
      </w:pPr>
      <w:hyperlink w:anchor="_Toc395604656" w:history="1">
        <w:r w:rsidR="00A64830" w:rsidRPr="00965590">
          <w:rPr>
            <w:rStyle w:val="Hyperlink"/>
            <w:noProof/>
          </w:rPr>
          <w:t>f.</w:t>
        </w:r>
        <w:r w:rsidR="00A64830">
          <w:rPr>
            <w:rFonts w:asciiTheme="minorHAnsi" w:eastAsiaTheme="minorEastAsia" w:hAnsiTheme="minorHAnsi" w:cstheme="minorBidi"/>
            <w:noProof/>
            <w:sz w:val="22"/>
            <w:szCs w:val="22"/>
          </w:rPr>
          <w:tab/>
        </w:r>
        <w:r w:rsidR="00A64830" w:rsidRPr="00965590">
          <w:rPr>
            <w:rStyle w:val="Hyperlink"/>
            <w:noProof/>
          </w:rPr>
          <w:t>Identification Evidence</w:t>
        </w:r>
        <w:r w:rsidR="00A64830">
          <w:rPr>
            <w:noProof/>
            <w:webHidden/>
          </w:rPr>
          <w:tab/>
        </w:r>
        <w:r w:rsidR="00A64830">
          <w:rPr>
            <w:noProof/>
            <w:webHidden/>
          </w:rPr>
          <w:fldChar w:fldCharType="begin"/>
        </w:r>
        <w:r w:rsidR="00A64830">
          <w:rPr>
            <w:noProof/>
            <w:webHidden/>
          </w:rPr>
          <w:instrText xml:space="preserve"> PAGEREF _Toc395604656 \h </w:instrText>
        </w:r>
        <w:r w:rsidR="00A64830">
          <w:rPr>
            <w:noProof/>
            <w:webHidden/>
          </w:rPr>
        </w:r>
        <w:r w:rsidR="00A64830">
          <w:rPr>
            <w:noProof/>
            <w:webHidden/>
          </w:rPr>
          <w:fldChar w:fldCharType="separate"/>
        </w:r>
        <w:r w:rsidR="00042677">
          <w:rPr>
            <w:noProof/>
            <w:webHidden/>
          </w:rPr>
          <w:t>74</w:t>
        </w:r>
        <w:r w:rsidR="00A64830">
          <w:rPr>
            <w:noProof/>
            <w:webHidden/>
          </w:rPr>
          <w:fldChar w:fldCharType="end"/>
        </w:r>
      </w:hyperlink>
    </w:p>
    <w:p w:rsidR="00A64830" w:rsidRDefault="000F30C0" w:rsidP="00334983">
      <w:pPr>
        <w:pStyle w:val="TOC4"/>
        <w:tabs>
          <w:tab w:val="left" w:pos="1200"/>
          <w:tab w:val="right" w:leader="dot" w:pos="9350"/>
        </w:tabs>
        <w:spacing w:after="0"/>
        <w:rPr>
          <w:rFonts w:asciiTheme="minorHAnsi" w:eastAsiaTheme="minorEastAsia" w:hAnsiTheme="minorHAnsi" w:cstheme="minorBidi"/>
          <w:noProof/>
          <w:sz w:val="22"/>
          <w:szCs w:val="22"/>
        </w:rPr>
      </w:pPr>
      <w:hyperlink w:anchor="_Toc395604657" w:history="1">
        <w:r w:rsidR="00A64830" w:rsidRPr="00965590">
          <w:rPr>
            <w:rStyle w:val="Hyperlink"/>
            <w:noProof/>
          </w:rPr>
          <w:t>g.</w:t>
        </w:r>
        <w:r w:rsidR="00A64830">
          <w:rPr>
            <w:rFonts w:asciiTheme="minorHAnsi" w:eastAsiaTheme="minorEastAsia" w:hAnsiTheme="minorHAnsi" w:cstheme="minorBidi"/>
            <w:noProof/>
            <w:sz w:val="22"/>
            <w:szCs w:val="22"/>
          </w:rPr>
          <w:tab/>
        </w:r>
        <w:r w:rsidR="00A64830" w:rsidRPr="00965590">
          <w:rPr>
            <w:rStyle w:val="Hyperlink"/>
            <w:noProof/>
          </w:rPr>
          <w:t>Prior Bad Acts Evidence</w:t>
        </w:r>
        <w:r w:rsidR="00A64830">
          <w:rPr>
            <w:noProof/>
            <w:webHidden/>
          </w:rPr>
          <w:tab/>
        </w:r>
        <w:r w:rsidR="00A64830">
          <w:rPr>
            <w:noProof/>
            <w:webHidden/>
          </w:rPr>
          <w:fldChar w:fldCharType="begin"/>
        </w:r>
        <w:r w:rsidR="00A64830">
          <w:rPr>
            <w:noProof/>
            <w:webHidden/>
          </w:rPr>
          <w:instrText xml:space="preserve"> PAGEREF _Toc395604657 \h </w:instrText>
        </w:r>
        <w:r w:rsidR="00A64830">
          <w:rPr>
            <w:noProof/>
            <w:webHidden/>
          </w:rPr>
        </w:r>
        <w:r w:rsidR="00A64830">
          <w:rPr>
            <w:noProof/>
            <w:webHidden/>
          </w:rPr>
          <w:fldChar w:fldCharType="separate"/>
        </w:r>
        <w:r w:rsidR="00042677">
          <w:rPr>
            <w:noProof/>
            <w:webHidden/>
          </w:rPr>
          <w:t>74</w:t>
        </w:r>
        <w:r w:rsidR="00A64830">
          <w:rPr>
            <w:noProof/>
            <w:webHidden/>
          </w:rPr>
          <w:fldChar w:fldCharType="end"/>
        </w:r>
      </w:hyperlink>
    </w:p>
    <w:p w:rsidR="00A64830" w:rsidRDefault="000F30C0" w:rsidP="00334983">
      <w:pPr>
        <w:pStyle w:val="TOC4"/>
        <w:tabs>
          <w:tab w:val="left" w:pos="1200"/>
          <w:tab w:val="right" w:leader="dot" w:pos="9350"/>
        </w:tabs>
        <w:spacing w:after="0"/>
        <w:rPr>
          <w:rFonts w:asciiTheme="minorHAnsi" w:eastAsiaTheme="minorEastAsia" w:hAnsiTheme="minorHAnsi" w:cstheme="minorBidi"/>
          <w:noProof/>
          <w:sz w:val="22"/>
          <w:szCs w:val="22"/>
        </w:rPr>
      </w:pPr>
      <w:hyperlink w:anchor="_Toc395604658" w:history="1">
        <w:r w:rsidR="00A64830" w:rsidRPr="00965590">
          <w:rPr>
            <w:rStyle w:val="Hyperlink"/>
            <w:noProof/>
          </w:rPr>
          <w:t>h.</w:t>
        </w:r>
        <w:r w:rsidR="00A64830">
          <w:rPr>
            <w:rFonts w:asciiTheme="minorHAnsi" w:eastAsiaTheme="minorEastAsia" w:hAnsiTheme="minorHAnsi" w:cstheme="minorBidi"/>
            <w:noProof/>
            <w:sz w:val="22"/>
            <w:szCs w:val="22"/>
          </w:rPr>
          <w:tab/>
        </w:r>
        <w:r w:rsidR="00A64830" w:rsidRPr="00965590">
          <w:rPr>
            <w:rStyle w:val="Hyperlink"/>
            <w:noProof/>
          </w:rPr>
          <w:t>Impeachment by Prior Conviction</w:t>
        </w:r>
        <w:r w:rsidR="00A64830">
          <w:rPr>
            <w:noProof/>
            <w:webHidden/>
          </w:rPr>
          <w:tab/>
        </w:r>
        <w:r w:rsidR="00A64830">
          <w:rPr>
            <w:noProof/>
            <w:webHidden/>
          </w:rPr>
          <w:fldChar w:fldCharType="begin"/>
        </w:r>
        <w:r w:rsidR="00A64830">
          <w:rPr>
            <w:noProof/>
            <w:webHidden/>
          </w:rPr>
          <w:instrText xml:space="preserve"> PAGEREF _Toc395604658 \h </w:instrText>
        </w:r>
        <w:r w:rsidR="00A64830">
          <w:rPr>
            <w:noProof/>
            <w:webHidden/>
          </w:rPr>
        </w:r>
        <w:r w:rsidR="00A64830">
          <w:rPr>
            <w:noProof/>
            <w:webHidden/>
          </w:rPr>
          <w:fldChar w:fldCharType="separate"/>
        </w:r>
        <w:r w:rsidR="00042677">
          <w:rPr>
            <w:noProof/>
            <w:webHidden/>
          </w:rPr>
          <w:t>75</w:t>
        </w:r>
        <w:r w:rsidR="00A64830">
          <w:rPr>
            <w:noProof/>
            <w:webHidden/>
          </w:rPr>
          <w:fldChar w:fldCharType="end"/>
        </w:r>
      </w:hyperlink>
    </w:p>
    <w:p w:rsidR="00A64830" w:rsidRDefault="000F30C0" w:rsidP="00334983">
      <w:pPr>
        <w:pStyle w:val="TOC4"/>
        <w:tabs>
          <w:tab w:val="left" w:pos="1200"/>
          <w:tab w:val="right" w:leader="dot" w:pos="9350"/>
        </w:tabs>
        <w:spacing w:after="0"/>
        <w:rPr>
          <w:rFonts w:asciiTheme="minorHAnsi" w:eastAsiaTheme="minorEastAsia" w:hAnsiTheme="minorHAnsi" w:cstheme="minorBidi"/>
          <w:noProof/>
          <w:sz w:val="22"/>
          <w:szCs w:val="22"/>
        </w:rPr>
      </w:pPr>
      <w:hyperlink w:anchor="_Toc395604659" w:history="1">
        <w:r w:rsidR="00A64830" w:rsidRPr="00965590">
          <w:rPr>
            <w:rStyle w:val="Hyperlink"/>
            <w:noProof/>
          </w:rPr>
          <w:t>i.</w:t>
        </w:r>
        <w:r w:rsidR="00A64830">
          <w:rPr>
            <w:rFonts w:asciiTheme="minorHAnsi" w:eastAsiaTheme="minorEastAsia" w:hAnsiTheme="minorHAnsi" w:cstheme="minorBidi"/>
            <w:noProof/>
            <w:sz w:val="22"/>
            <w:szCs w:val="22"/>
          </w:rPr>
          <w:tab/>
        </w:r>
        <w:r w:rsidR="00A64830" w:rsidRPr="00965590">
          <w:rPr>
            <w:rStyle w:val="Hyperlink"/>
            <w:noProof/>
          </w:rPr>
          <w:t>Hearsay Evidence and Confrontation</w:t>
        </w:r>
        <w:r w:rsidR="00A64830">
          <w:rPr>
            <w:noProof/>
            <w:webHidden/>
          </w:rPr>
          <w:tab/>
        </w:r>
        <w:r w:rsidR="00A64830">
          <w:rPr>
            <w:noProof/>
            <w:webHidden/>
          </w:rPr>
          <w:fldChar w:fldCharType="begin"/>
        </w:r>
        <w:r w:rsidR="00A64830">
          <w:rPr>
            <w:noProof/>
            <w:webHidden/>
          </w:rPr>
          <w:instrText xml:space="preserve"> PAGEREF _Toc395604659 \h </w:instrText>
        </w:r>
        <w:r w:rsidR="00A64830">
          <w:rPr>
            <w:noProof/>
            <w:webHidden/>
          </w:rPr>
        </w:r>
        <w:r w:rsidR="00A64830">
          <w:rPr>
            <w:noProof/>
            <w:webHidden/>
          </w:rPr>
          <w:fldChar w:fldCharType="separate"/>
        </w:r>
        <w:r w:rsidR="00042677">
          <w:rPr>
            <w:noProof/>
            <w:webHidden/>
          </w:rPr>
          <w:t>75</w:t>
        </w:r>
        <w:r w:rsidR="00A64830">
          <w:rPr>
            <w:noProof/>
            <w:webHidden/>
          </w:rPr>
          <w:fldChar w:fldCharType="end"/>
        </w:r>
      </w:hyperlink>
    </w:p>
    <w:p w:rsidR="00A64830" w:rsidRDefault="000F30C0" w:rsidP="00334983">
      <w:pPr>
        <w:pStyle w:val="TOC4"/>
        <w:tabs>
          <w:tab w:val="left" w:pos="1200"/>
          <w:tab w:val="right" w:leader="dot" w:pos="9350"/>
        </w:tabs>
        <w:spacing w:after="0"/>
        <w:rPr>
          <w:rFonts w:asciiTheme="minorHAnsi" w:eastAsiaTheme="minorEastAsia" w:hAnsiTheme="minorHAnsi" w:cstheme="minorBidi"/>
          <w:noProof/>
          <w:sz w:val="22"/>
          <w:szCs w:val="22"/>
        </w:rPr>
      </w:pPr>
      <w:hyperlink w:anchor="_Toc395604660" w:history="1">
        <w:r w:rsidR="00A64830" w:rsidRPr="00965590">
          <w:rPr>
            <w:rStyle w:val="Hyperlink"/>
            <w:noProof/>
          </w:rPr>
          <w:t>j.</w:t>
        </w:r>
        <w:r w:rsidR="00A64830">
          <w:rPr>
            <w:rFonts w:asciiTheme="minorHAnsi" w:eastAsiaTheme="minorEastAsia" w:hAnsiTheme="minorHAnsi" w:cstheme="minorBidi"/>
            <w:noProof/>
            <w:sz w:val="22"/>
            <w:szCs w:val="22"/>
          </w:rPr>
          <w:tab/>
        </w:r>
        <w:r w:rsidR="00A64830" w:rsidRPr="00965590">
          <w:rPr>
            <w:rStyle w:val="Hyperlink"/>
            <w:noProof/>
          </w:rPr>
          <w:t>Physical Evidence</w:t>
        </w:r>
        <w:r w:rsidR="00A64830">
          <w:rPr>
            <w:noProof/>
            <w:webHidden/>
          </w:rPr>
          <w:tab/>
        </w:r>
        <w:r w:rsidR="00A64830">
          <w:rPr>
            <w:noProof/>
            <w:webHidden/>
          </w:rPr>
          <w:fldChar w:fldCharType="begin"/>
        </w:r>
        <w:r w:rsidR="00A64830">
          <w:rPr>
            <w:noProof/>
            <w:webHidden/>
          </w:rPr>
          <w:instrText xml:space="preserve"> PAGEREF _Toc395604660 \h </w:instrText>
        </w:r>
        <w:r w:rsidR="00A64830">
          <w:rPr>
            <w:noProof/>
            <w:webHidden/>
          </w:rPr>
        </w:r>
        <w:r w:rsidR="00A64830">
          <w:rPr>
            <w:noProof/>
            <w:webHidden/>
          </w:rPr>
          <w:fldChar w:fldCharType="separate"/>
        </w:r>
        <w:r w:rsidR="00042677">
          <w:rPr>
            <w:noProof/>
            <w:webHidden/>
          </w:rPr>
          <w:t>76</w:t>
        </w:r>
        <w:r w:rsidR="00A64830">
          <w:rPr>
            <w:noProof/>
            <w:webHidden/>
          </w:rPr>
          <w:fldChar w:fldCharType="end"/>
        </w:r>
      </w:hyperlink>
    </w:p>
    <w:p w:rsidR="00A64830" w:rsidRDefault="000F30C0" w:rsidP="00334983">
      <w:pPr>
        <w:pStyle w:val="TOC4"/>
        <w:tabs>
          <w:tab w:val="left" w:pos="1200"/>
          <w:tab w:val="right" w:leader="dot" w:pos="9350"/>
        </w:tabs>
        <w:spacing w:after="0"/>
        <w:rPr>
          <w:rFonts w:asciiTheme="minorHAnsi" w:eastAsiaTheme="minorEastAsia" w:hAnsiTheme="minorHAnsi" w:cstheme="minorBidi"/>
          <w:noProof/>
          <w:sz w:val="22"/>
          <w:szCs w:val="22"/>
        </w:rPr>
      </w:pPr>
      <w:hyperlink w:anchor="_Toc395604661" w:history="1">
        <w:r w:rsidR="00A64830" w:rsidRPr="00965590">
          <w:rPr>
            <w:rStyle w:val="Hyperlink"/>
            <w:noProof/>
          </w:rPr>
          <w:t>k.</w:t>
        </w:r>
        <w:r w:rsidR="00A64830">
          <w:rPr>
            <w:rFonts w:asciiTheme="minorHAnsi" w:eastAsiaTheme="minorEastAsia" w:hAnsiTheme="minorHAnsi" w:cstheme="minorBidi"/>
            <w:noProof/>
            <w:sz w:val="22"/>
            <w:szCs w:val="22"/>
          </w:rPr>
          <w:tab/>
        </w:r>
        <w:r w:rsidR="00A64830" w:rsidRPr="00965590">
          <w:rPr>
            <w:rStyle w:val="Hyperlink"/>
            <w:noProof/>
          </w:rPr>
          <w:t>Photographs</w:t>
        </w:r>
        <w:r w:rsidR="00A64830">
          <w:rPr>
            <w:noProof/>
            <w:webHidden/>
          </w:rPr>
          <w:tab/>
        </w:r>
        <w:r w:rsidR="00A64830">
          <w:rPr>
            <w:noProof/>
            <w:webHidden/>
          </w:rPr>
          <w:fldChar w:fldCharType="begin"/>
        </w:r>
        <w:r w:rsidR="00A64830">
          <w:rPr>
            <w:noProof/>
            <w:webHidden/>
          </w:rPr>
          <w:instrText xml:space="preserve"> PAGEREF _Toc395604661 \h </w:instrText>
        </w:r>
        <w:r w:rsidR="00A64830">
          <w:rPr>
            <w:noProof/>
            <w:webHidden/>
          </w:rPr>
        </w:r>
        <w:r w:rsidR="00A64830">
          <w:rPr>
            <w:noProof/>
            <w:webHidden/>
          </w:rPr>
          <w:fldChar w:fldCharType="separate"/>
        </w:r>
        <w:r w:rsidR="00042677">
          <w:rPr>
            <w:noProof/>
            <w:webHidden/>
          </w:rPr>
          <w:t>76</w:t>
        </w:r>
        <w:r w:rsidR="00A64830">
          <w:rPr>
            <w:noProof/>
            <w:webHidden/>
          </w:rPr>
          <w:fldChar w:fldCharType="end"/>
        </w:r>
      </w:hyperlink>
    </w:p>
    <w:p w:rsidR="00A64830" w:rsidRDefault="000F30C0" w:rsidP="00334983">
      <w:pPr>
        <w:pStyle w:val="TOC4"/>
        <w:tabs>
          <w:tab w:val="left" w:pos="1200"/>
          <w:tab w:val="right" w:leader="dot" w:pos="9350"/>
        </w:tabs>
        <w:spacing w:after="0"/>
        <w:rPr>
          <w:rFonts w:asciiTheme="minorHAnsi" w:eastAsiaTheme="minorEastAsia" w:hAnsiTheme="minorHAnsi" w:cstheme="minorBidi"/>
          <w:noProof/>
          <w:sz w:val="22"/>
          <w:szCs w:val="22"/>
        </w:rPr>
      </w:pPr>
      <w:hyperlink w:anchor="_Toc395604662" w:history="1">
        <w:r w:rsidR="00A64830" w:rsidRPr="00965590">
          <w:rPr>
            <w:rStyle w:val="Hyperlink"/>
            <w:noProof/>
          </w:rPr>
          <w:t>l.</w:t>
        </w:r>
        <w:r w:rsidR="00A64830">
          <w:rPr>
            <w:rFonts w:asciiTheme="minorHAnsi" w:eastAsiaTheme="minorEastAsia" w:hAnsiTheme="minorHAnsi" w:cstheme="minorBidi"/>
            <w:noProof/>
            <w:sz w:val="22"/>
            <w:szCs w:val="22"/>
          </w:rPr>
          <w:tab/>
        </w:r>
        <w:r w:rsidR="00A64830" w:rsidRPr="00965590">
          <w:rPr>
            <w:rStyle w:val="Hyperlink"/>
            <w:noProof/>
          </w:rPr>
          <w:t>Scope of Cross-Examination</w:t>
        </w:r>
        <w:r w:rsidR="00A64830">
          <w:rPr>
            <w:noProof/>
            <w:webHidden/>
          </w:rPr>
          <w:tab/>
        </w:r>
        <w:r w:rsidR="00A64830">
          <w:rPr>
            <w:noProof/>
            <w:webHidden/>
          </w:rPr>
          <w:fldChar w:fldCharType="begin"/>
        </w:r>
        <w:r w:rsidR="00A64830">
          <w:rPr>
            <w:noProof/>
            <w:webHidden/>
          </w:rPr>
          <w:instrText xml:space="preserve"> PAGEREF _Toc395604662 \h </w:instrText>
        </w:r>
        <w:r w:rsidR="00A64830">
          <w:rPr>
            <w:noProof/>
            <w:webHidden/>
          </w:rPr>
        </w:r>
        <w:r w:rsidR="00A64830">
          <w:rPr>
            <w:noProof/>
            <w:webHidden/>
          </w:rPr>
          <w:fldChar w:fldCharType="separate"/>
        </w:r>
        <w:r w:rsidR="00042677">
          <w:rPr>
            <w:noProof/>
            <w:webHidden/>
          </w:rPr>
          <w:t>76</w:t>
        </w:r>
        <w:r w:rsidR="00A64830">
          <w:rPr>
            <w:noProof/>
            <w:webHidden/>
          </w:rPr>
          <w:fldChar w:fldCharType="end"/>
        </w:r>
      </w:hyperlink>
    </w:p>
    <w:p w:rsidR="00A64830" w:rsidRDefault="000F30C0" w:rsidP="00334983">
      <w:pPr>
        <w:pStyle w:val="TOC4"/>
        <w:tabs>
          <w:tab w:val="left" w:pos="1200"/>
          <w:tab w:val="right" w:leader="dot" w:pos="9350"/>
        </w:tabs>
        <w:spacing w:after="0"/>
        <w:rPr>
          <w:rFonts w:asciiTheme="minorHAnsi" w:eastAsiaTheme="minorEastAsia" w:hAnsiTheme="minorHAnsi" w:cstheme="minorBidi"/>
          <w:noProof/>
          <w:sz w:val="22"/>
          <w:szCs w:val="22"/>
        </w:rPr>
      </w:pPr>
      <w:hyperlink w:anchor="_Toc395604663" w:history="1">
        <w:r w:rsidR="00A64830" w:rsidRPr="00965590">
          <w:rPr>
            <w:rStyle w:val="Hyperlink"/>
            <w:noProof/>
          </w:rPr>
          <w:t>m.</w:t>
        </w:r>
        <w:r w:rsidR="00A64830">
          <w:rPr>
            <w:rFonts w:asciiTheme="minorHAnsi" w:eastAsiaTheme="minorEastAsia" w:hAnsiTheme="minorHAnsi" w:cstheme="minorBidi"/>
            <w:noProof/>
            <w:sz w:val="22"/>
            <w:szCs w:val="22"/>
          </w:rPr>
          <w:tab/>
        </w:r>
        <w:r w:rsidR="00A64830" w:rsidRPr="00965590">
          <w:rPr>
            <w:rStyle w:val="Hyperlink"/>
            <w:noProof/>
          </w:rPr>
          <w:t>Scope of Closing Arguments</w:t>
        </w:r>
        <w:r w:rsidR="00A64830">
          <w:rPr>
            <w:noProof/>
            <w:webHidden/>
          </w:rPr>
          <w:tab/>
        </w:r>
        <w:r w:rsidR="00A64830">
          <w:rPr>
            <w:noProof/>
            <w:webHidden/>
          </w:rPr>
          <w:fldChar w:fldCharType="begin"/>
        </w:r>
        <w:r w:rsidR="00A64830">
          <w:rPr>
            <w:noProof/>
            <w:webHidden/>
          </w:rPr>
          <w:instrText xml:space="preserve"> PAGEREF _Toc395604663 \h </w:instrText>
        </w:r>
        <w:r w:rsidR="00A64830">
          <w:rPr>
            <w:noProof/>
            <w:webHidden/>
          </w:rPr>
        </w:r>
        <w:r w:rsidR="00A64830">
          <w:rPr>
            <w:noProof/>
            <w:webHidden/>
          </w:rPr>
          <w:fldChar w:fldCharType="separate"/>
        </w:r>
        <w:r w:rsidR="00042677">
          <w:rPr>
            <w:noProof/>
            <w:webHidden/>
          </w:rPr>
          <w:t>76</w:t>
        </w:r>
        <w:r w:rsidR="00A64830">
          <w:rPr>
            <w:noProof/>
            <w:webHidden/>
          </w:rPr>
          <w:fldChar w:fldCharType="end"/>
        </w:r>
      </w:hyperlink>
    </w:p>
    <w:p w:rsidR="00A64830" w:rsidRDefault="000F30C0" w:rsidP="00334983">
      <w:pPr>
        <w:pStyle w:val="TOC3"/>
        <w:rPr>
          <w:rFonts w:asciiTheme="minorHAnsi" w:eastAsiaTheme="minorEastAsia" w:hAnsiTheme="minorHAnsi" w:cstheme="minorBidi"/>
          <w:noProof/>
          <w:sz w:val="22"/>
          <w:szCs w:val="22"/>
        </w:rPr>
      </w:pPr>
      <w:hyperlink w:anchor="_Toc395604664" w:history="1">
        <w:r w:rsidR="00A64830" w:rsidRPr="00965590">
          <w:rPr>
            <w:rStyle w:val="Hyperlink"/>
            <w:noProof/>
          </w:rPr>
          <w:t>4.</w:t>
        </w:r>
        <w:r w:rsidR="00A64830">
          <w:rPr>
            <w:rFonts w:asciiTheme="minorHAnsi" w:eastAsiaTheme="minorEastAsia" w:hAnsiTheme="minorHAnsi" w:cstheme="minorBidi"/>
            <w:noProof/>
            <w:sz w:val="22"/>
            <w:szCs w:val="22"/>
          </w:rPr>
          <w:tab/>
        </w:r>
        <w:r w:rsidR="00A64830" w:rsidRPr="00965590">
          <w:rPr>
            <w:rStyle w:val="Hyperlink"/>
            <w:noProof/>
          </w:rPr>
          <w:t>Jury Instructions</w:t>
        </w:r>
        <w:r w:rsidR="00A64830">
          <w:rPr>
            <w:noProof/>
            <w:webHidden/>
          </w:rPr>
          <w:tab/>
        </w:r>
        <w:r w:rsidR="00A64830">
          <w:rPr>
            <w:noProof/>
            <w:webHidden/>
          </w:rPr>
          <w:fldChar w:fldCharType="begin"/>
        </w:r>
        <w:r w:rsidR="00A64830">
          <w:rPr>
            <w:noProof/>
            <w:webHidden/>
          </w:rPr>
          <w:instrText xml:space="preserve"> PAGEREF _Toc395604664 \h </w:instrText>
        </w:r>
        <w:r w:rsidR="00A64830">
          <w:rPr>
            <w:noProof/>
            <w:webHidden/>
          </w:rPr>
        </w:r>
        <w:r w:rsidR="00A64830">
          <w:rPr>
            <w:noProof/>
            <w:webHidden/>
          </w:rPr>
          <w:fldChar w:fldCharType="separate"/>
        </w:r>
        <w:r w:rsidR="00042677">
          <w:rPr>
            <w:noProof/>
            <w:webHidden/>
          </w:rPr>
          <w:t>76</w:t>
        </w:r>
        <w:r w:rsidR="00A64830">
          <w:rPr>
            <w:noProof/>
            <w:webHidden/>
          </w:rPr>
          <w:fldChar w:fldCharType="end"/>
        </w:r>
      </w:hyperlink>
    </w:p>
    <w:p w:rsidR="00A64830" w:rsidRDefault="000F30C0" w:rsidP="00334983">
      <w:pPr>
        <w:pStyle w:val="TOC4"/>
        <w:tabs>
          <w:tab w:val="left" w:pos="1200"/>
          <w:tab w:val="right" w:leader="dot" w:pos="9350"/>
        </w:tabs>
        <w:spacing w:after="0"/>
        <w:rPr>
          <w:rFonts w:asciiTheme="minorHAnsi" w:eastAsiaTheme="minorEastAsia" w:hAnsiTheme="minorHAnsi" w:cstheme="minorBidi"/>
          <w:noProof/>
          <w:sz w:val="22"/>
          <w:szCs w:val="22"/>
        </w:rPr>
      </w:pPr>
      <w:hyperlink w:anchor="_Toc395604665" w:history="1">
        <w:r w:rsidR="00A64830" w:rsidRPr="00965590">
          <w:rPr>
            <w:rStyle w:val="Hyperlink"/>
            <w:noProof/>
          </w:rPr>
          <w:t>a.</w:t>
        </w:r>
        <w:r w:rsidR="00A64830">
          <w:rPr>
            <w:rFonts w:asciiTheme="minorHAnsi" w:eastAsiaTheme="minorEastAsia" w:hAnsiTheme="minorHAnsi" w:cstheme="minorBidi"/>
            <w:noProof/>
            <w:sz w:val="22"/>
            <w:szCs w:val="22"/>
          </w:rPr>
          <w:tab/>
        </w:r>
        <w:r w:rsidR="00A64830" w:rsidRPr="00965590">
          <w:rPr>
            <w:rStyle w:val="Hyperlink"/>
            <w:noProof/>
          </w:rPr>
          <w:t>Lesser-Included Offenses</w:t>
        </w:r>
        <w:r w:rsidR="00A64830">
          <w:rPr>
            <w:noProof/>
            <w:webHidden/>
          </w:rPr>
          <w:tab/>
        </w:r>
        <w:r w:rsidR="00A64830">
          <w:rPr>
            <w:noProof/>
            <w:webHidden/>
          </w:rPr>
          <w:fldChar w:fldCharType="begin"/>
        </w:r>
        <w:r w:rsidR="00A64830">
          <w:rPr>
            <w:noProof/>
            <w:webHidden/>
          </w:rPr>
          <w:instrText xml:space="preserve"> PAGEREF _Toc395604665 \h </w:instrText>
        </w:r>
        <w:r w:rsidR="00A64830">
          <w:rPr>
            <w:noProof/>
            <w:webHidden/>
          </w:rPr>
        </w:r>
        <w:r w:rsidR="00A64830">
          <w:rPr>
            <w:noProof/>
            <w:webHidden/>
          </w:rPr>
          <w:fldChar w:fldCharType="separate"/>
        </w:r>
        <w:r w:rsidR="00042677">
          <w:rPr>
            <w:noProof/>
            <w:webHidden/>
          </w:rPr>
          <w:t>77</w:t>
        </w:r>
        <w:r w:rsidR="00A64830">
          <w:rPr>
            <w:noProof/>
            <w:webHidden/>
          </w:rPr>
          <w:fldChar w:fldCharType="end"/>
        </w:r>
      </w:hyperlink>
    </w:p>
    <w:p w:rsidR="00A64830" w:rsidRDefault="000F30C0" w:rsidP="00334983">
      <w:pPr>
        <w:pStyle w:val="TOC4"/>
        <w:tabs>
          <w:tab w:val="left" w:pos="1200"/>
          <w:tab w:val="right" w:leader="dot" w:pos="9350"/>
        </w:tabs>
        <w:spacing w:after="0"/>
        <w:rPr>
          <w:rFonts w:asciiTheme="minorHAnsi" w:eastAsiaTheme="minorEastAsia" w:hAnsiTheme="minorHAnsi" w:cstheme="minorBidi"/>
          <w:noProof/>
          <w:sz w:val="22"/>
          <w:szCs w:val="22"/>
        </w:rPr>
      </w:pPr>
      <w:hyperlink w:anchor="_Toc395604666" w:history="1">
        <w:r w:rsidR="00A64830" w:rsidRPr="00965590">
          <w:rPr>
            <w:rStyle w:val="Hyperlink"/>
            <w:noProof/>
          </w:rPr>
          <w:t>b.</w:t>
        </w:r>
        <w:r w:rsidR="00A64830">
          <w:rPr>
            <w:rFonts w:asciiTheme="minorHAnsi" w:eastAsiaTheme="minorEastAsia" w:hAnsiTheme="minorHAnsi" w:cstheme="minorBidi"/>
            <w:noProof/>
            <w:sz w:val="22"/>
            <w:szCs w:val="22"/>
          </w:rPr>
          <w:tab/>
        </w:r>
        <w:r w:rsidR="00A64830" w:rsidRPr="00965590">
          <w:rPr>
            <w:rStyle w:val="Hyperlink"/>
            <w:noProof/>
          </w:rPr>
          <w:t>Accomplice Instruction</w:t>
        </w:r>
        <w:r w:rsidR="00A64830">
          <w:rPr>
            <w:noProof/>
            <w:webHidden/>
          </w:rPr>
          <w:tab/>
        </w:r>
        <w:r w:rsidR="00A64830">
          <w:rPr>
            <w:noProof/>
            <w:webHidden/>
          </w:rPr>
          <w:fldChar w:fldCharType="begin"/>
        </w:r>
        <w:r w:rsidR="00A64830">
          <w:rPr>
            <w:noProof/>
            <w:webHidden/>
          </w:rPr>
          <w:instrText xml:space="preserve"> PAGEREF _Toc395604666 \h </w:instrText>
        </w:r>
        <w:r w:rsidR="00A64830">
          <w:rPr>
            <w:noProof/>
            <w:webHidden/>
          </w:rPr>
        </w:r>
        <w:r w:rsidR="00A64830">
          <w:rPr>
            <w:noProof/>
            <w:webHidden/>
          </w:rPr>
          <w:fldChar w:fldCharType="separate"/>
        </w:r>
        <w:r w:rsidR="00042677">
          <w:rPr>
            <w:noProof/>
            <w:webHidden/>
          </w:rPr>
          <w:t>78</w:t>
        </w:r>
        <w:r w:rsidR="00A64830">
          <w:rPr>
            <w:noProof/>
            <w:webHidden/>
          </w:rPr>
          <w:fldChar w:fldCharType="end"/>
        </w:r>
      </w:hyperlink>
    </w:p>
    <w:p w:rsidR="00A64830" w:rsidRDefault="000F30C0" w:rsidP="00334983">
      <w:pPr>
        <w:pStyle w:val="TOC3"/>
        <w:rPr>
          <w:rFonts w:asciiTheme="minorHAnsi" w:eastAsiaTheme="minorEastAsia" w:hAnsiTheme="minorHAnsi" w:cstheme="minorBidi"/>
          <w:noProof/>
          <w:sz w:val="22"/>
          <w:szCs w:val="22"/>
        </w:rPr>
      </w:pPr>
      <w:hyperlink w:anchor="_Toc395604667" w:history="1">
        <w:r w:rsidR="00A64830" w:rsidRPr="00965590">
          <w:rPr>
            <w:rStyle w:val="Hyperlink"/>
            <w:noProof/>
          </w:rPr>
          <w:t>5.</w:t>
        </w:r>
        <w:r w:rsidR="00A64830">
          <w:rPr>
            <w:rFonts w:asciiTheme="minorHAnsi" w:eastAsiaTheme="minorEastAsia" w:hAnsiTheme="minorHAnsi" w:cstheme="minorBidi"/>
            <w:noProof/>
            <w:sz w:val="22"/>
            <w:szCs w:val="22"/>
          </w:rPr>
          <w:tab/>
        </w:r>
        <w:r w:rsidR="00A64830" w:rsidRPr="00965590">
          <w:rPr>
            <w:rStyle w:val="Hyperlink"/>
            <w:noProof/>
          </w:rPr>
          <w:t>Prosecutorial Misconduct</w:t>
        </w:r>
        <w:r w:rsidR="00A64830">
          <w:rPr>
            <w:noProof/>
            <w:webHidden/>
          </w:rPr>
          <w:tab/>
        </w:r>
        <w:r w:rsidR="00A64830">
          <w:rPr>
            <w:noProof/>
            <w:webHidden/>
          </w:rPr>
          <w:fldChar w:fldCharType="begin"/>
        </w:r>
        <w:r w:rsidR="00A64830">
          <w:rPr>
            <w:noProof/>
            <w:webHidden/>
          </w:rPr>
          <w:instrText xml:space="preserve"> PAGEREF _Toc395604667 \h </w:instrText>
        </w:r>
        <w:r w:rsidR="00A64830">
          <w:rPr>
            <w:noProof/>
            <w:webHidden/>
          </w:rPr>
        </w:r>
        <w:r w:rsidR="00A64830">
          <w:rPr>
            <w:noProof/>
            <w:webHidden/>
          </w:rPr>
          <w:fldChar w:fldCharType="separate"/>
        </w:r>
        <w:r w:rsidR="00042677">
          <w:rPr>
            <w:noProof/>
            <w:webHidden/>
          </w:rPr>
          <w:t>78</w:t>
        </w:r>
        <w:r w:rsidR="00A64830">
          <w:rPr>
            <w:noProof/>
            <w:webHidden/>
          </w:rPr>
          <w:fldChar w:fldCharType="end"/>
        </w:r>
      </w:hyperlink>
    </w:p>
    <w:p w:rsidR="00A64830" w:rsidRDefault="000F30C0" w:rsidP="00334983">
      <w:pPr>
        <w:pStyle w:val="TOC3"/>
        <w:rPr>
          <w:rFonts w:asciiTheme="minorHAnsi" w:eastAsiaTheme="minorEastAsia" w:hAnsiTheme="minorHAnsi" w:cstheme="minorBidi"/>
          <w:noProof/>
          <w:sz w:val="22"/>
          <w:szCs w:val="22"/>
        </w:rPr>
      </w:pPr>
      <w:hyperlink w:anchor="_Toc395604668" w:history="1">
        <w:r w:rsidR="00A64830" w:rsidRPr="00965590">
          <w:rPr>
            <w:rStyle w:val="Hyperlink"/>
            <w:noProof/>
          </w:rPr>
          <w:t>6.</w:t>
        </w:r>
        <w:r w:rsidR="00A64830">
          <w:rPr>
            <w:rFonts w:asciiTheme="minorHAnsi" w:eastAsiaTheme="minorEastAsia" w:hAnsiTheme="minorHAnsi" w:cstheme="minorBidi"/>
            <w:noProof/>
            <w:sz w:val="22"/>
            <w:szCs w:val="22"/>
          </w:rPr>
          <w:tab/>
        </w:r>
        <w:r w:rsidR="00A64830" w:rsidRPr="00965590">
          <w:rPr>
            <w:rStyle w:val="Hyperlink"/>
            <w:noProof/>
          </w:rPr>
          <w:t>Juror Misconduct</w:t>
        </w:r>
        <w:r w:rsidR="00A64830">
          <w:rPr>
            <w:noProof/>
            <w:webHidden/>
          </w:rPr>
          <w:tab/>
        </w:r>
        <w:r w:rsidR="00A64830">
          <w:rPr>
            <w:noProof/>
            <w:webHidden/>
          </w:rPr>
          <w:fldChar w:fldCharType="begin"/>
        </w:r>
        <w:r w:rsidR="00A64830">
          <w:rPr>
            <w:noProof/>
            <w:webHidden/>
          </w:rPr>
          <w:instrText xml:space="preserve"> PAGEREF _Toc395604668 \h </w:instrText>
        </w:r>
        <w:r w:rsidR="00A64830">
          <w:rPr>
            <w:noProof/>
            <w:webHidden/>
          </w:rPr>
        </w:r>
        <w:r w:rsidR="00A64830">
          <w:rPr>
            <w:noProof/>
            <w:webHidden/>
          </w:rPr>
          <w:fldChar w:fldCharType="separate"/>
        </w:r>
        <w:r w:rsidR="00042677">
          <w:rPr>
            <w:noProof/>
            <w:webHidden/>
          </w:rPr>
          <w:t>79</w:t>
        </w:r>
        <w:r w:rsidR="00A64830">
          <w:rPr>
            <w:noProof/>
            <w:webHidden/>
          </w:rPr>
          <w:fldChar w:fldCharType="end"/>
        </w:r>
      </w:hyperlink>
    </w:p>
    <w:p w:rsidR="00A64830" w:rsidRDefault="000F30C0" w:rsidP="00334983">
      <w:pPr>
        <w:pStyle w:val="TOC3"/>
        <w:rPr>
          <w:rFonts w:asciiTheme="minorHAnsi" w:eastAsiaTheme="minorEastAsia" w:hAnsiTheme="minorHAnsi" w:cstheme="minorBidi"/>
          <w:noProof/>
          <w:sz w:val="22"/>
          <w:szCs w:val="22"/>
        </w:rPr>
      </w:pPr>
      <w:hyperlink w:anchor="_Toc395604669" w:history="1">
        <w:r w:rsidR="00A64830" w:rsidRPr="00965590">
          <w:rPr>
            <w:rStyle w:val="Hyperlink"/>
            <w:noProof/>
          </w:rPr>
          <w:t>7.</w:t>
        </w:r>
        <w:r w:rsidR="00A64830">
          <w:rPr>
            <w:rFonts w:asciiTheme="minorHAnsi" w:eastAsiaTheme="minorEastAsia" w:hAnsiTheme="minorHAnsi" w:cstheme="minorBidi"/>
            <w:noProof/>
            <w:sz w:val="22"/>
            <w:szCs w:val="22"/>
          </w:rPr>
          <w:tab/>
        </w:r>
        <w:r w:rsidR="00A64830" w:rsidRPr="00965590">
          <w:rPr>
            <w:rStyle w:val="Hyperlink"/>
            <w:noProof/>
          </w:rPr>
          <w:t>Sufficiency of the Evidence</w:t>
        </w:r>
        <w:r w:rsidR="00A64830">
          <w:rPr>
            <w:noProof/>
            <w:webHidden/>
          </w:rPr>
          <w:tab/>
        </w:r>
        <w:r w:rsidR="00A64830">
          <w:rPr>
            <w:noProof/>
            <w:webHidden/>
          </w:rPr>
          <w:fldChar w:fldCharType="begin"/>
        </w:r>
        <w:r w:rsidR="00A64830">
          <w:rPr>
            <w:noProof/>
            <w:webHidden/>
          </w:rPr>
          <w:instrText xml:space="preserve"> PAGEREF _Toc395604669 \h </w:instrText>
        </w:r>
        <w:r w:rsidR="00A64830">
          <w:rPr>
            <w:noProof/>
            <w:webHidden/>
          </w:rPr>
        </w:r>
        <w:r w:rsidR="00A64830">
          <w:rPr>
            <w:noProof/>
            <w:webHidden/>
          </w:rPr>
          <w:fldChar w:fldCharType="separate"/>
        </w:r>
        <w:r w:rsidR="00042677">
          <w:rPr>
            <w:noProof/>
            <w:webHidden/>
          </w:rPr>
          <w:t>79</w:t>
        </w:r>
        <w:r w:rsidR="00A64830">
          <w:rPr>
            <w:noProof/>
            <w:webHidden/>
          </w:rPr>
          <w:fldChar w:fldCharType="end"/>
        </w:r>
      </w:hyperlink>
    </w:p>
    <w:p w:rsidR="00A64830" w:rsidRDefault="000F30C0" w:rsidP="00334983">
      <w:pPr>
        <w:pStyle w:val="TOC4"/>
        <w:tabs>
          <w:tab w:val="left" w:pos="1200"/>
          <w:tab w:val="right" w:leader="dot" w:pos="9350"/>
        </w:tabs>
        <w:spacing w:after="0"/>
        <w:rPr>
          <w:rFonts w:asciiTheme="minorHAnsi" w:eastAsiaTheme="minorEastAsia" w:hAnsiTheme="minorHAnsi" w:cstheme="minorBidi"/>
          <w:noProof/>
          <w:sz w:val="22"/>
          <w:szCs w:val="22"/>
        </w:rPr>
      </w:pPr>
      <w:hyperlink w:anchor="_Toc395604670" w:history="1">
        <w:r w:rsidR="00A64830" w:rsidRPr="00965590">
          <w:rPr>
            <w:rStyle w:val="Hyperlink"/>
            <w:noProof/>
          </w:rPr>
          <w:t>a.</w:t>
        </w:r>
        <w:r w:rsidR="00A64830">
          <w:rPr>
            <w:rFonts w:asciiTheme="minorHAnsi" w:eastAsiaTheme="minorEastAsia" w:hAnsiTheme="minorHAnsi" w:cstheme="minorBidi"/>
            <w:noProof/>
            <w:sz w:val="22"/>
            <w:szCs w:val="22"/>
          </w:rPr>
          <w:tab/>
        </w:r>
        <w:r w:rsidR="00A64830" w:rsidRPr="00965590">
          <w:rPr>
            <w:rStyle w:val="Hyperlink"/>
            <w:noProof/>
          </w:rPr>
          <w:t>In General</w:t>
        </w:r>
        <w:r w:rsidR="00A64830">
          <w:rPr>
            <w:noProof/>
            <w:webHidden/>
          </w:rPr>
          <w:tab/>
        </w:r>
        <w:r w:rsidR="00A64830">
          <w:rPr>
            <w:noProof/>
            <w:webHidden/>
          </w:rPr>
          <w:fldChar w:fldCharType="begin"/>
        </w:r>
        <w:r w:rsidR="00A64830">
          <w:rPr>
            <w:noProof/>
            <w:webHidden/>
          </w:rPr>
          <w:instrText xml:space="preserve"> PAGEREF _Toc395604670 \h </w:instrText>
        </w:r>
        <w:r w:rsidR="00A64830">
          <w:rPr>
            <w:noProof/>
            <w:webHidden/>
          </w:rPr>
        </w:r>
        <w:r w:rsidR="00A64830">
          <w:rPr>
            <w:noProof/>
            <w:webHidden/>
          </w:rPr>
          <w:fldChar w:fldCharType="separate"/>
        </w:r>
        <w:r w:rsidR="00042677">
          <w:rPr>
            <w:noProof/>
            <w:webHidden/>
          </w:rPr>
          <w:t>79</w:t>
        </w:r>
        <w:r w:rsidR="00A64830">
          <w:rPr>
            <w:noProof/>
            <w:webHidden/>
          </w:rPr>
          <w:fldChar w:fldCharType="end"/>
        </w:r>
      </w:hyperlink>
    </w:p>
    <w:p w:rsidR="00A64830" w:rsidRDefault="000F30C0" w:rsidP="00334983">
      <w:pPr>
        <w:pStyle w:val="TOC4"/>
        <w:tabs>
          <w:tab w:val="left" w:pos="1200"/>
          <w:tab w:val="right" w:leader="dot" w:pos="9350"/>
        </w:tabs>
        <w:spacing w:after="0"/>
        <w:rPr>
          <w:rFonts w:asciiTheme="minorHAnsi" w:eastAsiaTheme="minorEastAsia" w:hAnsiTheme="minorHAnsi" w:cstheme="minorBidi"/>
          <w:noProof/>
          <w:sz w:val="22"/>
          <w:szCs w:val="22"/>
        </w:rPr>
      </w:pPr>
      <w:hyperlink w:anchor="_Toc395604671" w:history="1">
        <w:r w:rsidR="00A64830" w:rsidRPr="00965590">
          <w:rPr>
            <w:rStyle w:val="Hyperlink"/>
            <w:noProof/>
          </w:rPr>
          <w:t>b.</w:t>
        </w:r>
        <w:r w:rsidR="00A64830">
          <w:rPr>
            <w:rFonts w:asciiTheme="minorHAnsi" w:eastAsiaTheme="minorEastAsia" w:hAnsiTheme="minorHAnsi" w:cstheme="minorBidi"/>
            <w:noProof/>
            <w:sz w:val="22"/>
            <w:szCs w:val="22"/>
          </w:rPr>
          <w:tab/>
        </w:r>
        <w:r w:rsidR="00A64830" w:rsidRPr="00965590">
          <w:rPr>
            <w:rStyle w:val="Hyperlink"/>
            <w:noProof/>
          </w:rPr>
          <w:t>Direct and Circumstantial Evidence</w:t>
        </w:r>
        <w:r w:rsidR="00A64830">
          <w:rPr>
            <w:noProof/>
            <w:webHidden/>
          </w:rPr>
          <w:tab/>
        </w:r>
        <w:r w:rsidR="00A64830">
          <w:rPr>
            <w:noProof/>
            <w:webHidden/>
          </w:rPr>
          <w:fldChar w:fldCharType="begin"/>
        </w:r>
        <w:r w:rsidR="00A64830">
          <w:rPr>
            <w:noProof/>
            <w:webHidden/>
          </w:rPr>
          <w:instrText xml:space="preserve"> PAGEREF _Toc395604671 \h </w:instrText>
        </w:r>
        <w:r w:rsidR="00A64830">
          <w:rPr>
            <w:noProof/>
            <w:webHidden/>
          </w:rPr>
        </w:r>
        <w:r w:rsidR="00A64830">
          <w:rPr>
            <w:noProof/>
            <w:webHidden/>
          </w:rPr>
          <w:fldChar w:fldCharType="separate"/>
        </w:r>
        <w:r w:rsidR="00042677">
          <w:rPr>
            <w:noProof/>
            <w:webHidden/>
          </w:rPr>
          <w:t>79</w:t>
        </w:r>
        <w:r w:rsidR="00A64830">
          <w:rPr>
            <w:noProof/>
            <w:webHidden/>
          </w:rPr>
          <w:fldChar w:fldCharType="end"/>
        </w:r>
      </w:hyperlink>
    </w:p>
    <w:p w:rsidR="00A64830" w:rsidRDefault="000F30C0" w:rsidP="00334983">
      <w:pPr>
        <w:pStyle w:val="TOC4"/>
        <w:tabs>
          <w:tab w:val="left" w:pos="1200"/>
          <w:tab w:val="right" w:leader="dot" w:pos="9350"/>
        </w:tabs>
        <w:spacing w:after="0"/>
        <w:rPr>
          <w:rStyle w:val="Hyperlink"/>
          <w:noProof/>
        </w:rPr>
      </w:pPr>
      <w:hyperlink w:anchor="_Toc395604672" w:history="1">
        <w:r w:rsidR="00A64830" w:rsidRPr="00965590">
          <w:rPr>
            <w:rStyle w:val="Hyperlink"/>
            <w:noProof/>
          </w:rPr>
          <w:t>c.</w:t>
        </w:r>
        <w:r w:rsidR="00A64830">
          <w:rPr>
            <w:rFonts w:asciiTheme="minorHAnsi" w:eastAsiaTheme="minorEastAsia" w:hAnsiTheme="minorHAnsi" w:cstheme="minorBidi"/>
            <w:noProof/>
            <w:sz w:val="22"/>
            <w:szCs w:val="22"/>
          </w:rPr>
          <w:tab/>
        </w:r>
        <w:r w:rsidR="00A64830" w:rsidRPr="00965590">
          <w:rPr>
            <w:rStyle w:val="Hyperlink"/>
            <w:noProof/>
          </w:rPr>
          <w:t>Evidence Corroborating an Accomplice’s Testimony</w:t>
        </w:r>
        <w:r w:rsidR="00A64830">
          <w:rPr>
            <w:noProof/>
            <w:webHidden/>
          </w:rPr>
          <w:tab/>
        </w:r>
        <w:r w:rsidR="00A64830">
          <w:rPr>
            <w:noProof/>
            <w:webHidden/>
          </w:rPr>
          <w:fldChar w:fldCharType="begin"/>
        </w:r>
        <w:r w:rsidR="00A64830">
          <w:rPr>
            <w:noProof/>
            <w:webHidden/>
          </w:rPr>
          <w:instrText xml:space="preserve"> PAGEREF _Toc395604672 \h </w:instrText>
        </w:r>
        <w:r w:rsidR="00A64830">
          <w:rPr>
            <w:noProof/>
            <w:webHidden/>
          </w:rPr>
        </w:r>
        <w:r w:rsidR="00A64830">
          <w:rPr>
            <w:noProof/>
            <w:webHidden/>
          </w:rPr>
          <w:fldChar w:fldCharType="separate"/>
        </w:r>
        <w:r w:rsidR="00042677">
          <w:rPr>
            <w:noProof/>
            <w:webHidden/>
          </w:rPr>
          <w:t>80</w:t>
        </w:r>
        <w:r w:rsidR="00A64830">
          <w:rPr>
            <w:noProof/>
            <w:webHidden/>
          </w:rPr>
          <w:fldChar w:fldCharType="end"/>
        </w:r>
      </w:hyperlink>
    </w:p>
    <w:p w:rsidR="00334983" w:rsidRPr="00334983" w:rsidRDefault="00334983" w:rsidP="00334983">
      <w:pPr>
        <w:rPr>
          <w:rFonts w:eastAsiaTheme="minorEastAsia"/>
        </w:rPr>
      </w:pPr>
    </w:p>
    <w:p w:rsidR="00A64830" w:rsidRDefault="000F30C0" w:rsidP="00334983">
      <w:pPr>
        <w:pStyle w:val="TOC2"/>
        <w:rPr>
          <w:rFonts w:asciiTheme="minorHAnsi" w:eastAsiaTheme="minorEastAsia" w:hAnsiTheme="minorHAnsi" w:cstheme="minorBidi"/>
          <w:noProof/>
          <w:sz w:val="22"/>
          <w:szCs w:val="22"/>
        </w:rPr>
      </w:pPr>
      <w:hyperlink w:anchor="_Toc395604673" w:history="1">
        <w:r w:rsidR="00A64830" w:rsidRPr="00965590">
          <w:rPr>
            <w:rStyle w:val="Hyperlink"/>
            <w:noProof/>
          </w:rPr>
          <w:t>D.</w:t>
        </w:r>
        <w:r w:rsidR="00A64830">
          <w:rPr>
            <w:rFonts w:asciiTheme="minorHAnsi" w:eastAsiaTheme="minorEastAsia" w:hAnsiTheme="minorHAnsi" w:cstheme="minorBidi"/>
            <w:noProof/>
            <w:sz w:val="22"/>
            <w:szCs w:val="22"/>
          </w:rPr>
          <w:tab/>
        </w:r>
        <w:r w:rsidR="00A64830" w:rsidRPr="00965590">
          <w:rPr>
            <w:rStyle w:val="Hyperlink"/>
            <w:noProof/>
          </w:rPr>
          <w:t>SENTENCING</w:t>
        </w:r>
        <w:r w:rsidR="00A64830">
          <w:rPr>
            <w:noProof/>
            <w:webHidden/>
          </w:rPr>
          <w:tab/>
        </w:r>
        <w:r w:rsidR="00A64830">
          <w:rPr>
            <w:noProof/>
            <w:webHidden/>
          </w:rPr>
          <w:fldChar w:fldCharType="begin"/>
        </w:r>
        <w:r w:rsidR="00A64830">
          <w:rPr>
            <w:noProof/>
            <w:webHidden/>
          </w:rPr>
          <w:instrText xml:space="preserve"> PAGEREF _Toc395604673 \h </w:instrText>
        </w:r>
        <w:r w:rsidR="00A64830">
          <w:rPr>
            <w:noProof/>
            <w:webHidden/>
          </w:rPr>
        </w:r>
        <w:r w:rsidR="00A64830">
          <w:rPr>
            <w:noProof/>
            <w:webHidden/>
          </w:rPr>
          <w:fldChar w:fldCharType="separate"/>
        </w:r>
        <w:r w:rsidR="00042677">
          <w:rPr>
            <w:noProof/>
            <w:webHidden/>
          </w:rPr>
          <w:t>80</w:t>
        </w:r>
        <w:r w:rsidR="00A64830">
          <w:rPr>
            <w:noProof/>
            <w:webHidden/>
          </w:rPr>
          <w:fldChar w:fldCharType="end"/>
        </w:r>
      </w:hyperlink>
    </w:p>
    <w:p w:rsidR="00A64830" w:rsidRDefault="000F30C0" w:rsidP="00334983">
      <w:pPr>
        <w:pStyle w:val="TOC3"/>
        <w:rPr>
          <w:rFonts w:asciiTheme="minorHAnsi" w:eastAsiaTheme="minorEastAsia" w:hAnsiTheme="minorHAnsi" w:cstheme="minorBidi"/>
          <w:noProof/>
          <w:sz w:val="22"/>
          <w:szCs w:val="22"/>
        </w:rPr>
      </w:pPr>
      <w:hyperlink w:anchor="_Toc395604674" w:history="1">
        <w:r w:rsidR="00A64830" w:rsidRPr="00965590">
          <w:rPr>
            <w:rStyle w:val="Hyperlink"/>
            <w:noProof/>
          </w:rPr>
          <w:t>1.</w:t>
        </w:r>
        <w:r w:rsidR="00A64830">
          <w:rPr>
            <w:rFonts w:asciiTheme="minorHAnsi" w:eastAsiaTheme="minorEastAsia" w:hAnsiTheme="minorHAnsi" w:cstheme="minorBidi"/>
            <w:noProof/>
            <w:sz w:val="22"/>
            <w:szCs w:val="22"/>
          </w:rPr>
          <w:tab/>
        </w:r>
        <w:r w:rsidR="00A64830" w:rsidRPr="00965590">
          <w:rPr>
            <w:rStyle w:val="Hyperlink"/>
            <w:noProof/>
          </w:rPr>
          <w:t>In General</w:t>
        </w:r>
        <w:r w:rsidR="00A64830">
          <w:rPr>
            <w:noProof/>
            <w:webHidden/>
          </w:rPr>
          <w:tab/>
        </w:r>
        <w:r w:rsidR="00A64830">
          <w:rPr>
            <w:noProof/>
            <w:webHidden/>
          </w:rPr>
          <w:fldChar w:fldCharType="begin"/>
        </w:r>
        <w:r w:rsidR="00A64830">
          <w:rPr>
            <w:noProof/>
            <w:webHidden/>
          </w:rPr>
          <w:instrText xml:space="preserve"> PAGEREF _Toc395604674 \h </w:instrText>
        </w:r>
        <w:r w:rsidR="00A64830">
          <w:rPr>
            <w:noProof/>
            <w:webHidden/>
          </w:rPr>
        </w:r>
        <w:r w:rsidR="00A64830">
          <w:rPr>
            <w:noProof/>
            <w:webHidden/>
          </w:rPr>
          <w:fldChar w:fldCharType="separate"/>
        </w:r>
        <w:r w:rsidR="00042677">
          <w:rPr>
            <w:noProof/>
            <w:webHidden/>
          </w:rPr>
          <w:t>80</w:t>
        </w:r>
        <w:r w:rsidR="00A64830">
          <w:rPr>
            <w:noProof/>
            <w:webHidden/>
          </w:rPr>
          <w:fldChar w:fldCharType="end"/>
        </w:r>
      </w:hyperlink>
    </w:p>
    <w:p w:rsidR="00A64830" w:rsidRDefault="000F30C0" w:rsidP="00334983">
      <w:pPr>
        <w:pStyle w:val="TOC3"/>
        <w:rPr>
          <w:rFonts w:asciiTheme="minorHAnsi" w:eastAsiaTheme="minorEastAsia" w:hAnsiTheme="minorHAnsi" w:cstheme="minorBidi"/>
          <w:noProof/>
          <w:sz w:val="22"/>
          <w:szCs w:val="22"/>
        </w:rPr>
      </w:pPr>
      <w:hyperlink w:anchor="_Toc395604675" w:history="1">
        <w:r w:rsidR="00A64830" w:rsidRPr="00965590">
          <w:rPr>
            <w:rStyle w:val="Hyperlink"/>
            <w:noProof/>
          </w:rPr>
          <w:t>2.</w:t>
        </w:r>
        <w:r w:rsidR="00A64830">
          <w:rPr>
            <w:rFonts w:asciiTheme="minorHAnsi" w:eastAsiaTheme="minorEastAsia" w:hAnsiTheme="minorHAnsi" w:cstheme="minorBidi"/>
            <w:noProof/>
            <w:sz w:val="22"/>
            <w:szCs w:val="22"/>
          </w:rPr>
          <w:tab/>
        </w:r>
        <w:r w:rsidR="00A64830" w:rsidRPr="00965590">
          <w:rPr>
            <w:rStyle w:val="Hyperlink"/>
            <w:noProof/>
          </w:rPr>
          <w:t>Interpretation of Guidelines</w:t>
        </w:r>
        <w:r w:rsidR="00A64830">
          <w:rPr>
            <w:noProof/>
            <w:webHidden/>
          </w:rPr>
          <w:tab/>
        </w:r>
        <w:r w:rsidR="00A64830">
          <w:rPr>
            <w:noProof/>
            <w:webHidden/>
          </w:rPr>
          <w:fldChar w:fldCharType="begin"/>
        </w:r>
        <w:r w:rsidR="00A64830">
          <w:rPr>
            <w:noProof/>
            <w:webHidden/>
          </w:rPr>
          <w:instrText xml:space="preserve"> PAGEREF _Toc395604675 \h </w:instrText>
        </w:r>
        <w:r w:rsidR="00A64830">
          <w:rPr>
            <w:noProof/>
            <w:webHidden/>
          </w:rPr>
        </w:r>
        <w:r w:rsidR="00A64830">
          <w:rPr>
            <w:noProof/>
            <w:webHidden/>
          </w:rPr>
          <w:fldChar w:fldCharType="separate"/>
        </w:r>
        <w:r w:rsidR="00042677">
          <w:rPr>
            <w:noProof/>
            <w:webHidden/>
          </w:rPr>
          <w:t>81</w:t>
        </w:r>
        <w:r w:rsidR="00A64830">
          <w:rPr>
            <w:noProof/>
            <w:webHidden/>
          </w:rPr>
          <w:fldChar w:fldCharType="end"/>
        </w:r>
      </w:hyperlink>
    </w:p>
    <w:p w:rsidR="00A64830" w:rsidRDefault="000F30C0" w:rsidP="00334983">
      <w:pPr>
        <w:pStyle w:val="TOC3"/>
        <w:rPr>
          <w:rFonts w:asciiTheme="minorHAnsi" w:eastAsiaTheme="minorEastAsia" w:hAnsiTheme="minorHAnsi" w:cstheme="minorBidi"/>
          <w:noProof/>
          <w:sz w:val="22"/>
          <w:szCs w:val="22"/>
        </w:rPr>
      </w:pPr>
      <w:hyperlink w:anchor="_Toc395604676" w:history="1">
        <w:r w:rsidR="00A64830" w:rsidRPr="00965590">
          <w:rPr>
            <w:rStyle w:val="Hyperlink"/>
            <w:noProof/>
          </w:rPr>
          <w:t>3.</w:t>
        </w:r>
        <w:r w:rsidR="00A64830">
          <w:rPr>
            <w:rFonts w:asciiTheme="minorHAnsi" w:eastAsiaTheme="minorEastAsia" w:hAnsiTheme="minorHAnsi" w:cstheme="minorBidi"/>
            <w:noProof/>
            <w:sz w:val="22"/>
            <w:szCs w:val="22"/>
          </w:rPr>
          <w:tab/>
        </w:r>
        <w:r w:rsidR="00A64830" w:rsidRPr="00965590">
          <w:rPr>
            <w:rStyle w:val="Hyperlink"/>
            <w:noProof/>
          </w:rPr>
          <w:t>Calculation of Sentence</w:t>
        </w:r>
        <w:r w:rsidR="00A64830">
          <w:rPr>
            <w:noProof/>
            <w:webHidden/>
          </w:rPr>
          <w:tab/>
        </w:r>
        <w:r w:rsidR="00A64830">
          <w:rPr>
            <w:noProof/>
            <w:webHidden/>
          </w:rPr>
          <w:fldChar w:fldCharType="begin"/>
        </w:r>
        <w:r w:rsidR="00A64830">
          <w:rPr>
            <w:noProof/>
            <w:webHidden/>
          </w:rPr>
          <w:instrText xml:space="preserve"> PAGEREF _Toc395604676 \h </w:instrText>
        </w:r>
        <w:r w:rsidR="00A64830">
          <w:rPr>
            <w:noProof/>
            <w:webHidden/>
          </w:rPr>
        </w:r>
        <w:r w:rsidR="00A64830">
          <w:rPr>
            <w:noProof/>
            <w:webHidden/>
          </w:rPr>
          <w:fldChar w:fldCharType="separate"/>
        </w:r>
        <w:r w:rsidR="00042677">
          <w:rPr>
            <w:noProof/>
            <w:webHidden/>
          </w:rPr>
          <w:t>81</w:t>
        </w:r>
        <w:r w:rsidR="00A64830">
          <w:rPr>
            <w:noProof/>
            <w:webHidden/>
          </w:rPr>
          <w:fldChar w:fldCharType="end"/>
        </w:r>
      </w:hyperlink>
    </w:p>
    <w:p w:rsidR="00A64830" w:rsidRDefault="000F30C0" w:rsidP="00334983">
      <w:pPr>
        <w:pStyle w:val="TOC4"/>
        <w:tabs>
          <w:tab w:val="left" w:pos="1200"/>
          <w:tab w:val="right" w:leader="dot" w:pos="9350"/>
        </w:tabs>
        <w:spacing w:after="0"/>
        <w:rPr>
          <w:rFonts w:asciiTheme="minorHAnsi" w:eastAsiaTheme="minorEastAsia" w:hAnsiTheme="minorHAnsi" w:cstheme="minorBidi"/>
          <w:noProof/>
          <w:sz w:val="22"/>
          <w:szCs w:val="22"/>
        </w:rPr>
      </w:pPr>
      <w:hyperlink w:anchor="_Toc395604677" w:history="1">
        <w:r w:rsidR="00A64830" w:rsidRPr="00965590">
          <w:rPr>
            <w:rStyle w:val="Hyperlink"/>
            <w:noProof/>
          </w:rPr>
          <w:t>a.</w:t>
        </w:r>
        <w:r w:rsidR="00A64830">
          <w:rPr>
            <w:rFonts w:asciiTheme="minorHAnsi" w:eastAsiaTheme="minorEastAsia" w:hAnsiTheme="minorHAnsi" w:cstheme="minorBidi"/>
            <w:noProof/>
            <w:sz w:val="22"/>
            <w:szCs w:val="22"/>
          </w:rPr>
          <w:tab/>
        </w:r>
        <w:r w:rsidR="00A64830" w:rsidRPr="00965590">
          <w:rPr>
            <w:rStyle w:val="Hyperlink"/>
            <w:noProof/>
          </w:rPr>
          <w:t>Criminal History Score</w:t>
        </w:r>
        <w:r w:rsidR="00A64830">
          <w:rPr>
            <w:noProof/>
            <w:webHidden/>
          </w:rPr>
          <w:tab/>
        </w:r>
        <w:r w:rsidR="00A64830">
          <w:rPr>
            <w:noProof/>
            <w:webHidden/>
          </w:rPr>
          <w:fldChar w:fldCharType="begin"/>
        </w:r>
        <w:r w:rsidR="00A64830">
          <w:rPr>
            <w:noProof/>
            <w:webHidden/>
          </w:rPr>
          <w:instrText xml:space="preserve"> PAGEREF _Toc395604677 \h </w:instrText>
        </w:r>
        <w:r w:rsidR="00A64830">
          <w:rPr>
            <w:noProof/>
            <w:webHidden/>
          </w:rPr>
        </w:r>
        <w:r w:rsidR="00A64830">
          <w:rPr>
            <w:noProof/>
            <w:webHidden/>
          </w:rPr>
          <w:fldChar w:fldCharType="separate"/>
        </w:r>
        <w:r w:rsidR="00042677">
          <w:rPr>
            <w:noProof/>
            <w:webHidden/>
          </w:rPr>
          <w:t>81</w:t>
        </w:r>
        <w:r w:rsidR="00A64830">
          <w:rPr>
            <w:noProof/>
            <w:webHidden/>
          </w:rPr>
          <w:fldChar w:fldCharType="end"/>
        </w:r>
      </w:hyperlink>
    </w:p>
    <w:p w:rsidR="00A64830" w:rsidRDefault="000F30C0" w:rsidP="00334983">
      <w:pPr>
        <w:pStyle w:val="TOC4"/>
        <w:tabs>
          <w:tab w:val="left" w:pos="1200"/>
          <w:tab w:val="right" w:leader="dot" w:pos="9350"/>
        </w:tabs>
        <w:spacing w:after="0"/>
        <w:rPr>
          <w:rFonts w:asciiTheme="minorHAnsi" w:eastAsiaTheme="minorEastAsia" w:hAnsiTheme="minorHAnsi" w:cstheme="minorBidi"/>
          <w:noProof/>
          <w:sz w:val="22"/>
          <w:szCs w:val="22"/>
        </w:rPr>
      </w:pPr>
      <w:hyperlink w:anchor="_Toc395604678" w:history="1">
        <w:r w:rsidR="00A64830" w:rsidRPr="00965590">
          <w:rPr>
            <w:rStyle w:val="Hyperlink"/>
            <w:noProof/>
          </w:rPr>
          <w:t>b.</w:t>
        </w:r>
        <w:r w:rsidR="00A64830">
          <w:rPr>
            <w:rFonts w:asciiTheme="minorHAnsi" w:eastAsiaTheme="minorEastAsia" w:hAnsiTheme="minorHAnsi" w:cstheme="minorBidi"/>
            <w:noProof/>
            <w:sz w:val="22"/>
            <w:szCs w:val="22"/>
          </w:rPr>
          <w:tab/>
        </w:r>
        <w:r w:rsidR="00A64830" w:rsidRPr="00965590">
          <w:rPr>
            <w:rStyle w:val="Hyperlink"/>
            <w:noProof/>
          </w:rPr>
          <w:t>Jail Credit</w:t>
        </w:r>
        <w:r w:rsidR="00A64830">
          <w:rPr>
            <w:noProof/>
            <w:webHidden/>
          </w:rPr>
          <w:tab/>
        </w:r>
        <w:r w:rsidR="00A64830">
          <w:rPr>
            <w:noProof/>
            <w:webHidden/>
          </w:rPr>
          <w:fldChar w:fldCharType="begin"/>
        </w:r>
        <w:r w:rsidR="00A64830">
          <w:rPr>
            <w:noProof/>
            <w:webHidden/>
          </w:rPr>
          <w:instrText xml:space="preserve"> PAGEREF _Toc395604678 \h </w:instrText>
        </w:r>
        <w:r w:rsidR="00A64830">
          <w:rPr>
            <w:noProof/>
            <w:webHidden/>
          </w:rPr>
        </w:r>
        <w:r w:rsidR="00A64830">
          <w:rPr>
            <w:noProof/>
            <w:webHidden/>
          </w:rPr>
          <w:fldChar w:fldCharType="separate"/>
        </w:r>
        <w:r w:rsidR="00042677">
          <w:rPr>
            <w:noProof/>
            <w:webHidden/>
          </w:rPr>
          <w:t>81</w:t>
        </w:r>
        <w:r w:rsidR="00A64830">
          <w:rPr>
            <w:noProof/>
            <w:webHidden/>
          </w:rPr>
          <w:fldChar w:fldCharType="end"/>
        </w:r>
      </w:hyperlink>
    </w:p>
    <w:p w:rsidR="00A64830" w:rsidRDefault="000F30C0" w:rsidP="00334983">
      <w:pPr>
        <w:pStyle w:val="TOC4"/>
        <w:tabs>
          <w:tab w:val="left" w:pos="1200"/>
          <w:tab w:val="right" w:leader="dot" w:pos="9350"/>
        </w:tabs>
        <w:spacing w:after="0"/>
        <w:rPr>
          <w:rFonts w:asciiTheme="minorHAnsi" w:eastAsiaTheme="minorEastAsia" w:hAnsiTheme="minorHAnsi" w:cstheme="minorBidi"/>
          <w:noProof/>
          <w:sz w:val="22"/>
          <w:szCs w:val="22"/>
        </w:rPr>
      </w:pPr>
      <w:hyperlink w:anchor="_Toc395604679" w:history="1">
        <w:r w:rsidR="00A64830" w:rsidRPr="00965590">
          <w:rPr>
            <w:rStyle w:val="Hyperlink"/>
            <w:noProof/>
          </w:rPr>
          <w:t>c.</w:t>
        </w:r>
        <w:r w:rsidR="00A64830">
          <w:rPr>
            <w:rFonts w:asciiTheme="minorHAnsi" w:eastAsiaTheme="minorEastAsia" w:hAnsiTheme="minorHAnsi" w:cstheme="minorBidi"/>
            <w:noProof/>
            <w:sz w:val="22"/>
            <w:szCs w:val="22"/>
          </w:rPr>
          <w:tab/>
        </w:r>
        <w:r w:rsidR="00A64830" w:rsidRPr="00965590">
          <w:rPr>
            <w:rStyle w:val="Hyperlink"/>
            <w:noProof/>
          </w:rPr>
          <w:t>Multiple Sentences</w:t>
        </w:r>
        <w:r w:rsidR="00A64830">
          <w:rPr>
            <w:noProof/>
            <w:webHidden/>
          </w:rPr>
          <w:tab/>
        </w:r>
        <w:r w:rsidR="00A64830">
          <w:rPr>
            <w:noProof/>
            <w:webHidden/>
          </w:rPr>
          <w:fldChar w:fldCharType="begin"/>
        </w:r>
        <w:r w:rsidR="00A64830">
          <w:rPr>
            <w:noProof/>
            <w:webHidden/>
          </w:rPr>
          <w:instrText xml:space="preserve"> PAGEREF _Toc395604679 \h </w:instrText>
        </w:r>
        <w:r w:rsidR="00A64830">
          <w:rPr>
            <w:noProof/>
            <w:webHidden/>
          </w:rPr>
        </w:r>
        <w:r w:rsidR="00A64830">
          <w:rPr>
            <w:noProof/>
            <w:webHidden/>
          </w:rPr>
          <w:fldChar w:fldCharType="separate"/>
        </w:r>
        <w:r w:rsidR="00042677">
          <w:rPr>
            <w:noProof/>
            <w:webHidden/>
          </w:rPr>
          <w:t>81</w:t>
        </w:r>
        <w:r w:rsidR="00A64830">
          <w:rPr>
            <w:noProof/>
            <w:webHidden/>
          </w:rPr>
          <w:fldChar w:fldCharType="end"/>
        </w:r>
      </w:hyperlink>
    </w:p>
    <w:p w:rsidR="00A64830" w:rsidRDefault="000F30C0" w:rsidP="00334983">
      <w:pPr>
        <w:pStyle w:val="TOC3"/>
        <w:rPr>
          <w:rFonts w:asciiTheme="minorHAnsi" w:eastAsiaTheme="minorEastAsia" w:hAnsiTheme="minorHAnsi" w:cstheme="minorBidi"/>
          <w:noProof/>
          <w:sz w:val="22"/>
          <w:szCs w:val="22"/>
        </w:rPr>
      </w:pPr>
      <w:hyperlink w:anchor="_Toc395604680" w:history="1">
        <w:r w:rsidR="00A64830" w:rsidRPr="00965590">
          <w:rPr>
            <w:rStyle w:val="Hyperlink"/>
            <w:noProof/>
          </w:rPr>
          <w:t>4.</w:t>
        </w:r>
        <w:r w:rsidR="00A64830">
          <w:rPr>
            <w:rFonts w:asciiTheme="minorHAnsi" w:eastAsiaTheme="minorEastAsia" w:hAnsiTheme="minorHAnsi" w:cstheme="minorBidi"/>
            <w:noProof/>
            <w:sz w:val="22"/>
            <w:szCs w:val="22"/>
          </w:rPr>
          <w:tab/>
        </w:r>
        <w:r w:rsidR="00A64830" w:rsidRPr="00965590">
          <w:rPr>
            <w:rStyle w:val="Hyperlink"/>
            <w:noProof/>
          </w:rPr>
          <w:t>Imposition of Presumptive Sentence</w:t>
        </w:r>
        <w:r w:rsidR="00A64830">
          <w:rPr>
            <w:noProof/>
            <w:webHidden/>
          </w:rPr>
          <w:tab/>
        </w:r>
        <w:r w:rsidR="00A64830">
          <w:rPr>
            <w:noProof/>
            <w:webHidden/>
          </w:rPr>
          <w:fldChar w:fldCharType="begin"/>
        </w:r>
        <w:r w:rsidR="00A64830">
          <w:rPr>
            <w:noProof/>
            <w:webHidden/>
          </w:rPr>
          <w:instrText xml:space="preserve"> PAGEREF _Toc395604680 \h </w:instrText>
        </w:r>
        <w:r w:rsidR="00A64830">
          <w:rPr>
            <w:noProof/>
            <w:webHidden/>
          </w:rPr>
        </w:r>
        <w:r w:rsidR="00A64830">
          <w:rPr>
            <w:noProof/>
            <w:webHidden/>
          </w:rPr>
          <w:fldChar w:fldCharType="separate"/>
        </w:r>
        <w:r w:rsidR="00042677">
          <w:rPr>
            <w:noProof/>
            <w:webHidden/>
          </w:rPr>
          <w:t>82</w:t>
        </w:r>
        <w:r w:rsidR="00A64830">
          <w:rPr>
            <w:noProof/>
            <w:webHidden/>
          </w:rPr>
          <w:fldChar w:fldCharType="end"/>
        </w:r>
      </w:hyperlink>
    </w:p>
    <w:p w:rsidR="00A64830" w:rsidRDefault="000F30C0" w:rsidP="00334983">
      <w:pPr>
        <w:pStyle w:val="TOC3"/>
        <w:rPr>
          <w:rFonts w:asciiTheme="minorHAnsi" w:eastAsiaTheme="minorEastAsia" w:hAnsiTheme="minorHAnsi" w:cstheme="minorBidi"/>
          <w:noProof/>
          <w:sz w:val="22"/>
          <w:szCs w:val="22"/>
        </w:rPr>
      </w:pPr>
      <w:hyperlink w:anchor="_Toc395604681" w:history="1">
        <w:r w:rsidR="00A64830" w:rsidRPr="00965590">
          <w:rPr>
            <w:rStyle w:val="Hyperlink"/>
            <w:noProof/>
          </w:rPr>
          <w:t>5.</w:t>
        </w:r>
        <w:r w:rsidR="00A64830">
          <w:rPr>
            <w:rFonts w:asciiTheme="minorHAnsi" w:eastAsiaTheme="minorEastAsia" w:hAnsiTheme="minorHAnsi" w:cstheme="minorBidi"/>
            <w:noProof/>
            <w:sz w:val="22"/>
            <w:szCs w:val="22"/>
          </w:rPr>
          <w:tab/>
        </w:r>
        <w:r w:rsidR="00A64830" w:rsidRPr="00965590">
          <w:rPr>
            <w:rStyle w:val="Hyperlink"/>
            <w:noProof/>
          </w:rPr>
          <w:t>Departures from Guidelines</w:t>
        </w:r>
        <w:r w:rsidR="00A64830">
          <w:rPr>
            <w:noProof/>
            <w:webHidden/>
          </w:rPr>
          <w:tab/>
        </w:r>
        <w:r w:rsidR="00A64830">
          <w:rPr>
            <w:noProof/>
            <w:webHidden/>
          </w:rPr>
          <w:fldChar w:fldCharType="begin"/>
        </w:r>
        <w:r w:rsidR="00A64830">
          <w:rPr>
            <w:noProof/>
            <w:webHidden/>
          </w:rPr>
          <w:instrText xml:space="preserve"> PAGEREF _Toc395604681 \h </w:instrText>
        </w:r>
        <w:r w:rsidR="00A64830">
          <w:rPr>
            <w:noProof/>
            <w:webHidden/>
          </w:rPr>
        </w:r>
        <w:r w:rsidR="00A64830">
          <w:rPr>
            <w:noProof/>
            <w:webHidden/>
          </w:rPr>
          <w:fldChar w:fldCharType="separate"/>
        </w:r>
        <w:r w:rsidR="00042677">
          <w:rPr>
            <w:noProof/>
            <w:webHidden/>
          </w:rPr>
          <w:t>82</w:t>
        </w:r>
        <w:r w:rsidR="00A64830">
          <w:rPr>
            <w:noProof/>
            <w:webHidden/>
          </w:rPr>
          <w:fldChar w:fldCharType="end"/>
        </w:r>
      </w:hyperlink>
    </w:p>
    <w:p w:rsidR="00A64830" w:rsidRDefault="000F30C0" w:rsidP="00334983">
      <w:pPr>
        <w:pStyle w:val="TOC4"/>
        <w:tabs>
          <w:tab w:val="left" w:pos="1200"/>
          <w:tab w:val="right" w:leader="dot" w:pos="9350"/>
        </w:tabs>
        <w:spacing w:after="0"/>
        <w:rPr>
          <w:rFonts w:asciiTheme="minorHAnsi" w:eastAsiaTheme="minorEastAsia" w:hAnsiTheme="minorHAnsi" w:cstheme="minorBidi"/>
          <w:noProof/>
          <w:sz w:val="22"/>
          <w:szCs w:val="22"/>
        </w:rPr>
      </w:pPr>
      <w:hyperlink w:anchor="_Toc395604682" w:history="1">
        <w:r w:rsidR="00A64830" w:rsidRPr="00965590">
          <w:rPr>
            <w:rStyle w:val="Hyperlink"/>
            <w:noProof/>
          </w:rPr>
          <w:t>a.</w:t>
        </w:r>
        <w:r w:rsidR="00A64830">
          <w:rPr>
            <w:rFonts w:asciiTheme="minorHAnsi" w:eastAsiaTheme="minorEastAsia" w:hAnsiTheme="minorHAnsi" w:cstheme="minorBidi"/>
            <w:noProof/>
            <w:sz w:val="22"/>
            <w:szCs w:val="22"/>
          </w:rPr>
          <w:tab/>
        </w:r>
        <w:r w:rsidR="00A64830" w:rsidRPr="00965590">
          <w:rPr>
            <w:rStyle w:val="Hyperlink"/>
            <w:noProof/>
          </w:rPr>
          <w:t>In General</w:t>
        </w:r>
        <w:r w:rsidR="00A64830">
          <w:rPr>
            <w:noProof/>
            <w:webHidden/>
          </w:rPr>
          <w:tab/>
        </w:r>
        <w:r w:rsidR="00A64830">
          <w:rPr>
            <w:noProof/>
            <w:webHidden/>
          </w:rPr>
          <w:fldChar w:fldCharType="begin"/>
        </w:r>
        <w:r w:rsidR="00A64830">
          <w:rPr>
            <w:noProof/>
            <w:webHidden/>
          </w:rPr>
          <w:instrText xml:space="preserve"> PAGEREF _Toc395604682 \h </w:instrText>
        </w:r>
        <w:r w:rsidR="00A64830">
          <w:rPr>
            <w:noProof/>
            <w:webHidden/>
          </w:rPr>
        </w:r>
        <w:r w:rsidR="00A64830">
          <w:rPr>
            <w:noProof/>
            <w:webHidden/>
          </w:rPr>
          <w:fldChar w:fldCharType="separate"/>
        </w:r>
        <w:r w:rsidR="00042677">
          <w:rPr>
            <w:noProof/>
            <w:webHidden/>
          </w:rPr>
          <w:t>82</w:t>
        </w:r>
        <w:r w:rsidR="00A64830">
          <w:rPr>
            <w:noProof/>
            <w:webHidden/>
          </w:rPr>
          <w:fldChar w:fldCharType="end"/>
        </w:r>
      </w:hyperlink>
    </w:p>
    <w:p w:rsidR="00A64830" w:rsidRDefault="000F30C0" w:rsidP="00334983">
      <w:pPr>
        <w:pStyle w:val="TOC4"/>
        <w:tabs>
          <w:tab w:val="left" w:pos="1200"/>
          <w:tab w:val="right" w:leader="dot" w:pos="9350"/>
        </w:tabs>
        <w:spacing w:after="0"/>
        <w:rPr>
          <w:rFonts w:asciiTheme="minorHAnsi" w:eastAsiaTheme="minorEastAsia" w:hAnsiTheme="minorHAnsi" w:cstheme="minorBidi"/>
          <w:noProof/>
          <w:sz w:val="22"/>
          <w:szCs w:val="22"/>
        </w:rPr>
      </w:pPr>
      <w:hyperlink w:anchor="_Toc395604683" w:history="1">
        <w:r w:rsidR="00A64830" w:rsidRPr="00965590">
          <w:rPr>
            <w:rStyle w:val="Hyperlink"/>
            <w:noProof/>
          </w:rPr>
          <w:t>b.</w:t>
        </w:r>
        <w:r w:rsidR="00A64830">
          <w:rPr>
            <w:rFonts w:asciiTheme="minorHAnsi" w:eastAsiaTheme="minorEastAsia" w:hAnsiTheme="minorHAnsi" w:cstheme="minorBidi"/>
            <w:noProof/>
            <w:sz w:val="22"/>
            <w:szCs w:val="22"/>
          </w:rPr>
          <w:tab/>
        </w:r>
        <w:r w:rsidR="00A64830" w:rsidRPr="00965590">
          <w:rPr>
            <w:rStyle w:val="Hyperlink"/>
            <w:noProof/>
          </w:rPr>
          <w:t>Mitigating Factors</w:t>
        </w:r>
        <w:r w:rsidR="00A64830">
          <w:rPr>
            <w:noProof/>
            <w:webHidden/>
          </w:rPr>
          <w:tab/>
        </w:r>
        <w:r w:rsidR="00A64830">
          <w:rPr>
            <w:noProof/>
            <w:webHidden/>
          </w:rPr>
          <w:fldChar w:fldCharType="begin"/>
        </w:r>
        <w:r w:rsidR="00A64830">
          <w:rPr>
            <w:noProof/>
            <w:webHidden/>
          </w:rPr>
          <w:instrText xml:space="preserve"> PAGEREF _Toc395604683 \h </w:instrText>
        </w:r>
        <w:r w:rsidR="00A64830">
          <w:rPr>
            <w:noProof/>
            <w:webHidden/>
          </w:rPr>
        </w:r>
        <w:r w:rsidR="00A64830">
          <w:rPr>
            <w:noProof/>
            <w:webHidden/>
          </w:rPr>
          <w:fldChar w:fldCharType="separate"/>
        </w:r>
        <w:r w:rsidR="00042677">
          <w:rPr>
            <w:noProof/>
            <w:webHidden/>
          </w:rPr>
          <w:t>82</w:t>
        </w:r>
        <w:r w:rsidR="00A64830">
          <w:rPr>
            <w:noProof/>
            <w:webHidden/>
          </w:rPr>
          <w:fldChar w:fldCharType="end"/>
        </w:r>
      </w:hyperlink>
    </w:p>
    <w:p w:rsidR="00A64830" w:rsidRDefault="000F30C0" w:rsidP="00334983">
      <w:pPr>
        <w:pStyle w:val="TOC4"/>
        <w:tabs>
          <w:tab w:val="left" w:pos="1200"/>
          <w:tab w:val="right" w:leader="dot" w:pos="9350"/>
        </w:tabs>
        <w:spacing w:after="0"/>
        <w:rPr>
          <w:rFonts w:asciiTheme="minorHAnsi" w:eastAsiaTheme="minorEastAsia" w:hAnsiTheme="minorHAnsi" w:cstheme="minorBidi"/>
          <w:noProof/>
          <w:sz w:val="22"/>
          <w:szCs w:val="22"/>
        </w:rPr>
      </w:pPr>
      <w:hyperlink w:anchor="_Toc395604684" w:history="1">
        <w:r w:rsidR="00A64830" w:rsidRPr="00965590">
          <w:rPr>
            <w:rStyle w:val="Hyperlink"/>
            <w:noProof/>
          </w:rPr>
          <w:t>c.</w:t>
        </w:r>
        <w:r w:rsidR="00A64830">
          <w:rPr>
            <w:rFonts w:asciiTheme="minorHAnsi" w:eastAsiaTheme="minorEastAsia" w:hAnsiTheme="minorHAnsi" w:cstheme="minorBidi"/>
            <w:noProof/>
            <w:sz w:val="22"/>
            <w:szCs w:val="22"/>
          </w:rPr>
          <w:tab/>
        </w:r>
        <w:r w:rsidR="00A64830" w:rsidRPr="00965590">
          <w:rPr>
            <w:rStyle w:val="Hyperlink"/>
            <w:noProof/>
          </w:rPr>
          <w:t>Aggravating Factors</w:t>
        </w:r>
        <w:r w:rsidR="00A64830">
          <w:rPr>
            <w:noProof/>
            <w:webHidden/>
          </w:rPr>
          <w:tab/>
        </w:r>
        <w:r w:rsidR="00A64830">
          <w:rPr>
            <w:noProof/>
            <w:webHidden/>
          </w:rPr>
          <w:fldChar w:fldCharType="begin"/>
        </w:r>
        <w:r w:rsidR="00A64830">
          <w:rPr>
            <w:noProof/>
            <w:webHidden/>
          </w:rPr>
          <w:instrText xml:space="preserve"> PAGEREF _Toc395604684 \h </w:instrText>
        </w:r>
        <w:r w:rsidR="00A64830">
          <w:rPr>
            <w:noProof/>
            <w:webHidden/>
          </w:rPr>
        </w:r>
        <w:r w:rsidR="00A64830">
          <w:rPr>
            <w:noProof/>
            <w:webHidden/>
          </w:rPr>
          <w:fldChar w:fldCharType="separate"/>
        </w:r>
        <w:r w:rsidR="00042677">
          <w:rPr>
            <w:noProof/>
            <w:webHidden/>
          </w:rPr>
          <w:t>82</w:t>
        </w:r>
        <w:r w:rsidR="00A64830">
          <w:rPr>
            <w:noProof/>
            <w:webHidden/>
          </w:rPr>
          <w:fldChar w:fldCharType="end"/>
        </w:r>
      </w:hyperlink>
    </w:p>
    <w:p w:rsidR="00A64830" w:rsidRDefault="000F30C0" w:rsidP="00334983">
      <w:pPr>
        <w:pStyle w:val="TOC3"/>
        <w:rPr>
          <w:rFonts w:asciiTheme="minorHAnsi" w:eastAsiaTheme="minorEastAsia" w:hAnsiTheme="minorHAnsi" w:cstheme="minorBidi"/>
          <w:noProof/>
          <w:sz w:val="22"/>
          <w:szCs w:val="22"/>
        </w:rPr>
      </w:pPr>
      <w:hyperlink w:anchor="_Toc395604685" w:history="1">
        <w:r w:rsidR="00A64830" w:rsidRPr="00965590">
          <w:rPr>
            <w:rStyle w:val="Hyperlink"/>
            <w:noProof/>
          </w:rPr>
          <w:t>6.</w:t>
        </w:r>
        <w:r w:rsidR="00A64830">
          <w:rPr>
            <w:rFonts w:asciiTheme="minorHAnsi" w:eastAsiaTheme="minorEastAsia" w:hAnsiTheme="minorHAnsi" w:cstheme="minorBidi"/>
            <w:noProof/>
            <w:sz w:val="22"/>
            <w:szCs w:val="22"/>
          </w:rPr>
          <w:tab/>
        </w:r>
        <w:r w:rsidR="00A64830" w:rsidRPr="00965590">
          <w:rPr>
            <w:rStyle w:val="Hyperlink"/>
            <w:noProof/>
          </w:rPr>
          <w:t>Restitution</w:t>
        </w:r>
        <w:r w:rsidR="00A64830">
          <w:rPr>
            <w:noProof/>
            <w:webHidden/>
          </w:rPr>
          <w:tab/>
        </w:r>
        <w:r w:rsidR="00A64830">
          <w:rPr>
            <w:noProof/>
            <w:webHidden/>
          </w:rPr>
          <w:fldChar w:fldCharType="begin"/>
        </w:r>
        <w:r w:rsidR="00A64830">
          <w:rPr>
            <w:noProof/>
            <w:webHidden/>
          </w:rPr>
          <w:instrText xml:space="preserve"> PAGEREF _Toc395604685 \h </w:instrText>
        </w:r>
        <w:r w:rsidR="00A64830">
          <w:rPr>
            <w:noProof/>
            <w:webHidden/>
          </w:rPr>
        </w:r>
        <w:r w:rsidR="00A64830">
          <w:rPr>
            <w:noProof/>
            <w:webHidden/>
          </w:rPr>
          <w:fldChar w:fldCharType="separate"/>
        </w:r>
        <w:r w:rsidR="00042677">
          <w:rPr>
            <w:noProof/>
            <w:webHidden/>
          </w:rPr>
          <w:t>83</w:t>
        </w:r>
        <w:r w:rsidR="00A64830">
          <w:rPr>
            <w:noProof/>
            <w:webHidden/>
          </w:rPr>
          <w:fldChar w:fldCharType="end"/>
        </w:r>
      </w:hyperlink>
    </w:p>
    <w:p w:rsidR="00A64830" w:rsidRDefault="000F30C0" w:rsidP="00334983">
      <w:pPr>
        <w:pStyle w:val="TOC3"/>
        <w:rPr>
          <w:rStyle w:val="Hyperlink"/>
          <w:noProof/>
        </w:rPr>
      </w:pPr>
      <w:hyperlink w:anchor="_Toc395604686" w:history="1">
        <w:r w:rsidR="00A64830" w:rsidRPr="00965590">
          <w:rPr>
            <w:rStyle w:val="Hyperlink"/>
            <w:noProof/>
          </w:rPr>
          <w:t>7.</w:t>
        </w:r>
        <w:r w:rsidR="00A64830">
          <w:rPr>
            <w:rFonts w:asciiTheme="minorHAnsi" w:eastAsiaTheme="minorEastAsia" w:hAnsiTheme="minorHAnsi" w:cstheme="minorBidi"/>
            <w:noProof/>
            <w:sz w:val="22"/>
            <w:szCs w:val="22"/>
          </w:rPr>
          <w:tab/>
        </w:r>
        <w:r w:rsidR="00A64830" w:rsidRPr="00965590">
          <w:rPr>
            <w:rStyle w:val="Hyperlink"/>
            <w:noProof/>
          </w:rPr>
          <w:t>Probation Revocation</w:t>
        </w:r>
        <w:r w:rsidR="00A64830">
          <w:rPr>
            <w:noProof/>
            <w:webHidden/>
          </w:rPr>
          <w:tab/>
        </w:r>
        <w:r w:rsidR="00A64830">
          <w:rPr>
            <w:noProof/>
            <w:webHidden/>
          </w:rPr>
          <w:fldChar w:fldCharType="begin"/>
        </w:r>
        <w:r w:rsidR="00A64830">
          <w:rPr>
            <w:noProof/>
            <w:webHidden/>
          </w:rPr>
          <w:instrText xml:space="preserve"> PAGEREF _Toc395604686 \h </w:instrText>
        </w:r>
        <w:r w:rsidR="00A64830">
          <w:rPr>
            <w:noProof/>
            <w:webHidden/>
          </w:rPr>
        </w:r>
        <w:r w:rsidR="00A64830">
          <w:rPr>
            <w:noProof/>
            <w:webHidden/>
          </w:rPr>
          <w:fldChar w:fldCharType="separate"/>
        </w:r>
        <w:r w:rsidR="00042677">
          <w:rPr>
            <w:noProof/>
            <w:webHidden/>
          </w:rPr>
          <w:t>83</w:t>
        </w:r>
        <w:r w:rsidR="00A64830">
          <w:rPr>
            <w:noProof/>
            <w:webHidden/>
          </w:rPr>
          <w:fldChar w:fldCharType="end"/>
        </w:r>
      </w:hyperlink>
    </w:p>
    <w:p w:rsidR="00334983" w:rsidRPr="00334983" w:rsidRDefault="00334983" w:rsidP="00334983">
      <w:pPr>
        <w:rPr>
          <w:rFonts w:eastAsiaTheme="minorEastAsia"/>
        </w:rPr>
      </w:pPr>
    </w:p>
    <w:p w:rsidR="00A64830" w:rsidRDefault="000F30C0" w:rsidP="00334983">
      <w:pPr>
        <w:pStyle w:val="TOC2"/>
        <w:rPr>
          <w:rFonts w:asciiTheme="minorHAnsi" w:eastAsiaTheme="minorEastAsia" w:hAnsiTheme="minorHAnsi" w:cstheme="minorBidi"/>
          <w:noProof/>
          <w:sz w:val="22"/>
          <w:szCs w:val="22"/>
        </w:rPr>
      </w:pPr>
      <w:hyperlink w:anchor="_Toc395604687" w:history="1">
        <w:r w:rsidR="00A64830" w:rsidRPr="00965590">
          <w:rPr>
            <w:rStyle w:val="Hyperlink"/>
            <w:noProof/>
          </w:rPr>
          <w:t>E.</w:t>
        </w:r>
        <w:r w:rsidR="00A64830">
          <w:rPr>
            <w:rFonts w:asciiTheme="minorHAnsi" w:eastAsiaTheme="minorEastAsia" w:hAnsiTheme="minorHAnsi" w:cstheme="minorBidi"/>
            <w:noProof/>
            <w:sz w:val="22"/>
            <w:szCs w:val="22"/>
          </w:rPr>
          <w:tab/>
        </w:r>
        <w:r w:rsidR="00A64830" w:rsidRPr="00965590">
          <w:rPr>
            <w:rStyle w:val="Hyperlink"/>
            <w:noProof/>
          </w:rPr>
          <w:t>POSTCONVICTION RELIEF</w:t>
        </w:r>
        <w:r w:rsidR="00A64830">
          <w:rPr>
            <w:noProof/>
            <w:webHidden/>
          </w:rPr>
          <w:tab/>
        </w:r>
        <w:r w:rsidR="00A64830">
          <w:rPr>
            <w:noProof/>
            <w:webHidden/>
          </w:rPr>
          <w:fldChar w:fldCharType="begin"/>
        </w:r>
        <w:r w:rsidR="00A64830">
          <w:rPr>
            <w:noProof/>
            <w:webHidden/>
          </w:rPr>
          <w:instrText xml:space="preserve"> PAGEREF _Toc395604687 \h </w:instrText>
        </w:r>
        <w:r w:rsidR="00A64830">
          <w:rPr>
            <w:noProof/>
            <w:webHidden/>
          </w:rPr>
        </w:r>
        <w:r w:rsidR="00A64830">
          <w:rPr>
            <w:noProof/>
            <w:webHidden/>
          </w:rPr>
          <w:fldChar w:fldCharType="separate"/>
        </w:r>
        <w:r w:rsidR="00042677">
          <w:rPr>
            <w:noProof/>
            <w:webHidden/>
          </w:rPr>
          <w:t>83</w:t>
        </w:r>
        <w:r w:rsidR="00A64830">
          <w:rPr>
            <w:noProof/>
            <w:webHidden/>
          </w:rPr>
          <w:fldChar w:fldCharType="end"/>
        </w:r>
      </w:hyperlink>
    </w:p>
    <w:p w:rsidR="00A64830" w:rsidRDefault="000F30C0" w:rsidP="00334983">
      <w:pPr>
        <w:pStyle w:val="TOC3"/>
        <w:rPr>
          <w:rFonts w:asciiTheme="minorHAnsi" w:eastAsiaTheme="minorEastAsia" w:hAnsiTheme="minorHAnsi" w:cstheme="minorBidi"/>
          <w:noProof/>
          <w:sz w:val="22"/>
          <w:szCs w:val="22"/>
        </w:rPr>
      </w:pPr>
      <w:hyperlink w:anchor="_Toc395604688" w:history="1">
        <w:r w:rsidR="00A64830" w:rsidRPr="00965590">
          <w:rPr>
            <w:rStyle w:val="Hyperlink"/>
            <w:noProof/>
          </w:rPr>
          <w:t>1.</w:t>
        </w:r>
        <w:r w:rsidR="00A64830">
          <w:rPr>
            <w:rFonts w:asciiTheme="minorHAnsi" w:eastAsiaTheme="minorEastAsia" w:hAnsiTheme="minorHAnsi" w:cstheme="minorBidi"/>
            <w:noProof/>
            <w:sz w:val="22"/>
            <w:szCs w:val="22"/>
          </w:rPr>
          <w:tab/>
        </w:r>
        <w:r w:rsidR="00A64830" w:rsidRPr="00965590">
          <w:rPr>
            <w:rStyle w:val="Hyperlink"/>
            <w:noProof/>
          </w:rPr>
          <w:t>In General</w:t>
        </w:r>
        <w:r w:rsidR="00A64830">
          <w:rPr>
            <w:noProof/>
            <w:webHidden/>
          </w:rPr>
          <w:tab/>
        </w:r>
        <w:r w:rsidR="00A64830">
          <w:rPr>
            <w:noProof/>
            <w:webHidden/>
          </w:rPr>
          <w:fldChar w:fldCharType="begin"/>
        </w:r>
        <w:r w:rsidR="00A64830">
          <w:rPr>
            <w:noProof/>
            <w:webHidden/>
          </w:rPr>
          <w:instrText xml:space="preserve"> PAGEREF _Toc395604688 \h </w:instrText>
        </w:r>
        <w:r w:rsidR="00A64830">
          <w:rPr>
            <w:noProof/>
            <w:webHidden/>
          </w:rPr>
        </w:r>
        <w:r w:rsidR="00A64830">
          <w:rPr>
            <w:noProof/>
            <w:webHidden/>
          </w:rPr>
          <w:fldChar w:fldCharType="separate"/>
        </w:r>
        <w:r w:rsidR="00042677">
          <w:rPr>
            <w:noProof/>
            <w:webHidden/>
          </w:rPr>
          <w:t>83</w:t>
        </w:r>
        <w:r w:rsidR="00A64830">
          <w:rPr>
            <w:noProof/>
            <w:webHidden/>
          </w:rPr>
          <w:fldChar w:fldCharType="end"/>
        </w:r>
      </w:hyperlink>
    </w:p>
    <w:p w:rsidR="00A64830" w:rsidRDefault="000F30C0" w:rsidP="00334983">
      <w:pPr>
        <w:pStyle w:val="TOC3"/>
        <w:rPr>
          <w:rFonts w:asciiTheme="minorHAnsi" w:eastAsiaTheme="minorEastAsia" w:hAnsiTheme="minorHAnsi" w:cstheme="minorBidi"/>
          <w:noProof/>
          <w:sz w:val="22"/>
          <w:szCs w:val="22"/>
        </w:rPr>
      </w:pPr>
      <w:hyperlink w:anchor="_Toc395604689" w:history="1">
        <w:r w:rsidR="00A64830" w:rsidRPr="00965590">
          <w:rPr>
            <w:rStyle w:val="Hyperlink"/>
            <w:noProof/>
          </w:rPr>
          <w:t>2.</w:t>
        </w:r>
        <w:r w:rsidR="00A64830">
          <w:rPr>
            <w:rFonts w:asciiTheme="minorHAnsi" w:eastAsiaTheme="minorEastAsia" w:hAnsiTheme="minorHAnsi" w:cstheme="minorBidi"/>
            <w:noProof/>
            <w:sz w:val="22"/>
            <w:szCs w:val="22"/>
          </w:rPr>
          <w:tab/>
        </w:r>
        <w:r w:rsidR="00A64830" w:rsidRPr="00965590">
          <w:rPr>
            <w:rStyle w:val="Hyperlink"/>
            <w:noProof/>
          </w:rPr>
          <w:t>New Trial</w:t>
        </w:r>
        <w:r w:rsidR="00A64830">
          <w:rPr>
            <w:noProof/>
            <w:webHidden/>
          </w:rPr>
          <w:tab/>
        </w:r>
        <w:r w:rsidR="00A64830">
          <w:rPr>
            <w:noProof/>
            <w:webHidden/>
          </w:rPr>
          <w:fldChar w:fldCharType="begin"/>
        </w:r>
        <w:r w:rsidR="00A64830">
          <w:rPr>
            <w:noProof/>
            <w:webHidden/>
          </w:rPr>
          <w:instrText xml:space="preserve"> PAGEREF _Toc395604689 \h </w:instrText>
        </w:r>
        <w:r w:rsidR="00A64830">
          <w:rPr>
            <w:noProof/>
            <w:webHidden/>
          </w:rPr>
        </w:r>
        <w:r w:rsidR="00A64830">
          <w:rPr>
            <w:noProof/>
            <w:webHidden/>
          </w:rPr>
          <w:fldChar w:fldCharType="separate"/>
        </w:r>
        <w:r w:rsidR="00042677">
          <w:rPr>
            <w:noProof/>
            <w:webHidden/>
          </w:rPr>
          <w:t>85</w:t>
        </w:r>
        <w:r w:rsidR="00A64830">
          <w:rPr>
            <w:noProof/>
            <w:webHidden/>
          </w:rPr>
          <w:fldChar w:fldCharType="end"/>
        </w:r>
      </w:hyperlink>
    </w:p>
    <w:p w:rsidR="00A64830" w:rsidRDefault="000F30C0" w:rsidP="00334983">
      <w:pPr>
        <w:pStyle w:val="TOC4"/>
        <w:tabs>
          <w:tab w:val="left" w:pos="1200"/>
          <w:tab w:val="right" w:leader="dot" w:pos="9350"/>
        </w:tabs>
        <w:spacing w:after="0"/>
        <w:rPr>
          <w:rFonts w:asciiTheme="minorHAnsi" w:eastAsiaTheme="minorEastAsia" w:hAnsiTheme="minorHAnsi" w:cstheme="minorBidi"/>
          <w:noProof/>
          <w:sz w:val="22"/>
          <w:szCs w:val="22"/>
        </w:rPr>
      </w:pPr>
      <w:hyperlink w:anchor="_Toc395604690" w:history="1">
        <w:r w:rsidR="00A64830" w:rsidRPr="00965590">
          <w:rPr>
            <w:rStyle w:val="Hyperlink"/>
            <w:noProof/>
          </w:rPr>
          <w:t>a.</w:t>
        </w:r>
        <w:r w:rsidR="00A64830">
          <w:rPr>
            <w:rFonts w:asciiTheme="minorHAnsi" w:eastAsiaTheme="minorEastAsia" w:hAnsiTheme="minorHAnsi" w:cstheme="minorBidi"/>
            <w:noProof/>
            <w:sz w:val="22"/>
            <w:szCs w:val="22"/>
          </w:rPr>
          <w:tab/>
        </w:r>
        <w:r w:rsidR="00A64830" w:rsidRPr="00965590">
          <w:rPr>
            <w:rStyle w:val="Hyperlink"/>
            <w:noProof/>
          </w:rPr>
          <w:t>In General</w:t>
        </w:r>
        <w:r w:rsidR="00A64830">
          <w:rPr>
            <w:noProof/>
            <w:webHidden/>
          </w:rPr>
          <w:tab/>
        </w:r>
        <w:r w:rsidR="00A64830">
          <w:rPr>
            <w:noProof/>
            <w:webHidden/>
          </w:rPr>
          <w:fldChar w:fldCharType="begin"/>
        </w:r>
        <w:r w:rsidR="00A64830">
          <w:rPr>
            <w:noProof/>
            <w:webHidden/>
          </w:rPr>
          <w:instrText xml:space="preserve"> PAGEREF _Toc395604690 \h </w:instrText>
        </w:r>
        <w:r w:rsidR="00A64830">
          <w:rPr>
            <w:noProof/>
            <w:webHidden/>
          </w:rPr>
        </w:r>
        <w:r w:rsidR="00A64830">
          <w:rPr>
            <w:noProof/>
            <w:webHidden/>
          </w:rPr>
          <w:fldChar w:fldCharType="separate"/>
        </w:r>
        <w:r w:rsidR="00042677">
          <w:rPr>
            <w:noProof/>
            <w:webHidden/>
          </w:rPr>
          <w:t>85</w:t>
        </w:r>
        <w:r w:rsidR="00A64830">
          <w:rPr>
            <w:noProof/>
            <w:webHidden/>
          </w:rPr>
          <w:fldChar w:fldCharType="end"/>
        </w:r>
      </w:hyperlink>
    </w:p>
    <w:p w:rsidR="00A64830" w:rsidRDefault="000F30C0" w:rsidP="00334983">
      <w:pPr>
        <w:pStyle w:val="TOC4"/>
        <w:tabs>
          <w:tab w:val="left" w:pos="1200"/>
          <w:tab w:val="right" w:leader="dot" w:pos="9350"/>
        </w:tabs>
        <w:spacing w:after="0"/>
        <w:rPr>
          <w:rFonts w:asciiTheme="minorHAnsi" w:eastAsiaTheme="minorEastAsia" w:hAnsiTheme="minorHAnsi" w:cstheme="minorBidi"/>
          <w:noProof/>
          <w:sz w:val="22"/>
          <w:szCs w:val="22"/>
        </w:rPr>
      </w:pPr>
      <w:hyperlink w:anchor="_Toc395604691" w:history="1">
        <w:r w:rsidR="00A64830" w:rsidRPr="00965590">
          <w:rPr>
            <w:rStyle w:val="Hyperlink"/>
            <w:noProof/>
          </w:rPr>
          <w:t>b.</w:t>
        </w:r>
        <w:r w:rsidR="00A64830">
          <w:rPr>
            <w:rFonts w:asciiTheme="minorHAnsi" w:eastAsiaTheme="minorEastAsia" w:hAnsiTheme="minorHAnsi" w:cstheme="minorBidi"/>
            <w:noProof/>
            <w:sz w:val="22"/>
            <w:szCs w:val="22"/>
          </w:rPr>
          <w:tab/>
        </w:r>
        <w:r w:rsidR="00A64830" w:rsidRPr="00965590">
          <w:rPr>
            <w:rStyle w:val="Hyperlink"/>
            <w:noProof/>
          </w:rPr>
          <w:t>Newly Discovered Evidence</w:t>
        </w:r>
        <w:r w:rsidR="00A64830">
          <w:rPr>
            <w:noProof/>
            <w:webHidden/>
          </w:rPr>
          <w:tab/>
        </w:r>
        <w:r w:rsidR="00A64830">
          <w:rPr>
            <w:noProof/>
            <w:webHidden/>
          </w:rPr>
          <w:fldChar w:fldCharType="begin"/>
        </w:r>
        <w:r w:rsidR="00A64830">
          <w:rPr>
            <w:noProof/>
            <w:webHidden/>
          </w:rPr>
          <w:instrText xml:space="preserve"> PAGEREF _Toc395604691 \h </w:instrText>
        </w:r>
        <w:r w:rsidR="00A64830">
          <w:rPr>
            <w:noProof/>
            <w:webHidden/>
          </w:rPr>
        </w:r>
        <w:r w:rsidR="00A64830">
          <w:rPr>
            <w:noProof/>
            <w:webHidden/>
          </w:rPr>
          <w:fldChar w:fldCharType="separate"/>
        </w:r>
        <w:r w:rsidR="00042677">
          <w:rPr>
            <w:noProof/>
            <w:webHidden/>
          </w:rPr>
          <w:t>85</w:t>
        </w:r>
        <w:r w:rsidR="00A64830">
          <w:rPr>
            <w:noProof/>
            <w:webHidden/>
          </w:rPr>
          <w:fldChar w:fldCharType="end"/>
        </w:r>
      </w:hyperlink>
    </w:p>
    <w:p w:rsidR="00A64830" w:rsidRDefault="000F30C0" w:rsidP="00334983">
      <w:pPr>
        <w:pStyle w:val="TOC4"/>
        <w:tabs>
          <w:tab w:val="left" w:pos="1200"/>
          <w:tab w:val="right" w:leader="dot" w:pos="9350"/>
        </w:tabs>
        <w:spacing w:after="0"/>
        <w:rPr>
          <w:rFonts w:asciiTheme="minorHAnsi" w:eastAsiaTheme="minorEastAsia" w:hAnsiTheme="minorHAnsi" w:cstheme="minorBidi"/>
          <w:noProof/>
          <w:sz w:val="22"/>
          <w:szCs w:val="22"/>
        </w:rPr>
      </w:pPr>
      <w:hyperlink w:anchor="_Toc395604692" w:history="1">
        <w:r w:rsidR="00A64830" w:rsidRPr="00965590">
          <w:rPr>
            <w:rStyle w:val="Hyperlink"/>
            <w:noProof/>
          </w:rPr>
          <w:t>c.</w:t>
        </w:r>
        <w:r w:rsidR="00A64830">
          <w:rPr>
            <w:rFonts w:asciiTheme="minorHAnsi" w:eastAsiaTheme="minorEastAsia" w:hAnsiTheme="minorHAnsi" w:cstheme="minorBidi"/>
            <w:noProof/>
            <w:sz w:val="22"/>
            <w:szCs w:val="22"/>
          </w:rPr>
          <w:tab/>
        </w:r>
        <w:r w:rsidR="00A64830" w:rsidRPr="00965590">
          <w:rPr>
            <w:rStyle w:val="Hyperlink"/>
            <w:noProof/>
          </w:rPr>
          <w:t>Juror Misconduct</w:t>
        </w:r>
        <w:r w:rsidR="00A64830">
          <w:rPr>
            <w:noProof/>
            <w:webHidden/>
          </w:rPr>
          <w:tab/>
        </w:r>
        <w:r w:rsidR="00A64830">
          <w:rPr>
            <w:noProof/>
            <w:webHidden/>
          </w:rPr>
          <w:fldChar w:fldCharType="begin"/>
        </w:r>
        <w:r w:rsidR="00A64830">
          <w:rPr>
            <w:noProof/>
            <w:webHidden/>
          </w:rPr>
          <w:instrText xml:space="preserve"> PAGEREF _Toc395604692 \h </w:instrText>
        </w:r>
        <w:r w:rsidR="00A64830">
          <w:rPr>
            <w:noProof/>
            <w:webHidden/>
          </w:rPr>
        </w:r>
        <w:r w:rsidR="00A64830">
          <w:rPr>
            <w:noProof/>
            <w:webHidden/>
          </w:rPr>
          <w:fldChar w:fldCharType="separate"/>
        </w:r>
        <w:r w:rsidR="00042677">
          <w:rPr>
            <w:noProof/>
            <w:webHidden/>
          </w:rPr>
          <w:t>85</w:t>
        </w:r>
        <w:r w:rsidR="00A64830">
          <w:rPr>
            <w:noProof/>
            <w:webHidden/>
          </w:rPr>
          <w:fldChar w:fldCharType="end"/>
        </w:r>
      </w:hyperlink>
    </w:p>
    <w:p w:rsidR="00A64830" w:rsidRDefault="000F30C0" w:rsidP="00334983">
      <w:pPr>
        <w:pStyle w:val="TOC4"/>
        <w:tabs>
          <w:tab w:val="left" w:pos="1200"/>
          <w:tab w:val="right" w:leader="dot" w:pos="9350"/>
        </w:tabs>
        <w:spacing w:after="0"/>
        <w:rPr>
          <w:rFonts w:asciiTheme="minorHAnsi" w:eastAsiaTheme="minorEastAsia" w:hAnsiTheme="minorHAnsi" w:cstheme="minorBidi"/>
          <w:noProof/>
          <w:sz w:val="22"/>
          <w:szCs w:val="22"/>
        </w:rPr>
      </w:pPr>
      <w:hyperlink w:anchor="_Toc395604693" w:history="1">
        <w:r w:rsidR="00A64830" w:rsidRPr="00965590">
          <w:rPr>
            <w:rStyle w:val="Hyperlink"/>
            <w:noProof/>
          </w:rPr>
          <w:t>d.</w:t>
        </w:r>
        <w:r w:rsidR="00A64830">
          <w:rPr>
            <w:rFonts w:asciiTheme="minorHAnsi" w:eastAsiaTheme="minorEastAsia" w:hAnsiTheme="minorHAnsi" w:cstheme="minorBidi"/>
            <w:noProof/>
            <w:sz w:val="22"/>
            <w:szCs w:val="22"/>
          </w:rPr>
          <w:tab/>
        </w:r>
        <w:r w:rsidR="00A64830" w:rsidRPr="00965590">
          <w:rPr>
            <w:rStyle w:val="Hyperlink"/>
            <w:noProof/>
          </w:rPr>
          <w:t>Witness Recantations/False Testimony</w:t>
        </w:r>
        <w:r w:rsidR="00A64830">
          <w:rPr>
            <w:noProof/>
            <w:webHidden/>
          </w:rPr>
          <w:tab/>
        </w:r>
        <w:r w:rsidR="00A64830">
          <w:rPr>
            <w:noProof/>
            <w:webHidden/>
          </w:rPr>
          <w:fldChar w:fldCharType="begin"/>
        </w:r>
        <w:r w:rsidR="00A64830">
          <w:rPr>
            <w:noProof/>
            <w:webHidden/>
          </w:rPr>
          <w:instrText xml:space="preserve"> PAGEREF _Toc395604693 \h </w:instrText>
        </w:r>
        <w:r w:rsidR="00A64830">
          <w:rPr>
            <w:noProof/>
            <w:webHidden/>
          </w:rPr>
        </w:r>
        <w:r w:rsidR="00A64830">
          <w:rPr>
            <w:noProof/>
            <w:webHidden/>
          </w:rPr>
          <w:fldChar w:fldCharType="separate"/>
        </w:r>
        <w:r w:rsidR="00042677">
          <w:rPr>
            <w:noProof/>
            <w:webHidden/>
          </w:rPr>
          <w:t>85</w:t>
        </w:r>
        <w:r w:rsidR="00A64830">
          <w:rPr>
            <w:noProof/>
            <w:webHidden/>
          </w:rPr>
          <w:fldChar w:fldCharType="end"/>
        </w:r>
      </w:hyperlink>
    </w:p>
    <w:p w:rsidR="00A64830" w:rsidRDefault="000F30C0" w:rsidP="00334983">
      <w:pPr>
        <w:pStyle w:val="TOC3"/>
        <w:rPr>
          <w:rFonts w:asciiTheme="minorHAnsi" w:eastAsiaTheme="minorEastAsia" w:hAnsiTheme="minorHAnsi" w:cstheme="minorBidi"/>
          <w:noProof/>
          <w:sz w:val="22"/>
          <w:szCs w:val="22"/>
        </w:rPr>
      </w:pPr>
      <w:hyperlink w:anchor="_Toc395604694" w:history="1">
        <w:r w:rsidR="00A64830" w:rsidRPr="00965590">
          <w:rPr>
            <w:rStyle w:val="Hyperlink"/>
            <w:noProof/>
          </w:rPr>
          <w:t>3.</w:t>
        </w:r>
        <w:r w:rsidR="00A64830">
          <w:rPr>
            <w:rFonts w:asciiTheme="minorHAnsi" w:eastAsiaTheme="minorEastAsia" w:hAnsiTheme="minorHAnsi" w:cstheme="minorBidi"/>
            <w:noProof/>
            <w:sz w:val="22"/>
            <w:szCs w:val="22"/>
          </w:rPr>
          <w:tab/>
        </w:r>
        <w:r w:rsidR="00A64830" w:rsidRPr="00965590">
          <w:rPr>
            <w:rStyle w:val="Hyperlink"/>
            <w:noProof/>
          </w:rPr>
          <w:t>Ineffective Assistance of Counsel</w:t>
        </w:r>
        <w:r w:rsidR="00A64830">
          <w:rPr>
            <w:noProof/>
            <w:webHidden/>
          </w:rPr>
          <w:tab/>
        </w:r>
        <w:r w:rsidR="00A64830">
          <w:rPr>
            <w:noProof/>
            <w:webHidden/>
          </w:rPr>
          <w:fldChar w:fldCharType="begin"/>
        </w:r>
        <w:r w:rsidR="00A64830">
          <w:rPr>
            <w:noProof/>
            <w:webHidden/>
          </w:rPr>
          <w:instrText xml:space="preserve"> PAGEREF _Toc395604694 \h </w:instrText>
        </w:r>
        <w:r w:rsidR="00A64830">
          <w:rPr>
            <w:noProof/>
            <w:webHidden/>
          </w:rPr>
        </w:r>
        <w:r w:rsidR="00A64830">
          <w:rPr>
            <w:noProof/>
            <w:webHidden/>
          </w:rPr>
          <w:fldChar w:fldCharType="separate"/>
        </w:r>
        <w:r w:rsidR="00042677">
          <w:rPr>
            <w:noProof/>
            <w:webHidden/>
          </w:rPr>
          <w:t>86</w:t>
        </w:r>
        <w:r w:rsidR="00A64830">
          <w:rPr>
            <w:noProof/>
            <w:webHidden/>
          </w:rPr>
          <w:fldChar w:fldCharType="end"/>
        </w:r>
      </w:hyperlink>
    </w:p>
    <w:p w:rsidR="00A64830" w:rsidRDefault="000F30C0" w:rsidP="00334983">
      <w:pPr>
        <w:pStyle w:val="TOC3"/>
        <w:rPr>
          <w:rStyle w:val="Hyperlink"/>
          <w:noProof/>
        </w:rPr>
      </w:pPr>
      <w:hyperlink w:anchor="_Toc395604695" w:history="1">
        <w:r w:rsidR="00A64830" w:rsidRPr="00965590">
          <w:rPr>
            <w:rStyle w:val="Hyperlink"/>
            <w:noProof/>
          </w:rPr>
          <w:t>4.</w:t>
        </w:r>
        <w:r w:rsidR="00A64830">
          <w:rPr>
            <w:rFonts w:asciiTheme="minorHAnsi" w:eastAsiaTheme="minorEastAsia" w:hAnsiTheme="minorHAnsi" w:cstheme="minorBidi"/>
            <w:noProof/>
            <w:sz w:val="22"/>
            <w:szCs w:val="22"/>
          </w:rPr>
          <w:tab/>
        </w:r>
        <w:r w:rsidR="00A64830" w:rsidRPr="00965590">
          <w:rPr>
            <w:rStyle w:val="Hyperlink"/>
            <w:noProof/>
          </w:rPr>
          <w:t>Motion for Release Pending Appeal</w:t>
        </w:r>
        <w:r w:rsidR="00A64830">
          <w:rPr>
            <w:noProof/>
            <w:webHidden/>
          </w:rPr>
          <w:tab/>
        </w:r>
        <w:r w:rsidR="00A64830">
          <w:rPr>
            <w:noProof/>
            <w:webHidden/>
          </w:rPr>
          <w:fldChar w:fldCharType="begin"/>
        </w:r>
        <w:r w:rsidR="00A64830">
          <w:rPr>
            <w:noProof/>
            <w:webHidden/>
          </w:rPr>
          <w:instrText xml:space="preserve"> PAGEREF _Toc395604695 \h </w:instrText>
        </w:r>
        <w:r w:rsidR="00A64830">
          <w:rPr>
            <w:noProof/>
            <w:webHidden/>
          </w:rPr>
        </w:r>
        <w:r w:rsidR="00A64830">
          <w:rPr>
            <w:noProof/>
            <w:webHidden/>
          </w:rPr>
          <w:fldChar w:fldCharType="separate"/>
        </w:r>
        <w:r w:rsidR="00042677">
          <w:rPr>
            <w:noProof/>
            <w:webHidden/>
          </w:rPr>
          <w:t>86</w:t>
        </w:r>
        <w:r w:rsidR="00A64830">
          <w:rPr>
            <w:noProof/>
            <w:webHidden/>
          </w:rPr>
          <w:fldChar w:fldCharType="end"/>
        </w:r>
      </w:hyperlink>
    </w:p>
    <w:p w:rsidR="00334983" w:rsidRPr="00334983" w:rsidRDefault="00334983" w:rsidP="00334983">
      <w:pPr>
        <w:rPr>
          <w:rFonts w:eastAsiaTheme="minorEastAsia"/>
        </w:rPr>
      </w:pPr>
    </w:p>
    <w:p w:rsidR="00A64830" w:rsidRDefault="000F30C0" w:rsidP="00334983">
      <w:pPr>
        <w:pStyle w:val="TOC2"/>
        <w:rPr>
          <w:rStyle w:val="Hyperlink"/>
          <w:noProof/>
        </w:rPr>
      </w:pPr>
      <w:hyperlink w:anchor="_Toc395604696" w:history="1">
        <w:r w:rsidR="00A64830" w:rsidRPr="00965590">
          <w:rPr>
            <w:rStyle w:val="Hyperlink"/>
            <w:noProof/>
          </w:rPr>
          <w:t>F.</w:t>
        </w:r>
        <w:r w:rsidR="00A64830">
          <w:rPr>
            <w:rFonts w:asciiTheme="minorHAnsi" w:eastAsiaTheme="minorEastAsia" w:hAnsiTheme="minorHAnsi" w:cstheme="minorBidi"/>
            <w:noProof/>
            <w:sz w:val="22"/>
            <w:szCs w:val="22"/>
          </w:rPr>
          <w:tab/>
        </w:r>
        <w:r w:rsidR="00A64830" w:rsidRPr="00965590">
          <w:rPr>
            <w:rStyle w:val="Hyperlink"/>
            <w:noProof/>
          </w:rPr>
          <w:t>Funding under Minn. Stat. § 611.21</w:t>
        </w:r>
        <w:r w:rsidR="00A64830">
          <w:rPr>
            <w:noProof/>
            <w:webHidden/>
          </w:rPr>
          <w:tab/>
        </w:r>
        <w:r w:rsidR="00A64830">
          <w:rPr>
            <w:noProof/>
            <w:webHidden/>
          </w:rPr>
          <w:fldChar w:fldCharType="begin"/>
        </w:r>
        <w:r w:rsidR="00A64830">
          <w:rPr>
            <w:noProof/>
            <w:webHidden/>
          </w:rPr>
          <w:instrText xml:space="preserve"> PAGEREF _Toc395604696 \h </w:instrText>
        </w:r>
        <w:r w:rsidR="00A64830">
          <w:rPr>
            <w:noProof/>
            <w:webHidden/>
          </w:rPr>
        </w:r>
        <w:r w:rsidR="00A64830">
          <w:rPr>
            <w:noProof/>
            <w:webHidden/>
          </w:rPr>
          <w:fldChar w:fldCharType="separate"/>
        </w:r>
        <w:r w:rsidR="00042677">
          <w:rPr>
            <w:noProof/>
            <w:webHidden/>
          </w:rPr>
          <w:t>86</w:t>
        </w:r>
        <w:r w:rsidR="00A64830">
          <w:rPr>
            <w:noProof/>
            <w:webHidden/>
          </w:rPr>
          <w:fldChar w:fldCharType="end"/>
        </w:r>
      </w:hyperlink>
    </w:p>
    <w:p w:rsidR="00334983" w:rsidRPr="00334983" w:rsidRDefault="00334983" w:rsidP="00334983">
      <w:pPr>
        <w:rPr>
          <w:rFonts w:eastAsiaTheme="minorEastAsia"/>
        </w:rPr>
      </w:pPr>
    </w:p>
    <w:p w:rsidR="00A64830" w:rsidRDefault="000F30C0" w:rsidP="00334983">
      <w:pPr>
        <w:pStyle w:val="TOC1"/>
        <w:rPr>
          <w:rStyle w:val="Hyperlink"/>
          <w:noProof/>
        </w:rPr>
      </w:pPr>
      <w:hyperlink w:anchor="_Toc395604697" w:history="1">
        <w:r w:rsidR="00A64830" w:rsidRPr="00965590">
          <w:rPr>
            <w:rStyle w:val="Hyperlink"/>
            <w:noProof/>
          </w:rPr>
          <w:t>VI.</w:t>
        </w:r>
        <w:r w:rsidR="00A64830">
          <w:rPr>
            <w:rFonts w:asciiTheme="minorHAnsi" w:eastAsiaTheme="minorEastAsia" w:hAnsiTheme="minorHAnsi" w:cstheme="minorBidi"/>
            <w:noProof/>
            <w:sz w:val="22"/>
            <w:szCs w:val="22"/>
          </w:rPr>
          <w:tab/>
        </w:r>
        <w:r w:rsidR="00A64830" w:rsidRPr="00965590">
          <w:rPr>
            <w:rStyle w:val="Hyperlink"/>
            <w:noProof/>
          </w:rPr>
          <w:t>QUASI-CRIMINAL</w:t>
        </w:r>
        <w:r w:rsidR="00A64830">
          <w:rPr>
            <w:noProof/>
            <w:webHidden/>
          </w:rPr>
          <w:tab/>
        </w:r>
        <w:r w:rsidR="00A64830">
          <w:rPr>
            <w:noProof/>
            <w:webHidden/>
          </w:rPr>
          <w:fldChar w:fldCharType="begin"/>
        </w:r>
        <w:r w:rsidR="00A64830">
          <w:rPr>
            <w:noProof/>
            <w:webHidden/>
          </w:rPr>
          <w:instrText xml:space="preserve"> PAGEREF _Toc395604697 \h </w:instrText>
        </w:r>
        <w:r w:rsidR="00A64830">
          <w:rPr>
            <w:noProof/>
            <w:webHidden/>
          </w:rPr>
        </w:r>
        <w:r w:rsidR="00A64830">
          <w:rPr>
            <w:noProof/>
            <w:webHidden/>
          </w:rPr>
          <w:fldChar w:fldCharType="separate"/>
        </w:r>
        <w:r w:rsidR="00042677">
          <w:rPr>
            <w:noProof/>
            <w:webHidden/>
          </w:rPr>
          <w:t>87</w:t>
        </w:r>
        <w:r w:rsidR="00A64830">
          <w:rPr>
            <w:noProof/>
            <w:webHidden/>
          </w:rPr>
          <w:fldChar w:fldCharType="end"/>
        </w:r>
      </w:hyperlink>
    </w:p>
    <w:p w:rsidR="00334983" w:rsidRPr="00334983" w:rsidRDefault="00334983" w:rsidP="00334983">
      <w:pPr>
        <w:rPr>
          <w:rFonts w:eastAsiaTheme="minorEastAsia"/>
        </w:rPr>
      </w:pPr>
    </w:p>
    <w:p w:rsidR="00A64830" w:rsidRDefault="000F30C0" w:rsidP="00334983">
      <w:pPr>
        <w:pStyle w:val="TOC2"/>
        <w:rPr>
          <w:rFonts w:asciiTheme="minorHAnsi" w:eastAsiaTheme="minorEastAsia" w:hAnsiTheme="minorHAnsi" w:cstheme="minorBidi"/>
          <w:noProof/>
          <w:sz w:val="22"/>
          <w:szCs w:val="22"/>
        </w:rPr>
      </w:pPr>
      <w:hyperlink w:anchor="_Toc395604698" w:history="1">
        <w:r w:rsidR="00A64830" w:rsidRPr="00965590">
          <w:rPr>
            <w:rStyle w:val="Hyperlink"/>
            <w:noProof/>
          </w:rPr>
          <w:t>A.</w:t>
        </w:r>
        <w:r w:rsidR="00A64830">
          <w:rPr>
            <w:rFonts w:asciiTheme="minorHAnsi" w:eastAsiaTheme="minorEastAsia" w:hAnsiTheme="minorHAnsi" w:cstheme="minorBidi"/>
            <w:noProof/>
            <w:sz w:val="22"/>
            <w:szCs w:val="22"/>
          </w:rPr>
          <w:tab/>
        </w:r>
        <w:r w:rsidR="00A64830" w:rsidRPr="00965590">
          <w:rPr>
            <w:rStyle w:val="Hyperlink"/>
            <w:noProof/>
          </w:rPr>
          <w:t>JUVENILE</w:t>
        </w:r>
        <w:r w:rsidR="00A64830">
          <w:rPr>
            <w:noProof/>
            <w:webHidden/>
          </w:rPr>
          <w:tab/>
        </w:r>
        <w:r w:rsidR="00A64830">
          <w:rPr>
            <w:noProof/>
            <w:webHidden/>
          </w:rPr>
          <w:fldChar w:fldCharType="begin"/>
        </w:r>
        <w:r w:rsidR="00A64830">
          <w:rPr>
            <w:noProof/>
            <w:webHidden/>
          </w:rPr>
          <w:instrText xml:space="preserve"> PAGEREF _Toc395604698 \h </w:instrText>
        </w:r>
        <w:r w:rsidR="00A64830">
          <w:rPr>
            <w:noProof/>
            <w:webHidden/>
          </w:rPr>
        </w:r>
        <w:r w:rsidR="00A64830">
          <w:rPr>
            <w:noProof/>
            <w:webHidden/>
          </w:rPr>
          <w:fldChar w:fldCharType="separate"/>
        </w:r>
        <w:r w:rsidR="00042677">
          <w:rPr>
            <w:noProof/>
            <w:webHidden/>
          </w:rPr>
          <w:t>87</w:t>
        </w:r>
        <w:r w:rsidR="00A64830">
          <w:rPr>
            <w:noProof/>
            <w:webHidden/>
          </w:rPr>
          <w:fldChar w:fldCharType="end"/>
        </w:r>
      </w:hyperlink>
    </w:p>
    <w:p w:rsidR="00A64830" w:rsidRDefault="000F30C0" w:rsidP="00334983">
      <w:pPr>
        <w:pStyle w:val="TOC3"/>
        <w:rPr>
          <w:rFonts w:asciiTheme="minorHAnsi" w:eastAsiaTheme="minorEastAsia" w:hAnsiTheme="minorHAnsi" w:cstheme="minorBidi"/>
          <w:noProof/>
          <w:sz w:val="22"/>
          <w:szCs w:val="22"/>
        </w:rPr>
      </w:pPr>
      <w:hyperlink w:anchor="_Toc395604699" w:history="1">
        <w:r w:rsidR="00A64830" w:rsidRPr="00965590">
          <w:rPr>
            <w:rStyle w:val="Hyperlink"/>
            <w:noProof/>
          </w:rPr>
          <w:t>1.</w:t>
        </w:r>
        <w:r w:rsidR="00A64830">
          <w:rPr>
            <w:rFonts w:asciiTheme="minorHAnsi" w:eastAsiaTheme="minorEastAsia" w:hAnsiTheme="minorHAnsi" w:cstheme="minorBidi"/>
            <w:noProof/>
            <w:sz w:val="22"/>
            <w:szCs w:val="22"/>
          </w:rPr>
          <w:tab/>
        </w:r>
        <w:r w:rsidR="00A64830" w:rsidRPr="00965590">
          <w:rPr>
            <w:rStyle w:val="Hyperlink"/>
            <w:noProof/>
          </w:rPr>
          <w:t>Delinquency Adjudications</w:t>
        </w:r>
        <w:r w:rsidR="00A64830">
          <w:rPr>
            <w:noProof/>
            <w:webHidden/>
          </w:rPr>
          <w:tab/>
        </w:r>
        <w:r w:rsidR="00A64830">
          <w:rPr>
            <w:noProof/>
            <w:webHidden/>
          </w:rPr>
          <w:fldChar w:fldCharType="begin"/>
        </w:r>
        <w:r w:rsidR="00A64830">
          <w:rPr>
            <w:noProof/>
            <w:webHidden/>
          </w:rPr>
          <w:instrText xml:space="preserve"> PAGEREF _Toc395604699 \h </w:instrText>
        </w:r>
        <w:r w:rsidR="00A64830">
          <w:rPr>
            <w:noProof/>
            <w:webHidden/>
          </w:rPr>
        </w:r>
        <w:r w:rsidR="00A64830">
          <w:rPr>
            <w:noProof/>
            <w:webHidden/>
          </w:rPr>
          <w:fldChar w:fldCharType="separate"/>
        </w:r>
        <w:r w:rsidR="00042677">
          <w:rPr>
            <w:noProof/>
            <w:webHidden/>
          </w:rPr>
          <w:t>87</w:t>
        </w:r>
        <w:r w:rsidR="00A64830">
          <w:rPr>
            <w:noProof/>
            <w:webHidden/>
          </w:rPr>
          <w:fldChar w:fldCharType="end"/>
        </w:r>
      </w:hyperlink>
    </w:p>
    <w:p w:rsidR="00A64830" w:rsidRDefault="000F30C0" w:rsidP="00334983">
      <w:pPr>
        <w:pStyle w:val="TOC3"/>
        <w:rPr>
          <w:rFonts w:asciiTheme="minorHAnsi" w:eastAsiaTheme="minorEastAsia" w:hAnsiTheme="minorHAnsi" w:cstheme="minorBidi"/>
          <w:noProof/>
          <w:sz w:val="22"/>
          <w:szCs w:val="22"/>
        </w:rPr>
      </w:pPr>
      <w:hyperlink w:anchor="_Toc395604700" w:history="1">
        <w:r w:rsidR="00A64830" w:rsidRPr="00965590">
          <w:rPr>
            <w:rStyle w:val="Hyperlink"/>
            <w:noProof/>
          </w:rPr>
          <w:t>2.</w:t>
        </w:r>
        <w:r w:rsidR="00A64830">
          <w:rPr>
            <w:rFonts w:asciiTheme="minorHAnsi" w:eastAsiaTheme="minorEastAsia" w:hAnsiTheme="minorHAnsi" w:cstheme="minorBidi"/>
            <w:noProof/>
            <w:sz w:val="22"/>
            <w:szCs w:val="22"/>
          </w:rPr>
          <w:tab/>
        </w:r>
        <w:r w:rsidR="00A64830" w:rsidRPr="00965590">
          <w:rPr>
            <w:rStyle w:val="Hyperlink"/>
            <w:noProof/>
          </w:rPr>
          <w:t>Stops</w:t>
        </w:r>
        <w:r w:rsidR="00A64830">
          <w:rPr>
            <w:noProof/>
            <w:webHidden/>
          </w:rPr>
          <w:tab/>
        </w:r>
        <w:r w:rsidR="00A64830">
          <w:rPr>
            <w:noProof/>
            <w:webHidden/>
          </w:rPr>
          <w:fldChar w:fldCharType="begin"/>
        </w:r>
        <w:r w:rsidR="00A64830">
          <w:rPr>
            <w:noProof/>
            <w:webHidden/>
          </w:rPr>
          <w:instrText xml:space="preserve"> PAGEREF _Toc395604700 \h </w:instrText>
        </w:r>
        <w:r w:rsidR="00A64830">
          <w:rPr>
            <w:noProof/>
            <w:webHidden/>
          </w:rPr>
        </w:r>
        <w:r w:rsidR="00A64830">
          <w:rPr>
            <w:noProof/>
            <w:webHidden/>
          </w:rPr>
          <w:fldChar w:fldCharType="separate"/>
        </w:r>
        <w:r w:rsidR="00042677">
          <w:rPr>
            <w:noProof/>
            <w:webHidden/>
          </w:rPr>
          <w:t>87</w:t>
        </w:r>
        <w:r w:rsidR="00A64830">
          <w:rPr>
            <w:noProof/>
            <w:webHidden/>
          </w:rPr>
          <w:fldChar w:fldCharType="end"/>
        </w:r>
      </w:hyperlink>
    </w:p>
    <w:p w:rsidR="00A64830" w:rsidRDefault="000F30C0" w:rsidP="00334983">
      <w:pPr>
        <w:pStyle w:val="TOC3"/>
        <w:rPr>
          <w:rFonts w:asciiTheme="minorHAnsi" w:eastAsiaTheme="minorEastAsia" w:hAnsiTheme="minorHAnsi" w:cstheme="minorBidi"/>
          <w:noProof/>
          <w:sz w:val="22"/>
          <w:szCs w:val="22"/>
        </w:rPr>
      </w:pPr>
      <w:hyperlink w:anchor="_Toc395604701" w:history="1">
        <w:r w:rsidR="00A64830" w:rsidRPr="00965590">
          <w:rPr>
            <w:rStyle w:val="Hyperlink"/>
            <w:noProof/>
          </w:rPr>
          <w:t>3.</w:t>
        </w:r>
        <w:r w:rsidR="00A64830">
          <w:rPr>
            <w:rFonts w:asciiTheme="minorHAnsi" w:eastAsiaTheme="minorEastAsia" w:hAnsiTheme="minorHAnsi" w:cstheme="minorBidi"/>
            <w:noProof/>
            <w:sz w:val="22"/>
            <w:szCs w:val="22"/>
          </w:rPr>
          <w:tab/>
        </w:r>
        <w:r w:rsidR="00A64830" w:rsidRPr="00965590">
          <w:rPr>
            <w:rStyle w:val="Hyperlink"/>
            <w:noProof/>
          </w:rPr>
          <w:t>Miranda</w:t>
        </w:r>
        <w:r w:rsidR="00A64830">
          <w:rPr>
            <w:noProof/>
            <w:webHidden/>
          </w:rPr>
          <w:tab/>
        </w:r>
        <w:r w:rsidR="00A64830">
          <w:rPr>
            <w:noProof/>
            <w:webHidden/>
          </w:rPr>
          <w:fldChar w:fldCharType="begin"/>
        </w:r>
        <w:r w:rsidR="00A64830">
          <w:rPr>
            <w:noProof/>
            <w:webHidden/>
          </w:rPr>
          <w:instrText xml:space="preserve"> PAGEREF _Toc395604701 \h </w:instrText>
        </w:r>
        <w:r w:rsidR="00A64830">
          <w:rPr>
            <w:noProof/>
            <w:webHidden/>
          </w:rPr>
        </w:r>
        <w:r w:rsidR="00A64830">
          <w:rPr>
            <w:noProof/>
            <w:webHidden/>
          </w:rPr>
          <w:fldChar w:fldCharType="separate"/>
        </w:r>
        <w:r w:rsidR="00042677">
          <w:rPr>
            <w:noProof/>
            <w:webHidden/>
          </w:rPr>
          <w:t>87</w:t>
        </w:r>
        <w:r w:rsidR="00A64830">
          <w:rPr>
            <w:noProof/>
            <w:webHidden/>
          </w:rPr>
          <w:fldChar w:fldCharType="end"/>
        </w:r>
      </w:hyperlink>
    </w:p>
    <w:p w:rsidR="00A64830" w:rsidRDefault="000F30C0" w:rsidP="00334983">
      <w:pPr>
        <w:pStyle w:val="TOC3"/>
        <w:rPr>
          <w:rFonts w:asciiTheme="minorHAnsi" w:eastAsiaTheme="minorEastAsia" w:hAnsiTheme="minorHAnsi" w:cstheme="minorBidi"/>
          <w:noProof/>
          <w:sz w:val="22"/>
          <w:szCs w:val="22"/>
        </w:rPr>
      </w:pPr>
      <w:hyperlink w:anchor="_Toc395604702" w:history="1">
        <w:r w:rsidR="00A64830" w:rsidRPr="00965590">
          <w:rPr>
            <w:rStyle w:val="Hyperlink"/>
            <w:noProof/>
          </w:rPr>
          <w:t>4.</w:t>
        </w:r>
        <w:r w:rsidR="00A64830">
          <w:rPr>
            <w:rFonts w:asciiTheme="minorHAnsi" w:eastAsiaTheme="minorEastAsia" w:hAnsiTheme="minorHAnsi" w:cstheme="minorBidi"/>
            <w:noProof/>
            <w:sz w:val="22"/>
            <w:szCs w:val="22"/>
          </w:rPr>
          <w:tab/>
        </w:r>
        <w:r w:rsidR="00A64830" w:rsidRPr="00965590">
          <w:rPr>
            <w:rStyle w:val="Hyperlink"/>
            <w:noProof/>
          </w:rPr>
          <w:t>Review of Pretrial Ruling</w:t>
        </w:r>
        <w:r w:rsidR="00A64830">
          <w:rPr>
            <w:noProof/>
            <w:webHidden/>
          </w:rPr>
          <w:tab/>
        </w:r>
        <w:r w:rsidR="00A64830">
          <w:rPr>
            <w:noProof/>
            <w:webHidden/>
          </w:rPr>
          <w:fldChar w:fldCharType="begin"/>
        </w:r>
        <w:r w:rsidR="00A64830">
          <w:rPr>
            <w:noProof/>
            <w:webHidden/>
          </w:rPr>
          <w:instrText xml:space="preserve"> PAGEREF _Toc395604702 \h </w:instrText>
        </w:r>
        <w:r w:rsidR="00A64830">
          <w:rPr>
            <w:noProof/>
            <w:webHidden/>
          </w:rPr>
        </w:r>
        <w:r w:rsidR="00A64830">
          <w:rPr>
            <w:noProof/>
            <w:webHidden/>
          </w:rPr>
          <w:fldChar w:fldCharType="separate"/>
        </w:r>
        <w:r w:rsidR="00042677">
          <w:rPr>
            <w:noProof/>
            <w:webHidden/>
          </w:rPr>
          <w:t>88</w:t>
        </w:r>
        <w:r w:rsidR="00A64830">
          <w:rPr>
            <w:noProof/>
            <w:webHidden/>
          </w:rPr>
          <w:fldChar w:fldCharType="end"/>
        </w:r>
      </w:hyperlink>
    </w:p>
    <w:p w:rsidR="00A64830" w:rsidRDefault="000F30C0" w:rsidP="00334983">
      <w:pPr>
        <w:pStyle w:val="TOC3"/>
        <w:rPr>
          <w:rFonts w:asciiTheme="minorHAnsi" w:eastAsiaTheme="minorEastAsia" w:hAnsiTheme="minorHAnsi" w:cstheme="minorBidi"/>
          <w:noProof/>
          <w:sz w:val="22"/>
          <w:szCs w:val="22"/>
        </w:rPr>
      </w:pPr>
      <w:hyperlink w:anchor="_Toc395604703" w:history="1">
        <w:r w:rsidR="00A64830" w:rsidRPr="00965590">
          <w:rPr>
            <w:rStyle w:val="Hyperlink"/>
            <w:noProof/>
          </w:rPr>
          <w:t>5.</w:t>
        </w:r>
        <w:r w:rsidR="00A64830">
          <w:rPr>
            <w:rFonts w:asciiTheme="minorHAnsi" w:eastAsiaTheme="minorEastAsia" w:hAnsiTheme="minorHAnsi" w:cstheme="minorBidi"/>
            <w:noProof/>
            <w:sz w:val="22"/>
            <w:szCs w:val="22"/>
          </w:rPr>
          <w:tab/>
        </w:r>
        <w:r w:rsidR="00A64830" w:rsidRPr="00965590">
          <w:rPr>
            <w:rStyle w:val="Hyperlink"/>
            <w:noProof/>
          </w:rPr>
          <w:t>Certification and Extended Jurisdiction Juvenile (EJJ) Designation</w:t>
        </w:r>
        <w:r w:rsidR="00A64830">
          <w:rPr>
            <w:noProof/>
            <w:webHidden/>
          </w:rPr>
          <w:tab/>
        </w:r>
        <w:r w:rsidR="00A64830">
          <w:rPr>
            <w:noProof/>
            <w:webHidden/>
          </w:rPr>
          <w:fldChar w:fldCharType="begin"/>
        </w:r>
        <w:r w:rsidR="00A64830">
          <w:rPr>
            <w:noProof/>
            <w:webHidden/>
          </w:rPr>
          <w:instrText xml:space="preserve"> PAGEREF _Toc395604703 \h </w:instrText>
        </w:r>
        <w:r w:rsidR="00A64830">
          <w:rPr>
            <w:noProof/>
            <w:webHidden/>
          </w:rPr>
        </w:r>
        <w:r w:rsidR="00A64830">
          <w:rPr>
            <w:noProof/>
            <w:webHidden/>
          </w:rPr>
          <w:fldChar w:fldCharType="separate"/>
        </w:r>
        <w:r w:rsidR="00042677">
          <w:rPr>
            <w:noProof/>
            <w:webHidden/>
          </w:rPr>
          <w:t>88</w:t>
        </w:r>
        <w:r w:rsidR="00A64830">
          <w:rPr>
            <w:noProof/>
            <w:webHidden/>
          </w:rPr>
          <w:fldChar w:fldCharType="end"/>
        </w:r>
      </w:hyperlink>
    </w:p>
    <w:p w:rsidR="00A64830" w:rsidRDefault="000F30C0" w:rsidP="00334983">
      <w:pPr>
        <w:pStyle w:val="TOC3"/>
        <w:rPr>
          <w:rStyle w:val="Hyperlink"/>
          <w:noProof/>
        </w:rPr>
      </w:pPr>
      <w:hyperlink w:anchor="_Toc395604704" w:history="1">
        <w:r w:rsidR="00A64830" w:rsidRPr="00965590">
          <w:rPr>
            <w:rStyle w:val="Hyperlink"/>
            <w:noProof/>
          </w:rPr>
          <w:t>6.</w:t>
        </w:r>
        <w:r w:rsidR="00A64830">
          <w:rPr>
            <w:rFonts w:asciiTheme="minorHAnsi" w:eastAsiaTheme="minorEastAsia" w:hAnsiTheme="minorHAnsi" w:cstheme="minorBidi"/>
            <w:noProof/>
            <w:sz w:val="22"/>
            <w:szCs w:val="22"/>
          </w:rPr>
          <w:tab/>
        </w:r>
        <w:r w:rsidR="00A64830" w:rsidRPr="00965590">
          <w:rPr>
            <w:rStyle w:val="Hyperlink"/>
            <w:noProof/>
          </w:rPr>
          <w:t>Dispositions and Requirement of Findings</w:t>
        </w:r>
        <w:r w:rsidR="00A64830">
          <w:rPr>
            <w:noProof/>
            <w:webHidden/>
          </w:rPr>
          <w:tab/>
        </w:r>
        <w:r w:rsidR="00A64830">
          <w:rPr>
            <w:noProof/>
            <w:webHidden/>
          </w:rPr>
          <w:fldChar w:fldCharType="begin"/>
        </w:r>
        <w:r w:rsidR="00A64830">
          <w:rPr>
            <w:noProof/>
            <w:webHidden/>
          </w:rPr>
          <w:instrText xml:space="preserve"> PAGEREF _Toc395604704 \h </w:instrText>
        </w:r>
        <w:r w:rsidR="00A64830">
          <w:rPr>
            <w:noProof/>
            <w:webHidden/>
          </w:rPr>
        </w:r>
        <w:r w:rsidR="00A64830">
          <w:rPr>
            <w:noProof/>
            <w:webHidden/>
          </w:rPr>
          <w:fldChar w:fldCharType="separate"/>
        </w:r>
        <w:r w:rsidR="00042677">
          <w:rPr>
            <w:noProof/>
            <w:webHidden/>
          </w:rPr>
          <w:t>89</w:t>
        </w:r>
        <w:r w:rsidR="00A64830">
          <w:rPr>
            <w:noProof/>
            <w:webHidden/>
          </w:rPr>
          <w:fldChar w:fldCharType="end"/>
        </w:r>
      </w:hyperlink>
    </w:p>
    <w:p w:rsidR="00334983" w:rsidRPr="00334983" w:rsidRDefault="00334983" w:rsidP="00334983">
      <w:pPr>
        <w:rPr>
          <w:rFonts w:eastAsiaTheme="minorEastAsia"/>
        </w:rPr>
      </w:pPr>
    </w:p>
    <w:p w:rsidR="00A64830" w:rsidRDefault="000F30C0" w:rsidP="00334983">
      <w:pPr>
        <w:pStyle w:val="TOC2"/>
        <w:rPr>
          <w:rFonts w:asciiTheme="minorHAnsi" w:eastAsiaTheme="minorEastAsia" w:hAnsiTheme="minorHAnsi" w:cstheme="minorBidi"/>
          <w:noProof/>
          <w:sz w:val="22"/>
          <w:szCs w:val="22"/>
        </w:rPr>
      </w:pPr>
      <w:hyperlink w:anchor="_Toc395604705" w:history="1">
        <w:r w:rsidR="00A64830" w:rsidRPr="00965590">
          <w:rPr>
            <w:rStyle w:val="Hyperlink"/>
            <w:noProof/>
          </w:rPr>
          <w:t>B.</w:t>
        </w:r>
        <w:r w:rsidR="00A64830">
          <w:rPr>
            <w:rFonts w:asciiTheme="minorHAnsi" w:eastAsiaTheme="minorEastAsia" w:hAnsiTheme="minorHAnsi" w:cstheme="minorBidi"/>
            <w:noProof/>
            <w:sz w:val="22"/>
            <w:szCs w:val="22"/>
          </w:rPr>
          <w:tab/>
        </w:r>
        <w:r w:rsidR="00A64830" w:rsidRPr="00965590">
          <w:rPr>
            <w:rStyle w:val="Hyperlink"/>
            <w:noProof/>
          </w:rPr>
          <w:t>IMPLIED CONSENT LAW</w:t>
        </w:r>
        <w:r w:rsidR="00A64830">
          <w:rPr>
            <w:noProof/>
            <w:webHidden/>
          </w:rPr>
          <w:tab/>
        </w:r>
        <w:r w:rsidR="00A64830">
          <w:rPr>
            <w:noProof/>
            <w:webHidden/>
          </w:rPr>
          <w:fldChar w:fldCharType="begin"/>
        </w:r>
        <w:r w:rsidR="00A64830">
          <w:rPr>
            <w:noProof/>
            <w:webHidden/>
          </w:rPr>
          <w:instrText xml:space="preserve"> PAGEREF _Toc395604705 \h </w:instrText>
        </w:r>
        <w:r w:rsidR="00A64830">
          <w:rPr>
            <w:noProof/>
            <w:webHidden/>
          </w:rPr>
        </w:r>
        <w:r w:rsidR="00A64830">
          <w:rPr>
            <w:noProof/>
            <w:webHidden/>
          </w:rPr>
          <w:fldChar w:fldCharType="separate"/>
        </w:r>
        <w:r w:rsidR="00042677">
          <w:rPr>
            <w:noProof/>
            <w:webHidden/>
          </w:rPr>
          <w:t>89</w:t>
        </w:r>
        <w:r w:rsidR="00A64830">
          <w:rPr>
            <w:noProof/>
            <w:webHidden/>
          </w:rPr>
          <w:fldChar w:fldCharType="end"/>
        </w:r>
      </w:hyperlink>
    </w:p>
    <w:p w:rsidR="00A64830" w:rsidRDefault="000F30C0" w:rsidP="00334983">
      <w:pPr>
        <w:pStyle w:val="TOC3"/>
        <w:rPr>
          <w:rFonts w:asciiTheme="minorHAnsi" w:eastAsiaTheme="minorEastAsia" w:hAnsiTheme="minorHAnsi" w:cstheme="minorBidi"/>
          <w:noProof/>
          <w:sz w:val="22"/>
          <w:szCs w:val="22"/>
        </w:rPr>
      </w:pPr>
      <w:hyperlink w:anchor="_Toc395604706" w:history="1">
        <w:r w:rsidR="00A64830" w:rsidRPr="00965590">
          <w:rPr>
            <w:rStyle w:val="Hyperlink"/>
            <w:noProof/>
          </w:rPr>
          <w:t>1.</w:t>
        </w:r>
        <w:r w:rsidR="00A64830">
          <w:rPr>
            <w:rFonts w:asciiTheme="minorHAnsi" w:eastAsiaTheme="minorEastAsia" w:hAnsiTheme="minorHAnsi" w:cstheme="minorBidi"/>
            <w:noProof/>
            <w:sz w:val="22"/>
            <w:szCs w:val="22"/>
          </w:rPr>
          <w:tab/>
        </w:r>
        <w:r w:rsidR="00A64830" w:rsidRPr="00965590">
          <w:rPr>
            <w:rStyle w:val="Hyperlink"/>
            <w:noProof/>
          </w:rPr>
          <w:t>Findings of Fact</w:t>
        </w:r>
        <w:r w:rsidR="00A64830">
          <w:rPr>
            <w:noProof/>
            <w:webHidden/>
          </w:rPr>
          <w:tab/>
        </w:r>
        <w:r w:rsidR="00A64830">
          <w:rPr>
            <w:noProof/>
            <w:webHidden/>
          </w:rPr>
          <w:fldChar w:fldCharType="begin"/>
        </w:r>
        <w:r w:rsidR="00A64830">
          <w:rPr>
            <w:noProof/>
            <w:webHidden/>
          </w:rPr>
          <w:instrText xml:space="preserve"> PAGEREF _Toc395604706 \h </w:instrText>
        </w:r>
        <w:r w:rsidR="00A64830">
          <w:rPr>
            <w:noProof/>
            <w:webHidden/>
          </w:rPr>
        </w:r>
        <w:r w:rsidR="00A64830">
          <w:rPr>
            <w:noProof/>
            <w:webHidden/>
          </w:rPr>
          <w:fldChar w:fldCharType="separate"/>
        </w:r>
        <w:r w:rsidR="00042677">
          <w:rPr>
            <w:noProof/>
            <w:webHidden/>
          </w:rPr>
          <w:t>89</w:t>
        </w:r>
        <w:r w:rsidR="00A64830">
          <w:rPr>
            <w:noProof/>
            <w:webHidden/>
          </w:rPr>
          <w:fldChar w:fldCharType="end"/>
        </w:r>
      </w:hyperlink>
    </w:p>
    <w:p w:rsidR="00A64830" w:rsidRDefault="000F30C0" w:rsidP="00334983">
      <w:pPr>
        <w:pStyle w:val="TOC3"/>
        <w:rPr>
          <w:rFonts w:asciiTheme="minorHAnsi" w:eastAsiaTheme="minorEastAsia" w:hAnsiTheme="minorHAnsi" w:cstheme="minorBidi"/>
          <w:noProof/>
          <w:sz w:val="22"/>
          <w:szCs w:val="22"/>
        </w:rPr>
      </w:pPr>
      <w:hyperlink w:anchor="_Toc395604707" w:history="1">
        <w:r w:rsidR="00A64830" w:rsidRPr="00965590">
          <w:rPr>
            <w:rStyle w:val="Hyperlink"/>
            <w:noProof/>
          </w:rPr>
          <w:t>2.</w:t>
        </w:r>
        <w:r w:rsidR="00A64830">
          <w:rPr>
            <w:rFonts w:asciiTheme="minorHAnsi" w:eastAsiaTheme="minorEastAsia" w:hAnsiTheme="minorHAnsi" w:cstheme="minorBidi"/>
            <w:noProof/>
            <w:sz w:val="22"/>
            <w:szCs w:val="22"/>
          </w:rPr>
          <w:tab/>
        </w:r>
        <w:r w:rsidR="00A64830" w:rsidRPr="00965590">
          <w:rPr>
            <w:rStyle w:val="Hyperlink"/>
            <w:noProof/>
          </w:rPr>
          <w:t>Conclusions of Law</w:t>
        </w:r>
        <w:r w:rsidR="00A64830">
          <w:rPr>
            <w:noProof/>
            <w:webHidden/>
          </w:rPr>
          <w:tab/>
        </w:r>
        <w:r w:rsidR="00A64830">
          <w:rPr>
            <w:noProof/>
            <w:webHidden/>
          </w:rPr>
          <w:fldChar w:fldCharType="begin"/>
        </w:r>
        <w:r w:rsidR="00A64830">
          <w:rPr>
            <w:noProof/>
            <w:webHidden/>
          </w:rPr>
          <w:instrText xml:space="preserve"> PAGEREF _Toc395604707 \h </w:instrText>
        </w:r>
        <w:r w:rsidR="00A64830">
          <w:rPr>
            <w:noProof/>
            <w:webHidden/>
          </w:rPr>
        </w:r>
        <w:r w:rsidR="00A64830">
          <w:rPr>
            <w:noProof/>
            <w:webHidden/>
          </w:rPr>
          <w:fldChar w:fldCharType="separate"/>
        </w:r>
        <w:r w:rsidR="00042677">
          <w:rPr>
            <w:noProof/>
            <w:webHidden/>
          </w:rPr>
          <w:t>90</w:t>
        </w:r>
        <w:r w:rsidR="00A64830">
          <w:rPr>
            <w:noProof/>
            <w:webHidden/>
          </w:rPr>
          <w:fldChar w:fldCharType="end"/>
        </w:r>
      </w:hyperlink>
    </w:p>
    <w:p w:rsidR="00A64830" w:rsidRDefault="000F30C0" w:rsidP="00334983">
      <w:pPr>
        <w:pStyle w:val="TOC3"/>
        <w:rPr>
          <w:rFonts w:asciiTheme="minorHAnsi" w:eastAsiaTheme="minorEastAsia" w:hAnsiTheme="minorHAnsi" w:cstheme="minorBidi"/>
          <w:noProof/>
          <w:sz w:val="22"/>
          <w:szCs w:val="22"/>
        </w:rPr>
      </w:pPr>
      <w:hyperlink w:anchor="_Toc395604708" w:history="1">
        <w:r w:rsidR="00A64830" w:rsidRPr="00965590">
          <w:rPr>
            <w:rStyle w:val="Hyperlink"/>
            <w:noProof/>
          </w:rPr>
          <w:t>3.</w:t>
        </w:r>
        <w:r w:rsidR="00A64830">
          <w:rPr>
            <w:rFonts w:asciiTheme="minorHAnsi" w:eastAsiaTheme="minorEastAsia" w:hAnsiTheme="minorHAnsi" w:cstheme="minorBidi"/>
            <w:noProof/>
            <w:sz w:val="22"/>
            <w:szCs w:val="22"/>
          </w:rPr>
          <w:tab/>
        </w:r>
        <w:r w:rsidR="00A64830" w:rsidRPr="00965590">
          <w:rPr>
            <w:rStyle w:val="Hyperlink"/>
            <w:noProof/>
          </w:rPr>
          <w:t>Abuse of Discretion</w:t>
        </w:r>
        <w:r w:rsidR="00A64830">
          <w:rPr>
            <w:noProof/>
            <w:webHidden/>
          </w:rPr>
          <w:tab/>
        </w:r>
        <w:r w:rsidR="00A64830">
          <w:rPr>
            <w:noProof/>
            <w:webHidden/>
          </w:rPr>
          <w:fldChar w:fldCharType="begin"/>
        </w:r>
        <w:r w:rsidR="00A64830">
          <w:rPr>
            <w:noProof/>
            <w:webHidden/>
          </w:rPr>
          <w:instrText xml:space="preserve"> PAGEREF _Toc395604708 \h </w:instrText>
        </w:r>
        <w:r w:rsidR="00A64830">
          <w:rPr>
            <w:noProof/>
            <w:webHidden/>
          </w:rPr>
        </w:r>
        <w:r w:rsidR="00A64830">
          <w:rPr>
            <w:noProof/>
            <w:webHidden/>
          </w:rPr>
          <w:fldChar w:fldCharType="separate"/>
        </w:r>
        <w:r w:rsidR="00042677">
          <w:rPr>
            <w:noProof/>
            <w:webHidden/>
          </w:rPr>
          <w:t>91</w:t>
        </w:r>
        <w:r w:rsidR="00A64830">
          <w:rPr>
            <w:noProof/>
            <w:webHidden/>
          </w:rPr>
          <w:fldChar w:fldCharType="end"/>
        </w:r>
      </w:hyperlink>
    </w:p>
    <w:p w:rsidR="00A64830" w:rsidRDefault="000F30C0" w:rsidP="00334983">
      <w:pPr>
        <w:pStyle w:val="TOC3"/>
        <w:rPr>
          <w:rStyle w:val="Hyperlink"/>
          <w:noProof/>
        </w:rPr>
      </w:pPr>
      <w:hyperlink w:anchor="_Toc395604709" w:history="1">
        <w:r w:rsidR="00A64830" w:rsidRPr="00965590">
          <w:rPr>
            <w:rStyle w:val="Hyperlink"/>
            <w:noProof/>
          </w:rPr>
          <w:t>4.</w:t>
        </w:r>
        <w:r w:rsidR="00A64830">
          <w:rPr>
            <w:rFonts w:asciiTheme="minorHAnsi" w:eastAsiaTheme="minorEastAsia" w:hAnsiTheme="minorHAnsi" w:cstheme="minorBidi"/>
            <w:noProof/>
            <w:sz w:val="22"/>
            <w:szCs w:val="22"/>
          </w:rPr>
          <w:tab/>
        </w:r>
        <w:r w:rsidR="00A64830" w:rsidRPr="00965590">
          <w:rPr>
            <w:rStyle w:val="Hyperlink"/>
            <w:noProof/>
          </w:rPr>
          <w:t>Statutory Interpretation</w:t>
        </w:r>
        <w:r w:rsidR="00A64830">
          <w:rPr>
            <w:noProof/>
            <w:webHidden/>
          </w:rPr>
          <w:tab/>
        </w:r>
        <w:r w:rsidR="00A64830">
          <w:rPr>
            <w:noProof/>
            <w:webHidden/>
          </w:rPr>
          <w:fldChar w:fldCharType="begin"/>
        </w:r>
        <w:r w:rsidR="00A64830">
          <w:rPr>
            <w:noProof/>
            <w:webHidden/>
          </w:rPr>
          <w:instrText xml:space="preserve"> PAGEREF _Toc395604709 \h </w:instrText>
        </w:r>
        <w:r w:rsidR="00A64830">
          <w:rPr>
            <w:noProof/>
            <w:webHidden/>
          </w:rPr>
        </w:r>
        <w:r w:rsidR="00A64830">
          <w:rPr>
            <w:noProof/>
            <w:webHidden/>
          </w:rPr>
          <w:fldChar w:fldCharType="separate"/>
        </w:r>
        <w:r w:rsidR="00042677">
          <w:rPr>
            <w:noProof/>
            <w:webHidden/>
          </w:rPr>
          <w:t>91</w:t>
        </w:r>
        <w:r w:rsidR="00A64830">
          <w:rPr>
            <w:noProof/>
            <w:webHidden/>
          </w:rPr>
          <w:fldChar w:fldCharType="end"/>
        </w:r>
      </w:hyperlink>
    </w:p>
    <w:p w:rsidR="00334983" w:rsidRPr="00334983" w:rsidRDefault="00334983" w:rsidP="00334983">
      <w:pPr>
        <w:rPr>
          <w:rFonts w:eastAsiaTheme="minorEastAsia"/>
        </w:rPr>
      </w:pPr>
    </w:p>
    <w:p w:rsidR="00A64830" w:rsidRDefault="000F30C0" w:rsidP="00334983">
      <w:pPr>
        <w:pStyle w:val="TOC2"/>
        <w:rPr>
          <w:rFonts w:asciiTheme="minorHAnsi" w:eastAsiaTheme="minorEastAsia" w:hAnsiTheme="minorHAnsi" w:cstheme="minorBidi"/>
          <w:noProof/>
          <w:sz w:val="22"/>
          <w:szCs w:val="22"/>
        </w:rPr>
      </w:pPr>
      <w:hyperlink w:anchor="_Toc395604710" w:history="1">
        <w:r w:rsidR="00A64830" w:rsidRPr="00965590">
          <w:rPr>
            <w:rStyle w:val="Hyperlink"/>
            <w:noProof/>
          </w:rPr>
          <w:t>C.</w:t>
        </w:r>
        <w:r w:rsidR="00A64830">
          <w:rPr>
            <w:rFonts w:asciiTheme="minorHAnsi" w:eastAsiaTheme="minorEastAsia" w:hAnsiTheme="minorHAnsi" w:cstheme="minorBidi"/>
            <w:noProof/>
            <w:sz w:val="22"/>
            <w:szCs w:val="22"/>
          </w:rPr>
          <w:tab/>
        </w:r>
        <w:r w:rsidR="00A64830" w:rsidRPr="00965590">
          <w:rPr>
            <w:rStyle w:val="Hyperlink"/>
            <w:noProof/>
          </w:rPr>
          <w:t>HABEAS CORPUS</w:t>
        </w:r>
        <w:r w:rsidR="00A64830">
          <w:rPr>
            <w:noProof/>
            <w:webHidden/>
          </w:rPr>
          <w:tab/>
        </w:r>
        <w:r w:rsidR="00A64830">
          <w:rPr>
            <w:noProof/>
            <w:webHidden/>
          </w:rPr>
          <w:fldChar w:fldCharType="begin"/>
        </w:r>
        <w:r w:rsidR="00A64830">
          <w:rPr>
            <w:noProof/>
            <w:webHidden/>
          </w:rPr>
          <w:instrText xml:space="preserve"> PAGEREF _Toc395604710 \h </w:instrText>
        </w:r>
        <w:r w:rsidR="00A64830">
          <w:rPr>
            <w:noProof/>
            <w:webHidden/>
          </w:rPr>
        </w:r>
        <w:r w:rsidR="00A64830">
          <w:rPr>
            <w:noProof/>
            <w:webHidden/>
          </w:rPr>
          <w:fldChar w:fldCharType="separate"/>
        </w:r>
        <w:r w:rsidR="00042677">
          <w:rPr>
            <w:noProof/>
            <w:webHidden/>
          </w:rPr>
          <w:t>92</w:t>
        </w:r>
        <w:r w:rsidR="00A64830">
          <w:rPr>
            <w:noProof/>
            <w:webHidden/>
          </w:rPr>
          <w:fldChar w:fldCharType="end"/>
        </w:r>
      </w:hyperlink>
    </w:p>
    <w:p w:rsidR="00A64830" w:rsidRDefault="000F30C0" w:rsidP="00334983">
      <w:pPr>
        <w:pStyle w:val="TOC3"/>
        <w:rPr>
          <w:rFonts w:asciiTheme="minorHAnsi" w:eastAsiaTheme="minorEastAsia" w:hAnsiTheme="minorHAnsi" w:cstheme="minorBidi"/>
          <w:noProof/>
          <w:sz w:val="22"/>
          <w:szCs w:val="22"/>
        </w:rPr>
      </w:pPr>
      <w:hyperlink w:anchor="_Toc395604711" w:history="1">
        <w:r w:rsidR="00A64830" w:rsidRPr="00965590">
          <w:rPr>
            <w:rStyle w:val="Hyperlink"/>
            <w:noProof/>
          </w:rPr>
          <w:t>1.</w:t>
        </w:r>
        <w:r w:rsidR="00A64830">
          <w:rPr>
            <w:rFonts w:asciiTheme="minorHAnsi" w:eastAsiaTheme="minorEastAsia" w:hAnsiTheme="minorHAnsi" w:cstheme="minorBidi"/>
            <w:noProof/>
            <w:sz w:val="22"/>
            <w:szCs w:val="22"/>
          </w:rPr>
          <w:tab/>
        </w:r>
        <w:r w:rsidR="00A64830" w:rsidRPr="00965590">
          <w:rPr>
            <w:rStyle w:val="Hyperlink"/>
            <w:noProof/>
          </w:rPr>
          <w:t>Review of District Court’s Decision</w:t>
        </w:r>
        <w:r w:rsidR="00A64830">
          <w:rPr>
            <w:noProof/>
            <w:webHidden/>
          </w:rPr>
          <w:tab/>
        </w:r>
        <w:r w:rsidR="00A64830">
          <w:rPr>
            <w:noProof/>
            <w:webHidden/>
          </w:rPr>
          <w:fldChar w:fldCharType="begin"/>
        </w:r>
        <w:r w:rsidR="00A64830">
          <w:rPr>
            <w:noProof/>
            <w:webHidden/>
          </w:rPr>
          <w:instrText xml:space="preserve"> PAGEREF _Toc395604711 \h </w:instrText>
        </w:r>
        <w:r w:rsidR="00A64830">
          <w:rPr>
            <w:noProof/>
            <w:webHidden/>
          </w:rPr>
        </w:r>
        <w:r w:rsidR="00A64830">
          <w:rPr>
            <w:noProof/>
            <w:webHidden/>
          </w:rPr>
          <w:fldChar w:fldCharType="separate"/>
        </w:r>
        <w:r w:rsidR="00042677">
          <w:rPr>
            <w:noProof/>
            <w:webHidden/>
          </w:rPr>
          <w:t>92</w:t>
        </w:r>
        <w:r w:rsidR="00A64830">
          <w:rPr>
            <w:noProof/>
            <w:webHidden/>
          </w:rPr>
          <w:fldChar w:fldCharType="end"/>
        </w:r>
      </w:hyperlink>
    </w:p>
    <w:p w:rsidR="00A64830" w:rsidRDefault="000F30C0" w:rsidP="00334983">
      <w:pPr>
        <w:pStyle w:val="TOC3"/>
        <w:rPr>
          <w:rFonts w:asciiTheme="minorHAnsi" w:eastAsiaTheme="minorEastAsia" w:hAnsiTheme="minorHAnsi" w:cstheme="minorBidi"/>
          <w:noProof/>
          <w:sz w:val="22"/>
          <w:szCs w:val="22"/>
        </w:rPr>
      </w:pPr>
      <w:hyperlink w:anchor="_Toc395604712" w:history="1">
        <w:r w:rsidR="00A64830" w:rsidRPr="00965590">
          <w:rPr>
            <w:rStyle w:val="Hyperlink"/>
            <w:noProof/>
          </w:rPr>
          <w:t>2.</w:t>
        </w:r>
        <w:r w:rsidR="00A64830">
          <w:rPr>
            <w:rFonts w:asciiTheme="minorHAnsi" w:eastAsiaTheme="minorEastAsia" w:hAnsiTheme="minorHAnsi" w:cstheme="minorBidi"/>
            <w:noProof/>
            <w:sz w:val="22"/>
            <w:szCs w:val="22"/>
          </w:rPr>
          <w:tab/>
        </w:r>
        <w:r w:rsidR="00A64830" w:rsidRPr="00965590">
          <w:rPr>
            <w:rStyle w:val="Hyperlink"/>
            <w:noProof/>
          </w:rPr>
          <w:t>Extradition</w:t>
        </w:r>
        <w:r w:rsidR="00A64830">
          <w:rPr>
            <w:noProof/>
            <w:webHidden/>
          </w:rPr>
          <w:tab/>
        </w:r>
        <w:r w:rsidR="00A64830">
          <w:rPr>
            <w:noProof/>
            <w:webHidden/>
          </w:rPr>
          <w:fldChar w:fldCharType="begin"/>
        </w:r>
        <w:r w:rsidR="00A64830">
          <w:rPr>
            <w:noProof/>
            <w:webHidden/>
          </w:rPr>
          <w:instrText xml:space="preserve"> PAGEREF _Toc395604712 \h </w:instrText>
        </w:r>
        <w:r w:rsidR="00A64830">
          <w:rPr>
            <w:noProof/>
            <w:webHidden/>
          </w:rPr>
        </w:r>
        <w:r w:rsidR="00A64830">
          <w:rPr>
            <w:noProof/>
            <w:webHidden/>
          </w:rPr>
          <w:fldChar w:fldCharType="separate"/>
        </w:r>
        <w:r w:rsidR="00042677">
          <w:rPr>
            <w:noProof/>
            <w:webHidden/>
          </w:rPr>
          <w:t>92</w:t>
        </w:r>
        <w:r w:rsidR="00A64830">
          <w:rPr>
            <w:noProof/>
            <w:webHidden/>
          </w:rPr>
          <w:fldChar w:fldCharType="end"/>
        </w:r>
      </w:hyperlink>
    </w:p>
    <w:p w:rsidR="00A64830" w:rsidRDefault="000F30C0" w:rsidP="00334983">
      <w:pPr>
        <w:pStyle w:val="TOC3"/>
        <w:rPr>
          <w:rStyle w:val="Hyperlink"/>
          <w:noProof/>
        </w:rPr>
      </w:pPr>
      <w:hyperlink w:anchor="_Toc395604713" w:history="1">
        <w:r w:rsidR="00A64830" w:rsidRPr="00965590">
          <w:rPr>
            <w:rStyle w:val="Hyperlink"/>
            <w:noProof/>
          </w:rPr>
          <w:t>3.</w:t>
        </w:r>
        <w:r w:rsidR="00A64830">
          <w:rPr>
            <w:rFonts w:asciiTheme="minorHAnsi" w:eastAsiaTheme="minorEastAsia" w:hAnsiTheme="minorHAnsi" w:cstheme="minorBidi"/>
            <w:noProof/>
            <w:sz w:val="22"/>
            <w:szCs w:val="22"/>
          </w:rPr>
          <w:tab/>
        </w:r>
        <w:r w:rsidR="00A64830" w:rsidRPr="00965590">
          <w:rPr>
            <w:rStyle w:val="Hyperlink"/>
            <w:noProof/>
          </w:rPr>
          <w:t>Review of Revocation of Supervised Release or Prison Disciplinary Proceedings</w:t>
        </w:r>
        <w:r w:rsidR="00A64830">
          <w:rPr>
            <w:noProof/>
            <w:webHidden/>
          </w:rPr>
          <w:tab/>
        </w:r>
        <w:r w:rsidR="00A64830">
          <w:rPr>
            <w:noProof/>
            <w:webHidden/>
          </w:rPr>
          <w:fldChar w:fldCharType="begin"/>
        </w:r>
        <w:r w:rsidR="00A64830">
          <w:rPr>
            <w:noProof/>
            <w:webHidden/>
          </w:rPr>
          <w:instrText xml:space="preserve"> PAGEREF _Toc395604713 \h </w:instrText>
        </w:r>
        <w:r w:rsidR="00A64830">
          <w:rPr>
            <w:noProof/>
            <w:webHidden/>
          </w:rPr>
        </w:r>
        <w:r w:rsidR="00A64830">
          <w:rPr>
            <w:noProof/>
            <w:webHidden/>
          </w:rPr>
          <w:fldChar w:fldCharType="separate"/>
        </w:r>
        <w:r w:rsidR="00042677">
          <w:rPr>
            <w:noProof/>
            <w:webHidden/>
          </w:rPr>
          <w:t>92</w:t>
        </w:r>
        <w:r w:rsidR="00A64830">
          <w:rPr>
            <w:noProof/>
            <w:webHidden/>
          </w:rPr>
          <w:fldChar w:fldCharType="end"/>
        </w:r>
      </w:hyperlink>
    </w:p>
    <w:p w:rsidR="00334983" w:rsidRPr="00334983" w:rsidRDefault="00334983" w:rsidP="00334983">
      <w:pPr>
        <w:rPr>
          <w:rFonts w:eastAsiaTheme="minorEastAsia"/>
        </w:rPr>
      </w:pPr>
    </w:p>
    <w:p w:rsidR="00A64830" w:rsidRDefault="000F30C0" w:rsidP="00334983">
      <w:pPr>
        <w:pStyle w:val="TOC2"/>
        <w:rPr>
          <w:rStyle w:val="Hyperlink"/>
          <w:noProof/>
        </w:rPr>
      </w:pPr>
      <w:hyperlink w:anchor="_Toc395604714" w:history="1">
        <w:r w:rsidR="00A64830" w:rsidRPr="00965590">
          <w:rPr>
            <w:rStyle w:val="Hyperlink"/>
            <w:noProof/>
          </w:rPr>
          <w:t>D.</w:t>
        </w:r>
        <w:r w:rsidR="00A64830">
          <w:rPr>
            <w:rFonts w:asciiTheme="minorHAnsi" w:eastAsiaTheme="minorEastAsia" w:hAnsiTheme="minorHAnsi" w:cstheme="minorBidi"/>
            <w:noProof/>
            <w:sz w:val="22"/>
            <w:szCs w:val="22"/>
          </w:rPr>
          <w:tab/>
        </w:r>
        <w:r w:rsidR="00A64830" w:rsidRPr="00965590">
          <w:rPr>
            <w:rStyle w:val="Hyperlink"/>
            <w:noProof/>
          </w:rPr>
          <w:t>EXPUNGEMENT</w:t>
        </w:r>
        <w:r w:rsidR="00A64830">
          <w:rPr>
            <w:noProof/>
            <w:webHidden/>
          </w:rPr>
          <w:tab/>
        </w:r>
        <w:r w:rsidR="00A64830">
          <w:rPr>
            <w:noProof/>
            <w:webHidden/>
          </w:rPr>
          <w:fldChar w:fldCharType="begin"/>
        </w:r>
        <w:r w:rsidR="00A64830">
          <w:rPr>
            <w:noProof/>
            <w:webHidden/>
          </w:rPr>
          <w:instrText xml:space="preserve"> PAGEREF _Toc395604714 \h </w:instrText>
        </w:r>
        <w:r w:rsidR="00A64830">
          <w:rPr>
            <w:noProof/>
            <w:webHidden/>
          </w:rPr>
        </w:r>
        <w:r w:rsidR="00A64830">
          <w:rPr>
            <w:noProof/>
            <w:webHidden/>
          </w:rPr>
          <w:fldChar w:fldCharType="separate"/>
        </w:r>
        <w:r w:rsidR="00042677">
          <w:rPr>
            <w:noProof/>
            <w:webHidden/>
          </w:rPr>
          <w:t>93</w:t>
        </w:r>
        <w:r w:rsidR="00A64830">
          <w:rPr>
            <w:noProof/>
            <w:webHidden/>
          </w:rPr>
          <w:fldChar w:fldCharType="end"/>
        </w:r>
      </w:hyperlink>
    </w:p>
    <w:p w:rsidR="00334983" w:rsidRPr="00334983" w:rsidRDefault="00334983" w:rsidP="00334983">
      <w:pPr>
        <w:rPr>
          <w:rFonts w:eastAsiaTheme="minorEastAsia"/>
        </w:rPr>
      </w:pPr>
    </w:p>
    <w:p w:rsidR="00A64830" w:rsidRDefault="000F30C0" w:rsidP="00334983">
      <w:pPr>
        <w:pStyle w:val="TOC1"/>
        <w:rPr>
          <w:rStyle w:val="Hyperlink"/>
          <w:noProof/>
        </w:rPr>
      </w:pPr>
      <w:hyperlink w:anchor="_Toc395604715" w:history="1">
        <w:r w:rsidR="00A64830" w:rsidRPr="00965590">
          <w:rPr>
            <w:rStyle w:val="Hyperlink"/>
            <w:noProof/>
          </w:rPr>
          <w:t>VII.</w:t>
        </w:r>
        <w:r w:rsidR="00A64830">
          <w:rPr>
            <w:rFonts w:asciiTheme="minorHAnsi" w:eastAsiaTheme="minorEastAsia" w:hAnsiTheme="minorHAnsi" w:cstheme="minorBidi"/>
            <w:noProof/>
            <w:sz w:val="22"/>
            <w:szCs w:val="22"/>
          </w:rPr>
          <w:tab/>
        </w:r>
        <w:r w:rsidR="00A64830" w:rsidRPr="00965590">
          <w:rPr>
            <w:rStyle w:val="Hyperlink"/>
            <w:noProof/>
          </w:rPr>
          <w:t>ADMINISTRATIVE – GENERAL</w:t>
        </w:r>
        <w:r w:rsidR="00A64830">
          <w:rPr>
            <w:noProof/>
            <w:webHidden/>
          </w:rPr>
          <w:tab/>
        </w:r>
        <w:r w:rsidR="00A64830">
          <w:rPr>
            <w:noProof/>
            <w:webHidden/>
          </w:rPr>
          <w:fldChar w:fldCharType="begin"/>
        </w:r>
        <w:r w:rsidR="00A64830">
          <w:rPr>
            <w:noProof/>
            <w:webHidden/>
          </w:rPr>
          <w:instrText xml:space="preserve"> PAGEREF _Toc395604715 \h </w:instrText>
        </w:r>
        <w:r w:rsidR="00A64830">
          <w:rPr>
            <w:noProof/>
            <w:webHidden/>
          </w:rPr>
        </w:r>
        <w:r w:rsidR="00A64830">
          <w:rPr>
            <w:noProof/>
            <w:webHidden/>
          </w:rPr>
          <w:fldChar w:fldCharType="separate"/>
        </w:r>
        <w:r w:rsidR="00042677">
          <w:rPr>
            <w:noProof/>
            <w:webHidden/>
          </w:rPr>
          <w:t>94</w:t>
        </w:r>
        <w:r w:rsidR="00A64830">
          <w:rPr>
            <w:noProof/>
            <w:webHidden/>
          </w:rPr>
          <w:fldChar w:fldCharType="end"/>
        </w:r>
      </w:hyperlink>
    </w:p>
    <w:p w:rsidR="00334983" w:rsidRPr="00334983" w:rsidRDefault="00334983" w:rsidP="00334983">
      <w:pPr>
        <w:rPr>
          <w:rFonts w:eastAsiaTheme="minorEastAsia"/>
        </w:rPr>
      </w:pPr>
    </w:p>
    <w:p w:rsidR="00A64830" w:rsidRDefault="000F30C0" w:rsidP="00334983">
      <w:pPr>
        <w:pStyle w:val="TOC2"/>
        <w:rPr>
          <w:rFonts w:asciiTheme="minorHAnsi" w:eastAsiaTheme="minorEastAsia" w:hAnsiTheme="minorHAnsi" w:cstheme="minorBidi"/>
          <w:noProof/>
          <w:sz w:val="22"/>
          <w:szCs w:val="22"/>
        </w:rPr>
      </w:pPr>
      <w:hyperlink w:anchor="_Toc395604716" w:history="1">
        <w:r w:rsidR="00A64830" w:rsidRPr="00965590">
          <w:rPr>
            <w:rStyle w:val="Hyperlink"/>
            <w:noProof/>
          </w:rPr>
          <w:t>A.</w:t>
        </w:r>
        <w:r w:rsidR="00A64830">
          <w:rPr>
            <w:rFonts w:asciiTheme="minorHAnsi" w:eastAsiaTheme="minorEastAsia" w:hAnsiTheme="minorHAnsi" w:cstheme="minorBidi"/>
            <w:noProof/>
            <w:sz w:val="22"/>
            <w:szCs w:val="22"/>
          </w:rPr>
          <w:tab/>
        </w:r>
        <w:r w:rsidR="00A64830" w:rsidRPr="00965590">
          <w:rPr>
            <w:rStyle w:val="Hyperlink"/>
            <w:noProof/>
          </w:rPr>
          <w:t>GENERAL PRINCIPLES</w:t>
        </w:r>
        <w:r w:rsidR="00A64830">
          <w:rPr>
            <w:noProof/>
            <w:webHidden/>
          </w:rPr>
          <w:tab/>
        </w:r>
        <w:r w:rsidR="00A64830">
          <w:rPr>
            <w:noProof/>
            <w:webHidden/>
          </w:rPr>
          <w:fldChar w:fldCharType="begin"/>
        </w:r>
        <w:r w:rsidR="00A64830">
          <w:rPr>
            <w:noProof/>
            <w:webHidden/>
          </w:rPr>
          <w:instrText xml:space="preserve"> PAGEREF _Toc395604716 \h </w:instrText>
        </w:r>
        <w:r w:rsidR="00A64830">
          <w:rPr>
            <w:noProof/>
            <w:webHidden/>
          </w:rPr>
        </w:r>
        <w:r w:rsidR="00A64830">
          <w:rPr>
            <w:noProof/>
            <w:webHidden/>
          </w:rPr>
          <w:fldChar w:fldCharType="separate"/>
        </w:r>
        <w:r w:rsidR="00042677">
          <w:rPr>
            <w:noProof/>
            <w:webHidden/>
          </w:rPr>
          <w:t>94</w:t>
        </w:r>
        <w:r w:rsidR="00A64830">
          <w:rPr>
            <w:noProof/>
            <w:webHidden/>
          </w:rPr>
          <w:fldChar w:fldCharType="end"/>
        </w:r>
      </w:hyperlink>
    </w:p>
    <w:p w:rsidR="00A64830" w:rsidRDefault="000F30C0" w:rsidP="00334983">
      <w:pPr>
        <w:pStyle w:val="TOC3"/>
        <w:rPr>
          <w:rFonts w:asciiTheme="minorHAnsi" w:eastAsiaTheme="minorEastAsia" w:hAnsiTheme="minorHAnsi" w:cstheme="minorBidi"/>
          <w:noProof/>
          <w:sz w:val="22"/>
          <w:szCs w:val="22"/>
        </w:rPr>
      </w:pPr>
      <w:hyperlink w:anchor="_Toc395604717" w:history="1">
        <w:r w:rsidR="00A64830" w:rsidRPr="00965590">
          <w:rPr>
            <w:rStyle w:val="Hyperlink"/>
            <w:noProof/>
          </w:rPr>
          <w:t>1.</w:t>
        </w:r>
        <w:r w:rsidR="00A64830">
          <w:rPr>
            <w:rFonts w:asciiTheme="minorHAnsi" w:eastAsiaTheme="minorEastAsia" w:hAnsiTheme="minorHAnsi" w:cstheme="minorBidi"/>
            <w:noProof/>
            <w:sz w:val="22"/>
            <w:szCs w:val="22"/>
          </w:rPr>
          <w:tab/>
        </w:r>
        <w:r w:rsidR="00A64830" w:rsidRPr="00965590">
          <w:rPr>
            <w:rStyle w:val="Hyperlink"/>
            <w:noProof/>
          </w:rPr>
          <w:t>Reviewability</w:t>
        </w:r>
        <w:r w:rsidR="00A64830">
          <w:rPr>
            <w:noProof/>
            <w:webHidden/>
          </w:rPr>
          <w:tab/>
        </w:r>
        <w:r w:rsidR="00A64830">
          <w:rPr>
            <w:noProof/>
            <w:webHidden/>
          </w:rPr>
          <w:fldChar w:fldCharType="begin"/>
        </w:r>
        <w:r w:rsidR="00A64830">
          <w:rPr>
            <w:noProof/>
            <w:webHidden/>
          </w:rPr>
          <w:instrText xml:space="preserve"> PAGEREF _Toc395604717 \h </w:instrText>
        </w:r>
        <w:r w:rsidR="00A64830">
          <w:rPr>
            <w:noProof/>
            <w:webHidden/>
          </w:rPr>
        </w:r>
        <w:r w:rsidR="00A64830">
          <w:rPr>
            <w:noProof/>
            <w:webHidden/>
          </w:rPr>
          <w:fldChar w:fldCharType="separate"/>
        </w:r>
        <w:r w:rsidR="00042677">
          <w:rPr>
            <w:noProof/>
            <w:webHidden/>
          </w:rPr>
          <w:t>94</w:t>
        </w:r>
        <w:r w:rsidR="00A64830">
          <w:rPr>
            <w:noProof/>
            <w:webHidden/>
          </w:rPr>
          <w:fldChar w:fldCharType="end"/>
        </w:r>
      </w:hyperlink>
    </w:p>
    <w:p w:rsidR="00A64830" w:rsidRDefault="000F30C0" w:rsidP="00334983">
      <w:pPr>
        <w:pStyle w:val="TOC3"/>
        <w:rPr>
          <w:rFonts w:asciiTheme="minorHAnsi" w:eastAsiaTheme="minorEastAsia" w:hAnsiTheme="minorHAnsi" w:cstheme="minorBidi"/>
          <w:noProof/>
          <w:sz w:val="22"/>
          <w:szCs w:val="22"/>
        </w:rPr>
      </w:pPr>
      <w:hyperlink w:anchor="_Toc395604718" w:history="1">
        <w:r w:rsidR="00A64830" w:rsidRPr="00965590">
          <w:rPr>
            <w:rStyle w:val="Hyperlink"/>
            <w:noProof/>
          </w:rPr>
          <w:t>2.</w:t>
        </w:r>
        <w:r w:rsidR="00A64830">
          <w:rPr>
            <w:rFonts w:asciiTheme="minorHAnsi" w:eastAsiaTheme="minorEastAsia" w:hAnsiTheme="minorHAnsi" w:cstheme="minorBidi"/>
            <w:noProof/>
            <w:sz w:val="22"/>
            <w:szCs w:val="22"/>
          </w:rPr>
          <w:tab/>
        </w:r>
        <w:r w:rsidR="00A64830" w:rsidRPr="00965590">
          <w:rPr>
            <w:rStyle w:val="Hyperlink"/>
            <w:noProof/>
          </w:rPr>
          <w:t>Agency Jurisdiction</w:t>
        </w:r>
        <w:r w:rsidR="00A64830">
          <w:rPr>
            <w:noProof/>
            <w:webHidden/>
          </w:rPr>
          <w:tab/>
        </w:r>
        <w:r w:rsidR="00A64830">
          <w:rPr>
            <w:noProof/>
            <w:webHidden/>
          </w:rPr>
          <w:fldChar w:fldCharType="begin"/>
        </w:r>
        <w:r w:rsidR="00A64830">
          <w:rPr>
            <w:noProof/>
            <w:webHidden/>
          </w:rPr>
          <w:instrText xml:space="preserve"> PAGEREF _Toc395604718 \h </w:instrText>
        </w:r>
        <w:r w:rsidR="00A64830">
          <w:rPr>
            <w:noProof/>
            <w:webHidden/>
          </w:rPr>
        </w:r>
        <w:r w:rsidR="00A64830">
          <w:rPr>
            <w:noProof/>
            <w:webHidden/>
          </w:rPr>
          <w:fldChar w:fldCharType="separate"/>
        </w:r>
        <w:r w:rsidR="00042677">
          <w:rPr>
            <w:noProof/>
            <w:webHidden/>
          </w:rPr>
          <w:t>94</w:t>
        </w:r>
        <w:r w:rsidR="00A64830">
          <w:rPr>
            <w:noProof/>
            <w:webHidden/>
          </w:rPr>
          <w:fldChar w:fldCharType="end"/>
        </w:r>
      </w:hyperlink>
    </w:p>
    <w:p w:rsidR="00A64830" w:rsidRDefault="000F30C0" w:rsidP="00334983">
      <w:pPr>
        <w:pStyle w:val="TOC4"/>
        <w:tabs>
          <w:tab w:val="left" w:pos="1200"/>
          <w:tab w:val="right" w:leader="dot" w:pos="9350"/>
        </w:tabs>
        <w:spacing w:after="0"/>
        <w:rPr>
          <w:rFonts w:asciiTheme="minorHAnsi" w:eastAsiaTheme="minorEastAsia" w:hAnsiTheme="minorHAnsi" w:cstheme="minorBidi"/>
          <w:noProof/>
          <w:sz w:val="22"/>
          <w:szCs w:val="22"/>
        </w:rPr>
      </w:pPr>
      <w:hyperlink w:anchor="_Toc395604719" w:history="1">
        <w:r w:rsidR="00A64830" w:rsidRPr="00965590">
          <w:rPr>
            <w:rStyle w:val="Hyperlink"/>
            <w:noProof/>
          </w:rPr>
          <w:t>a.</w:t>
        </w:r>
        <w:r w:rsidR="00A64830">
          <w:rPr>
            <w:rFonts w:asciiTheme="minorHAnsi" w:eastAsiaTheme="minorEastAsia" w:hAnsiTheme="minorHAnsi" w:cstheme="minorBidi"/>
            <w:noProof/>
            <w:sz w:val="22"/>
            <w:szCs w:val="22"/>
          </w:rPr>
          <w:tab/>
        </w:r>
        <w:r w:rsidR="00A64830" w:rsidRPr="00965590">
          <w:rPr>
            <w:rStyle w:val="Hyperlink"/>
            <w:noProof/>
          </w:rPr>
          <w:t>Constitutional Issues</w:t>
        </w:r>
        <w:r w:rsidR="00A64830">
          <w:rPr>
            <w:noProof/>
            <w:webHidden/>
          </w:rPr>
          <w:tab/>
        </w:r>
        <w:r w:rsidR="00A64830">
          <w:rPr>
            <w:noProof/>
            <w:webHidden/>
          </w:rPr>
          <w:fldChar w:fldCharType="begin"/>
        </w:r>
        <w:r w:rsidR="00A64830">
          <w:rPr>
            <w:noProof/>
            <w:webHidden/>
          </w:rPr>
          <w:instrText xml:space="preserve"> PAGEREF _Toc395604719 \h </w:instrText>
        </w:r>
        <w:r w:rsidR="00A64830">
          <w:rPr>
            <w:noProof/>
            <w:webHidden/>
          </w:rPr>
        </w:r>
        <w:r w:rsidR="00A64830">
          <w:rPr>
            <w:noProof/>
            <w:webHidden/>
          </w:rPr>
          <w:fldChar w:fldCharType="separate"/>
        </w:r>
        <w:r w:rsidR="00042677">
          <w:rPr>
            <w:noProof/>
            <w:webHidden/>
          </w:rPr>
          <w:t>94</w:t>
        </w:r>
        <w:r w:rsidR="00A64830">
          <w:rPr>
            <w:noProof/>
            <w:webHidden/>
          </w:rPr>
          <w:fldChar w:fldCharType="end"/>
        </w:r>
      </w:hyperlink>
    </w:p>
    <w:p w:rsidR="00A64830" w:rsidRDefault="000F30C0" w:rsidP="00334983">
      <w:pPr>
        <w:pStyle w:val="TOC3"/>
        <w:rPr>
          <w:rFonts w:asciiTheme="minorHAnsi" w:eastAsiaTheme="minorEastAsia" w:hAnsiTheme="minorHAnsi" w:cstheme="minorBidi"/>
          <w:noProof/>
          <w:sz w:val="22"/>
          <w:szCs w:val="22"/>
        </w:rPr>
      </w:pPr>
      <w:hyperlink w:anchor="_Toc395604720" w:history="1">
        <w:r w:rsidR="00A64830" w:rsidRPr="00965590">
          <w:rPr>
            <w:rStyle w:val="Hyperlink"/>
            <w:noProof/>
          </w:rPr>
          <w:t>3.</w:t>
        </w:r>
        <w:r w:rsidR="00A64830">
          <w:rPr>
            <w:rFonts w:asciiTheme="minorHAnsi" w:eastAsiaTheme="minorEastAsia" w:hAnsiTheme="minorHAnsi" w:cstheme="minorBidi"/>
            <w:noProof/>
            <w:sz w:val="22"/>
            <w:szCs w:val="22"/>
          </w:rPr>
          <w:tab/>
        </w:r>
        <w:r w:rsidR="00A64830" w:rsidRPr="00965590">
          <w:rPr>
            <w:rStyle w:val="Hyperlink"/>
            <w:noProof/>
          </w:rPr>
          <w:t>Burden of Proof on Appeal</w:t>
        </w:r>
        <w:r w:rsidR="00A64830">
          <w:rPr>
            <w:noProof/>
            <w:webHidden/>
          </w:rPr>
          <w:tab/>
        </w:r>
        <w:r w:rsidR="00A64830">
          <w:rPr>
            <w:noProof/>
            <w:webHidden/>
          </w:rPr>
          <w:fldChar w:fldCharType="begin"/>
        </w:r>
        <w:r w:rsidR="00A64830">
          <w:rPr>
            <w:noProof/>
            <w:webHidden/>
          </w:rPr>
          <w:instrText xml:space="preserve"> PAGEREF _Toc395604720 \h </w:instrText>
        </w:r>
        <w:r w:rsidR="00A64830">
          <w:rPr>
            <w:noProof/>
            <w:webHidden/>
          </w:rPr>
        </w:r>
        <w:r w:rsidR="00A64830">
          <w:rPr>
            <w:noProof/>
            <w:webHidden/>
          </w:rPr>
          <w:fldChar w:fldCharType="separate"/>
        </w:r>
        <w:r w:rsidR="00042677">
          <w:rPr>
            <w:noProof/>
            <w:webHidden/>
          </w:rPr>
          <w:t>94</w:t>
        </w:r>
        <w:r w:rsidR="00A64830">
          <w:rPr>
            <w:noProof/>
            <w:webHidden/>
          </w:rPr>
          <w:fldChar w:fldCharType="end"/>
        </w:r>
      </w:hyperlink>
    </w:p>
    <w:p w:rsidR="00A64830" w:rsidRDefault="000F30C0" w:rsidP="00334983">
      <w:pPr>
        <w:pStyle w:val="TOC3"/>
        <w:rPr>
          <w:rFonts w:asciiTheme="minorHAnsi" w:eastAsiaTheme="minorEastAsia" w:hAnsiTheme="minorHAnsi" w:cstheme="minorBidi"/>
          <w:noProof/>
          <w:sz w:val="22"/>
          <w:szCs w:val="22"/>
        </w:rPr>
      </w:pPr>
      <w:hyperlink w:anchor="_Toc395604721" w:history="1">
        <w:r w:rsidR="00A64830" w:rsidRPr="00965590">
          <w:rPr>
            <w:rStyle w:val="Hyperlink"/>
            <w:noProof/>
          </w:rPr>
          <w:t>4.</w:t>
        </w:r>
        <w:r w:rsidR="00A64830">
          <w:rPr>
            <w:rFonts w:asciiTheme="minorHAnsi" w:eastAsiaTheme="minorEastAsia" w:hAnsiTheme="minorHAnsi" w:cstheme="minorBidi"/>
            <w:noProof/>
            <w:sz w:val="22"/>
            <w:szCs w:val="22"/>
          </w:rPr>
          <w:tab/>
        </w:r>
        <w:r w:rsidR="00A64830" w:rsidRPr="00965590">
          <w:rPr>
            <w:rStyle w:val="Hyperlink"/>
            <w:noProof/>
          </w:rPr>
          <w:t>Presumption of Correctness/Deference</w:t>
        </w:r>
        <w:r w:rsidR="00A64830">
          <w:rPr>
            <w:noProof/>
            <w:webHidden/>
          </w:rPr>
          <w:tab/>
        </w:r>
        <w:r w:rsidR="00A64830">
          <w:rPr>
            <w:noProof/>
            <w:webHidden/>
          </w:rPr>
          <w:fldChar w:fldCharType="begin"/>
        </w:r>
        <w:r w:rsidR="00A64830">
          <w:rPr>
            <w:noProof/>
            <w:webHidden/>
          </w:rPr>
          <w:instrText xml:space="preserve"> PAGEREF _Toc395604721 \h </w:instrText>
        </w:r>
        <w:r w:rsidR="00A64830">
          <w:rPr>
            <w:noProof/>
            <w:webHidden/>
          </w:rPr>
        </w:r>
        <w:r w:rsidR="00A64830">
          <w:rPr>
            <w:noProof/>
            <w:webHidden/>
          </w:rPr>
          <w:fldChar w:fldCharType="separate"/>
        </w:r>
        <w:r w:rsidR="00042677">
          <w:rPr>
            <w:noProof/>
            <w:webHidden/>
          </w:rPr>
          <w:t>94</w:t>
        </w:r>
        <w:r w:rsidR="00A64830">
          <w:rPr>
            <w:noProof/>
            <w:webHidden/>
          </w:rPr>
          <w:fldChar w:fldCharType="end"/>
        </w:r>
      </w:hyperlink>
    </w:p>
    <w:p w:rsidR="00A64830" w:rsidRDefault="000F30C0" w:rsidP="00334983">
      <w:pPr>
        <w:pStyle w:val="TOC3"/>
        <w:rPr>
          <w:rFonts w:asciiTheme="minorHAnsi" w:eastAsiaTheme="minorEastAsia" w:hAnsiTheme="minorHAnsi" w:cstheme="minorBidi"/>
          <w:noProof/>
          <w:sz w:val="22"/>
          <w:szCs w:val="22"/>
        </w:rPr>
      </w:pPr>
      <w:hyperlink w:anchor="_Toc395604722" w:history="1">
        <w:r w:rsidR="00A64830" w:rsidRPr="00965590">
          <w:rPr>
            <w:rStyle w:val="Hyperlink"/>
            <w:noProof/>
          </w:rPr>
          <w:t>5.</w:t>
        </w:r>
        <w:r w:rsidR="00A64830">
          <w:rPr>
            <w:rFonts w:asciiTheme="minorHAnsi" w:eastAsiaTheme="minorEastAsia" w:hAnsiTheme="minorHAnsi" w:cstheme="minorBidi"/>
            <w:noProof/>
            <w:sz w:val="22"/>
            <w:szCs w:val="22"/>
          </w:rPr>
          <w:tab/>
        </w:r>
        <w:r w:rsidR="00A64830" w:rsidRPr="00965590">
          <w:rPr>
            <w:rStyle w:val="Hyperlink"/>
            <w:noProof/>
          </w:rPr>
          <w:t>Agency Interpretations of Statutes and Rules</w:t>
        </w:r>
        <w:r w:rsidR="00A64830">
          <w:rPr>
            <w:noProof/>
            <w:webHidden/>
          </w:rPr>
          <w:tab/>
        </w:r>
        <w:r w:rsidR="00A64830">
          <w:rPr>
            <w:noProof/>
            <w:webHidden/>
          </w:rPr>
          <w:fldChar w:fldCharType="begin"/>
        </w:r>
        <w:r w:rsidR="00A64830">
          <w:rPr>
            <w:noProof/>
            <w:webHidden/>
          </w:rPr>
          <w:instrText xml:space="preserve"> PAGEREF _Toc395604722 \h </w:instrText>
        </w:r>
        <w:r w:rsidR="00A64830">
          <w:rPr>
            <w:noProof/>
            <w:webHidden/>
          </w:rPr>
        </w:r>
        <w:r w:rsidR="00A64830">
          <w:rPr>
            <w:noProof/>
            <w:webHidden/>
          </w:rPr>
          <w:fldChar w:fldCharType="separate"/>
        </w:r>
        <w:r w:rsidR="00042677">
          <w:rPr>
            <w:noProof/>
            <w:webHidden/>
          </w:rPr>
          <w:t>96</w:t>
        </w:r>
        <w:r w:rsidR="00A64830">
          <w:rPr>
            <w:noProof/>
            <w:webHidden/>
          </w:rPr>
          <w:fldChar w:fldCharType="end"/>
        </w:r>
      </w:hyperlink>
    </w:p>
    <w:p w:rsidR="00A64830" w:rsidRDefault="000F30C0" w:rsidP="00334983">
      <w:pPr>
        <w:pStyle w:val="TOC4"/>
        <w:tabs>
          <w:tab w:val="left" w:pos="1200"/>
          <w:tab w:val="right" w:leader="dot" w:pos="9350"/>
        </w:tabs>
        <w:spacing w:after="0"/>
        <w:rPr>
          <w:rFonts w:asciiTheme="minorHAnsi" w:eastAsiaTheme="minorEastAsia" w:hAnsiTheme="minorHAnsi" w:cstheme="minorBidi"/>
          <w:noProof/>
          <w:sz w:val="22"/>
          <w:szCs w:val="22"/>
        </w:rPr>
      </w:pPr>
      <w:hyperlink w:anchor="_Toc395604723" w:history="1">
        <w:r w:rsidR="00A64830" w:rsidRPr="00965590">
          <w:rPr>
            <w:rStyle w:val="Hyperlink"/>
            <w:noProof/>
          </w:rPr>
          <w:t>a.</w:t>
        </w:r>
        <w:r w:rsidR="00A64830">
          <w:rPr>
            <w:rFonts w:asciiTheme="minorHAnsi" w:eastAsiaTheme="minorEastAsia" w:hAnsiTheme="minorHAnsi" w:cstheme="minorBidi"/>
            <w:noProof/>
            <w:sz w:val="22"/>
            <w:szCs w:val="22"/>
          </w:rPr>
          <w:tab/>
        </w:r>
        <w:r w:rsidR="00A64830" w:rsidRPr="00965590">
          <w:rPr>
            <w:rStyle w:val="Hyperlink"/>
            <w:noProof/>
          </w:rPr>
          <w:t>In General</w:t>
        </w:r>
        <w:r w:rsidR="00A64830">
          <w:rPr>
            <w:noProof/>
            <w:webHidden/>
          </w:rPr>
          <w:tab/>
        </w:r>
        <w:r w:rsidR="00A64830">
          <w:rPr>
            <w:noProof/>
            <w:webHidden/>
          </w:rPr>
          <w:fldChar w:fldCharType="begin"/>
        </w:r>
        <w:r w:rsidR="00A64830">
          <w:rPr>
            <w:noProof/>
            <w:webHidden/>
          </w:rPr>
          <w:instrText xml:space="preserve"> PAGEREF _Toc395604723 \h </w:instrText>
        </w:r>
        <w:r w:rsidR="00A64830">
          <w:rPr>
            <w:noProof/>
            <w:webHidden/>
          </w:rPr>
        </w:r>
        <w:r w:rsidR="00A64830">
          <w:rPr>
            <w:noProof/>
            <w:webHidden/>
          </w:rPr>
          <w:fldChar w:fldCharType="separate"/>
        </w:r>
        <w:r w:rsidR="00042677">
          <w:rPr>
            <w:noProof/>
            <w:webHidden/>
          </w:rPr>
          <w:t>96</w:t>
        </w:r>
        <w:r w:rsidR="00A64830">
          <w:rPr>
            <w:noProof/>
            <w:webHidden/>
          </w:rPr>
          <w:fldChar w:fldCharType="end"/>
        </w:r>
      </w:hyperlink>
    </w:p>
    <w:p w:rsidR="00A64830" w:rsidRDefault="000F30C0" w:rsidP="00334983">
      <w:pPr>
        <w:pStyle w:val="TOC4"/>
        <w:tabs>
          <w:tab w:val="left" w:pos="1200"/>
          <w:tab w:val="right" w:leader="dot" w:pos="9350"/>
        </w:tabs>
        <w:spacing w:after="0"/>
        <w:rPr>
          <w:rFonts w:asciiTheme="minorHAnsi" w:eastAsiaTheme="minorEastAsia" w:hAnsiTheme="minorHAnsi" w:cstheme="minorBidi"/>
          <w:noProof/>
          <w:sz w:val="22"/>
          <w:szCs w:val="22"/>
        </w:rPr>
      </w:pPr>
      <w:hyperlink w:anchor="_Toc395604724" w:history="1">
        <w:r w:rsidR="00A64830" w:rsidRPr="00965590">
          <w:rPr>
            <w:rStyle w:val="Hyperlink"/>
            <w:noProof/>
          </w:rPr>
          <w:t>b.</w:t>
        </w:r>
        <w:r w:rsidR="00A64830">
          <w:rPr>
            <w:rFonts w:asciiTheme="minorHAnsi" w:eastAsiaTheme="minorEastAsia" w:hAnsiTheme="minorHAnsi" w:cstheme="minorBidi"/>
            <w:noProof/>
            <w:sz w:val="22"/>
            <w:szCs w:val="22"/>
          </w:rPr>
          <w:tab/>
        </w:r>
        <w:r w:rsidR="00A64830" w:rsidRPr="00965590">
          <w:rPr>
            <w:rStyle w:val="Hyperlink"/>
            <w:noProof/>
          </w:rPr>
          <w:t>Deference/Ambiguity</w:t>
        </w:r>
        <w:r w:rsidR="00A64830">
          <w:rPr>
            <w:noProof/>
            <w:webHidden/>
          </w:rPr>
          <w:tab/>
        </w:r>
        <w:r w:rsidR="00A64830">
          <w:rPr>
            <w:noProof/>
            <w:webHidden/>
          </w:rPr>
          <w:fldChar w:fldCharType="begin"/>
        </w:r>
        <w:r w:rsidR="00A64830">
          <w:rPr>
            <w:noProof/>
            <w:webHidden/>
          </w:rPr>
          <w:instrText xml:space="preserve"> PAGEREF _Toc395604724 \h </w:instrText>
        </w:r>
        <w:r w:rsidR="00A64830">
          <w:rPr>
            <w:noProof/>
            <w:webHidden/>
          </w:rPr>
        </w:r>
        <w:r w:rsidR="00A64830">
          <w:rPr>
            <w:noProof/>
            <w:webHidden/>
          </w:rPr>
          <w:fldChar w:fldCharType="separate"/>
        </w:r>
        <w:r w:rsidR="00042677">
          <w:rPr>
            <w:noProof/>
            <w:webHidden/>
          </w:rPr>
          <w:t>97</w:t>
        </w:r>
        <w:r w:rsidR="00A64830">
          <w:rPr>
            <w:noProof/>
            <w:webHidden/>
          </w:rPr>
          <w:fldChar w:fldCharType="end"/>
        </w:r>
      </w:hyperlink>
    </w:p>
    <w:p w:rsidR="00A64830" w:rsidRDefault="000F30C0" w:rsidP="00334983">
      <w:pPr>
        <w:pStyle w:val="TOC3"/>
        <w:rPr>
          <w:rStyle w:val="Hyperlink"/>
          <w:noProof/>
        </w:rPr>
      </w:pPr>
      <w:hyperlink w:anchor="_Toc395604725" w:history="1">
        <w:r w:rsidR="00A64830" w:rsidRPr="00965590">
          <w:rPr>
            <w:rStyle w:val="Hyperlink"/>
            <w:noProof/>
          </w:rPr>
          <w:t>6.</w:t>
        </w:r>
        <w:r w:rsidR="00A64830">
          <w:rPr>
            <w:rFonts w:asciiTheme="minorHAnsi" w:eastAsiaTheme="minorEastAsia" w:hAnsiTheme="minorHAnsi" w:cstheme="minorBidi"/>
            <w:noProof/>
            <w:sz w:val="22"/>
            <w:szCs w:val="22"/>
          </w:rPr>
          <w:tab/>
        </w:r>
        <w:r w:rsidR="00A64830" w:rsidRPr="00965590">
          <w:rPr>
            <w:rStyle w:val="Hyperlink"/>
            <w:noProof/>
          </w:rPr>
          <w:t>Findings of Fact</w:t>
        </w:r>
        <w:r w:rsidR="00A64830">
          <w:rPr>
            <w:noProof/>
            <w:webHidden/>
          </w:rPr>
          <w:tab/>
        </w:r>
        <w:r w:rsidR="00A64830">
          <w:rPr>
            <w:noProof/>
            <w:webHidden/>
          </w:rPr>
          <w:fldChar w:fldCharType="begin"/>
        </w:r>
        <w:r w:rsidR="00A64830">
          <w:rPr>
            <w:noProof/>
            <w:webHidden/>
          </w:rPr>
          <w:instrText xml:space="preserve"> PAGEREF _Toc395604725 \h </w:instrText>
        </w:r>
        <w:r w:rsidR="00A64830">
          <w:rPr>
            <w:noProof/>
            <w:webHidden/>
          </w:rPr>
        </w:r>
        <w:r w:rsidR="00A64830">
          <w:rPr>
            <w:noProof/>
            <w:webHidden/>
          </w:rPr>
          <w:fldChar w:fldCharType="separate"/>
        </w:r>
        <w:r w:rsidR="00042677">
          <w:rPr>
            <w:noProof/>
            <w:webHidden/>
          </w:rPr>
          <w:t>98</w:t>
        </w:r>
        <w:r w:rsidR="00A64830">
          <w:rPr>
            <w:noProof/>
            <w:webHidden/>
          </w:rPr>
          <w:fldChar w:fldCharType="end"/>
        </w:r>
      </w:hyperlink>
    </w:p>
    <w:p w:rsidR="00334983" w:rsidRPr="00334983" w:rsidRDefault="00334983" w:rsidP="00334983">
      <w:pPr>
        <w:rPr>
          <w:rFonts w:eastAsiaTheme="minorEastAsia"/>
        </w:rPr>
      </w:pPr>
    </w:p>
    <w:p w:rsidR="00A64830" w:rsidRDefault="000F30C0" w:rsidP="00334983">
      <w:pPr>
        <w:pStyle w:val="TOC2"/>
        <w:rPr>
          <w:rFonts w:asciiTheme="minorHAnsi" w:eastAsiaTheme="minorEastAsia" w:hAnsiTheme="minorHAnsi" w:cstheme="minorBidi"/>
          <w:noProof/>
          <w:sz w:val="22"/>
          <w:szCs w:val="22"/>
        </w:rPr>
      </w:pPr>
      <w:hyperlink w:anchor="_Toc395604726" w:history="1">
        <w:r w:rsidR="00A64830" w:rsidRPr="00965590">
          <w:rPr>
            <w:rStyle w:val="Hyperlink"/>
            <w:noProof/>
          </w:rPr>
          <w:t>B.</w:t>
        </w:r>
        <w:r w:rsidR="00A64830">
          <w:rPr>
            <w:rFonts w:asciiTheme="minorHAnsi" w:eastAsiaTheme="minorEastAsia" w:hAnsiTheme="minorHAnsi" w:cstheme="minorBidi"/>
            <w:noProof/>
            <w:sz w:val="22"/>
            <w:szCs w:val="22"/>
          </w:rPr>
          <w:tab/>
        </w:r>
        <w:r w:rsidR="00A64830" w:rsidRPr="00965590">
          <w:rPr>
            <w:rStyle w:val="Hyperlink"/>
            <w:noProof/>
          </w:rPr>
          <w:t>QUASI-JUDICIAL DECISION-MAKING</w:t>
        </w:r>
        <w:r w:rsidR="00A64830">
          <w:rPr>
            <w:noProof/>
            <w:webHidden/>
          </w:rPr>
          <w:tab/>
        </w:r>
        <w:r w:rsidR="00A64830">
          <w:rPr>
            <w:noProof/>
            <w:webHidden/>
          </w:rPr>
          <w:fldChar w:fldCharType="begin"/>
        </w:r>
        <w:r w:rsidR="00A64830">
          <w:rPr>
            <w:noProof/>
            <w:webHidden/>
          </w:rPr>
          <w:instrText xml:space="preserve"> PAGEREF _Toc395604726 \h </w:instrText>
        </w:r>
        <w:r w:rsidR="00A64830">
          <w:rPr>
            <w:noProof/>
            <w:webHidden/>
          </w:rPr>
        </w:r>
        <w:r w:rsidR="00A64830">
          <w:rPr>
            <w:noProof/>
            <w:webHidden/>
          </w:rPr>
          <w:fldChar w:fldCharType="separate"/>
        </w:r>
        <w:r w:rsidR="00042677">
          <w:rPr>
            <w:noProof/>
            <w:webHidden/>
          </w:rPr>
          <w:t>98</w:t>
        </w:r>
        <w:r w:rsidR="00A64830">
          <w:rPr>
            <w:noProof/>
            <w:webHidden/>
          </w:rPr>
          <w:fldChar w:fldCharType="end"/>
        </w:r>
      </w:hyperlink>
    </w:p>
    <w:p w:rsidR="00A64830" w:rsidRDefault="000F30C0" w:rsidP="00334983">
      <w:pPr>
        <w:pStyle w:val="TOC3"/>
        <w:rPr>
          <w:rFonts w:asciiTheme="minorHAnsi" w:eastAsiaTheme="minorEastAsia" w:hAnsiTheme="minorHAnsi" w:cstheme="minorBidi"/>
          <w:noProof/>
          <w:sz w:val="22"/>
          <w:szCs w:val="22"/>
        </w:rPr>
      </w:pPr>
      <w:hyperlink w:anchor="_Toc395604727" w:history="1">
        <w:r w:rsidR="00A64830" w:rsidRPr="00965590">
          <w:rPr>
            <w:rStyle w:val="Hyperlink"/>
            <w:noProof/>
          </w:rPr>
          <w:t>1.</w:t>
        </w:r>
        <w:r w:rsidR="00A64830">
          <w:rPr>
            <w:rFonts w:asciiTheme="minorHAnsi" w:eastAsiaTheme="minorEastAsia" w:hAnsiTheme="minorHAnsi" w:cstheme="minorBidi"/>
            <w:noProof/>
            <w:sz w:val="22"/>
            <w:szCs w:val="22"/>
          </w:rPr>
          <w:tab/>
        </w:r>
        <w:r w:rsidR="00A64830" w:rsidRPr="00965590">
          <w:rPr>
            <w:rStyle w:val="Hyperlink"/>
            <w:noProof/>
          </w:rPr>
          <w:t>Defined</w:t>
        </w:r>
        <w:r w:rsidR="00A64830">
          <w:rPr>
            <w:noProof/>
            <w:webHidden/>
          </w:rPr>
          <w:tab/>
        </w:r>
        <w:r w:rsidR="00A64830">
          <w:rPr>
            <w:noProof/>
            <w:webHidden/>
          </w:rPr>
          <w:fldChar w:fldCharType="begin"/>
        </w:r>
        <w:r w:rsidR="00A64830">
          <w:rPr>
            <w:noProof/>
            <w:webHidden/>
          </w:rPr>
          <w:instrText xml:space="preserve"> PAGEREF _Toc395604727 \h </w:instrText>
        </w:r>
        <w:r w:rsidR="00A64830">
          <w:rPr>
            <w:noProof/>
            <w:webHidden/>
          </w:rPr>
        </w:r>
        <w:r w:rsidR="00A64830">
          <w:rPr>
            <w:noProof/>
            <w:webHidden/>
          </w:rPr>
          <w:fldChar w:fldCharType="separate"/>
        </w:r>
        <w:r w:rsidR="00042677">
          <w:rPr>
            <w:noProof/>
            <w:webHidden/>
          </w:rPr>
          <w:t>98</w:t>
        </w:r>
        <w:r w:rsidR="00A64830">
          <w:rPr>
            <w:noProof/>
            <w:webHidden/>
          </w:rPr>
          <w:fldChar w:fldCharType="end"/>
        </w:r>
      </w:hyperlink>
    </w:p>
    <w:p w:rsidR="00A64830" w:rsidRDefault="000F30C0" w:rsidP="00334983">
      <w:pPr>
        <w:pStyle w:val="TOC3"/>
        <w:rPr>
          <w:rFonts w:asciiTheme="minorHAnsi" w:eastAsiaTheme="minorEastAsia" w:hAnsiTheme="minorHAnsi" w:cstheme="minorBidi"/>
          <w:noProof/>
          <w:sz w:val="22"/>
          <w:szCs w:val="22"/>
        </w:rPr>
      </w:pPr>
      <w:hyperlink w:anchor="_Toc395604728" w:history="1">
        <w:r w:rsidR="00A64830" w:rsidRPr="00965590">
          <w:rPr>
            <w:rStyle w:val="Hyperlink"/>
            <w:noProof/>
          </w:rPr>
          <w:t>2.</w:t>
        </w:r>
        <w:r w:rsidR="00A64830">
          <w:rPr>
            <w:rFonts w:asciiTheme="minorHAnsi" w:eastAsiaTheme="minorEastAsia" w:hAnsiTheme="minorHAnsi" w:cstheme="minorBidi"/>
            <w:noProof/>
            <w:sz w:val="22"/>
            <w:szCs w:val="22"/>
          </w:rPr>
          <w:tab/>
        </w:r>
        <w:r w:rsidR="00A64830" w:rsidRPr="00965590">
          <w:rPr>
            <w:rStyle w:val="Hyperlink"/>
            <w:noProof/>
          </w:rPr>
          <w:t>Review When Minnesota Administrative Procedures Act (MAPA) Applies</w:t>
        </w:r>
        <w:r w:rsidR="00A64830">
          <w:rPr>
            <w:noProof/>
            <w:webHidden/>
          </w:rPr>
          <w:tab/>
        </w:r>
        <w:r w:rsidR="00A64830">
          <w:rPr>
            <w:noProof/>
            <w:webHidden/>
          </w:rPr>
          <w:fldChar w:fldCharType="begin"/>
        </w:r>
        <w:r w:rsidR="00A64830">
          <w:rPr>
            <w:noProof/>
            <w:webHidden/>
          </w:rPr>
          <w:instrText xml:space="preserve"> PAGEREF _Toc395604728 \h </w:instrText>
        </w:r>
        <w:r w:rsidR="00A64830">
          <w:rPr>
            <w:noProof/>
            <w:webHidden/>
          </w:rPr>
        </w:r>
        <w:r w:rsidR="00A64830">
          <w:rPr>
            <w:noProof/>
            <w:webHidden/>
          </w:rPr>
          <w:fldChar w:fldCharType="separate"/>
        </w:r>
        <w:r w:rsidR="00042677">
          <w:rPr>
            <w:noProof/>
            <w:webHidden/>
          </w:rPr>
          <w:t>98</w:t>
        </w:r>
        <w:r w:rsidR="00A64830">
          <w:rPr>
            <w:noProof/>
            <w:webHidden/>
          </w:rPr>
          <w:fldChar w:fldCharType="end"/>
        </w:r>
      </w:hyperlink>
    </w:p>
    <w:p w:rsidR="00A64830" w:rsidRDefault="000F30C0" w:rsidP="00334983">
      <w:pPr>
        <w:pStyle w:val="TOC4"/>
        <w:tabs>
          <w:tab w:val="left" w:pos="1200"/>
          <w:tab w:val="right" w:leader="dot" w:pos="9350"/>
        </w:tabs>
        <w:spacing w:after="0"/>
        <w:rPr>
          <w:rFonts w:asciiTheme="minorHAnsi" w:eastAsiaTheme="minorEastAsia" w:hAnsiTheme="minorHAnsi" w:cstheme="minorBidi"/>
          <w:noProof/>
          <w:sz w:val="22"/>
          <w:szCs w:val="22"/>
        </w:rPr>
      </w:pPr>
      <w:hyperlink w:anchor="_Toc395604729" w:history="1">
        <w:r w:rsidR="00A64830" w:rsidRPr="00965590">
          <w:rPr>
            <w:rStyle w:val="Hyperlink"/>
            <w:noProof/>
          </w:rPr>
          <w:t>a.</w:t>
        </w:r>
        <w:r w:rsidR="00A64830">
          <w:rPr>
            <w:rFonts w:asciiTheme="minorHAnsi" w:eastAsiaTheme="minorEastAsia" w:hAnsiTheme="minorHAnsi" w:cstheme="minorBidi"/>
            <w:noProof/>
            <w:sz w:val="22"/>
            <w:szCs w:val="22"/>
          </w:rPr>
          <w:tab/>
        </w:r>
        <w:r w:rsidR="00A64830" w:rsidRPr="00965590">
          <w:rPr>
            <w:rStyle w:val="Hyperlink"/>
            <w:noProof/>
          </w:rPr>
          <w:t>Contested Case Defined</w:t>
        </w:r>
        <w:r w:rsidR="00A64830">
          <w:rPr>
            <w:noProof/>
            <w:webHidden/>
          </w:rPr>
          <w:tab/>
        </w:r>
        <w:r w:rsidR="00A64830">
          <w:rPr>
            <w:noProof/>
            <w:webHidden/>
          </w:rPr>
          <w:fldChar w:fldCharType="begin"/>
        </w:r>
        <w:r w:rsidR="00A64830">
          <w:rPr>
            <w:noProof/>
            <w:webHidden/>
          </w:rPr>
          <w:instrText xml:space="preserve"> PAGEREF _Toc395604729 \h </w:instrText>
        </w:r>
        <w:r w:rsidR="00A64830">
          <w:rPr>
            <w:noProof/>
            <w:webHidden/>
          </w:rPr>
        </w:r>
        <w:r w:rsidR="00A64830">
          <w:rPr>
            <w:noProof/>
            <w:webHidden/>
          </w:rPr>
          <w:fldChar w:fldCharType="separate"/>
        </w:r>
        <w:r w:rsidR="00042677">
          <w:rPr>
            <w:noProof/>
            <w:webHidden/>
          </w:rPr>
          <w:t>98</w:t>
        </w:r>
        <w:r w:rsidR="00A64830">
          <w:rPr>
            <w:noProof/>
            <w:webHidden/>
          </w:rPr>
          <w:fldChar w:fldCharType="end"/>
        </w:r>
      </w:hyperlink>
    </w:p>
    <w:p w:rsidR="00A64830" w:rsidRDefault="000F30C0" w:rsidP="00334983">
      <w:pPr>
        <w:pStyle w:val="TOC4"/>
        <w:tabs>
          <w:tab w:val="left" w:pos="1200"/>
          <w:tab w:val="right" w:leader="dot" w:pos="9350"/>
        </w:tabs>
        <w:spacing w:after="0"/>
        <w:rPr>
          <w:rFonts w:asciiTheme="minorHAnsi" w:eastAsiaTheme="minorEastAsia" w:hAnsiTheme="minorHAnsi" w:cstheme="minorBidi"/>
          <w:noProof/>
          <w:sz w:val="22"/>
          <w:szCs w:val="22"/>
        </w:rPr>
      </w:pPr>
      <w:hyperlink w:anchor="_Toc395604730" w:history="1">
        <w:r w:rsidR="00A64830" w:rsidRPr="00965590">
          <w:rPr>
            <w:rStyle w:val="Hyperlink"/>
            <w:noProof/>
          </w:rPr>
          <w:t>b.</w:t>
        </w:r>
        <w:r w:rsidR="00A64830">
          <w:rPr>
            <w:rFonts w:asciiTheme="minorHAnsi" w:eastAsiaTheme="minorEastAsia" w:hAnsiTheme="minorHAnsi" w:cstheme="minorBidi"/>
            <w:noProof/>
            <w:sz w:val="22"/>
            <w:szCs w:val="22"/>
          </w:rPr>
          <w:tab/>
        </w:r>
        <w:r w:rsidR="00A64830" w:rsidRPr="00965590">
          <w:rPr>
            <w:rStyle w:val="Hyperlink"/>
            <w:noProof/>
          </w:rPr>
          <w:t>Standard of Review</w:t>
        </w:r>
        <w:r w:rsidR="00A64830">
          <w:rPr>
            <w:noProof/>
            <w:webHidden/>
          </w:rPr>
          <w:tab/>
        </w:r>
        <w:r w:rsidR="00A64830">
          <w:rPr>
            <w:noProof/>
            <w:webHidden/>
          </w:rPr>
          <w:fldChar w:fldCharType="begin"/>
        </w:r>
        <w:r w:rsidR="00A64830">
          <w:rPr>
            <w:noProof/>
            <w:webHidden/>
          </w:rPr>
          <w:instrText xml:space="preserve"> PAGEREF _Toc395604730 \h </w:instrText>
        </w:r>
        <w:r w:rsidR="00A64830">
          <w:rPr>
            <w:noProof/>
            <w:webHidden/>
          </w:rPr>
        </w:r>
        <w:r w:rsidR="00A64830">
          <w:rPr>
            <w:noProof/>
            <w:webHidden/>
          </w:rPr>
          <w:fldChar w:fldCharType="separate"/>
        </w:r>
        <w:r w:rsidR="00042677">
          <w:rPr>
            <w:noProof/>
            <w:webHidden/>
          </w:rPr>
          <w:t>99</w:t>
        </w:r>
        <w:r w:rsidR="00A64830">
          <w:rPr>
            <w:noProof/>
            <w:webHidden/>
          </w:rPr>
          <w:fldChar w:fldCharType="end"/>
        </w:r>
      </w:hyperlink>
    </w:p>
    <w:p w:rsidR="00A64830" w:rsidRDefault="000F30C0" w:rsidP="00334983">
      <w:pPr>
        <w:pStyle w:val="TOC3"/>
        <w:rPr>
          <w:rFonts w:asciiTheme="minorHAnsi" w:eastAsiaTheme="minorEastAsia" w:hAnsiTheme="minorHAnsi" w:cstheme="minorBidi"/>
          <w:noProof/>
          <w:sz w:val="22"/>
          <w:szCs w:val="22"/>
        </w:rPr>
      </w:pPr>
      <w:hyperlink w:anchor="_Toc395604731" w:history="1">
        <w:r w:rsidR="00A64830" w:rsidRPr="00965590">
          <w:rPr>
            <w:rStyle w:val="Hyperlink"/>
            <w:noProof/>
          </w:rPr>
          <w:t>3.</w:t>
        </w:r>
        <w:r w:rsidR="00A64830">
          <w:rPr>
            <w:rFonts w:asciiTheme="minorHAnsi" w:eastAsiaTheme="minorEastAsia" w:hAnsiTheme="minorHAnsi" w:cstheme="minorBidi"/>
            <w:noProof/>
            <w:sz w:val="22"/>
            <w:szCs w:val="22"/>
          </w:rPr>
          <w:tab/>
        </w:r>
        <w:r w:rsidR="00A64830" w:rsidRPr="00965590">
          <w:rPr>
            <w:rStyle w:val="Hyperlink"/>
            <w:noProof/>
          </w:rPr>
          <w:t>Review Under Common-Law Standard</w:t>
        </w:r>
        <w:r w:rsidR="00A64830">
          <w:rPr>
            <w:noProof/>
            <w:webHidden/>
          </w:rPr>
          <w:tab/>
        </w:r>
        <w:r w:rsidR="00A64830">
          <w:rPr>
            <w:noProof/>
            <w:webHidden/>
          </w:rPr>
          <w:fldChar w:fldCharType="begin"/>
        </w:r>
        <w:r w:rsidR="00A64830">
          <w:rPr>
            <w:noProof/>
            <w:webHidden/>
          </w:rPr>
          <w:instrText xml:space="preserve"> PAGEREF _Toc395604731 \h </w:instrText>
        </w:r>
        <w:r w:rsidR="00A64830">
          <w:rPr>
            <w:noProof/>
            <w:webHidden/>
          </w:rPr>
        </w:r>
        <w:r w:rsidR="00A64830">
          <w:rPr>
            <w:noProof/>
            <w:webHidden/>
          </w:rPr>
          <w:fldChar w:fldCharType="separate"/>
        </w:r>
        <w:r w:rsidR="00042677">
          <w:rPr>
            <w:noProof/>
            <w:webHidden/>
          </w:rPr>
          <w:t>99</w:t>
        </w:r>
        <w:r w:rsidR="00A64830">
          <w:rPr>
            <w:noProof/>
            <w:webHidden/>
          </w:rPr>
          <w:fldChar w:fldCharType="end"/>
        </w:r>
      </w:hyperlink>
    </w:p>
    <w:p w:rsidR="00A64830" w:rsidRDefault="000F30C0" w:rsidP="00334983">
      <w:pPr>
        <w:pStyle w:val="TOC3"/>
        <w:rPr>
          <w:rFonts w:asciiTheme="minorHAnsi" w:eastAsiaTheme="minorEastAsia" w:hAnsiTheme="minorHAnsi" w:cstheme="minorBidi"/>
          <w:noProof/>
          <w:sz w:val="22"/>
          <w:szCs w:val="22"/>
        </w:rPr>
      </w:pPr>
      <w:hyperlink w:anchor="_Toc395604732" w:history="1">
        <w:r w:rsidR="00A64830" w:rsidRPr="00965590">
          <w:rPr>
            <w:rStyle w:val="Hyperlink"/>
            <w:noProof/>
          </w:rPr>
          <w:t>4.</w:t>
        </w:r>
        <w:r w:rsidR="00A64830">
          <w:rPr>
            <w:rFonts w:asciiTheme="minorHAnsi" w:eastAsiaTheme="minorEastAsia" w:hAnsiTheme="minorHAnsi" w:cstheme="minorBidi"/>
            <w:noProof/>
            <w:sz w:val="22"/>
            <w:szCs w:val="22"/>
          </w:rPr>
          <w:tab/>
        </w:r>
        <w:r w:rsidR="00A64830" w:rsidRPr="00965590">
          <w:rPr>
            <w:rStyle w:val="Hyperlink"/>
            <w:noProof/>
          </w:rPr>
          <w:t>Review of District Court Decision</w:t>
        </w:r>
        <w:r w:rsidR="00A64830">
          <w:rPr>
            <w:noProof/>
            <w:webHidden/>
          </w:rPr>
          <w:tab/>
        </w:r>
        <w:r w:rsidR="00A64830">
          <w:rPr>
            <w:noProof/>
            <w:webHidden/>
          </w:rPr>
          <w:fldChar w:fldCharType="begin"/>
        </w:r>
        <w:r w:rsidR="00A64830">
          <w:rPr>
            <w:noProof/>
            <w:webHidden/>
          </w:rPr>
          <w:instrText xml:space="preserve"> PAGEREF _Toc395604732 \h </w:instrText>
        </w:r>
        <w:r w:rsidR="00A64830">
          <w:rPr>
            <w:noProof/>
            <w:webHidden/>
          </w:rPr>
        </w:r>
        <w:r w:rsidR="00A64830">
          <w:rPr>
            <w:noProof/>
            <w:webHidden/>
          </w:rPr>
          <w:fldChar w:fldCharType="separate"/>
        </w:r>
        <w:r w:rsidR="00042677">
          <w:rPr>
            <w:noProof/>
            <w:webHidden/>
          </w:rPr>
          <w:t>100</w:t>
        </w:r>
        <w:r w:rsidR="00A64830">
          <w:rPr>
            <w:noProof/>
            <w:webHidden/>
          </w:rPr>
          <w:fldChar w:fldCharType="end"/>
        </w:r>
      </w:hyperlink>
    </w:p>
    <w:p w:rsidR="00A64830" w:rsidRDefault="000F30C0" w:rsidP="00334983">
      <w:pPr>
        <w:pStyle w:val="TOC3"/>
        <w:rPr>
          <w:rFonts w:asciiTheme="minorHAnsi" w:eastAsiaTheme="minorEastAsia" w:hAnsiTheme="minorHAnsi" w:cstheme="minorBidi"/>
          <w:noProof/>
          <w:sz w:val="22"/>
          <w:szCs w:val="22"/>
        </w:rPr>
      </w:pPr>
      <w:hyperlink w:anchor="_Toc395604733" w:history="1">
        <w:r w:rsidR="00A64830" w:rsidRPr="00965590">
          <w:rPr>
            <w:rStyle w:val="Hyperlink"/>
            <w:noProof/>
          </w:rPr>
          <w:t>5.</w:t>
        </w:r>
        <w:r w:rsidR="00A64830">
          <w:rPr>
            <w:rFonts w:asciiTheme="minorHAnsi" w:eastAsiaTheme="minorEastAsia" w:hAnsiTheme="minorHAnsi" w:cstheme="minorBidi"/>
            <w:noProof/>
            <w:sz w:val="22"/>
            <w:szCs w:val="22"/>
          </w:rPr>
          <w:tab/>
        </w:r>
        <w:r w:rsidR="00A64830" w:rsidRPr="00965590">
          <w:rPr>
            <w:rStyle w:val="Hyperlink"/>
            <w:noProof/>
          </w:rPr>
          <w:t>Arbitrary and Capricious</w:t>
        </w:r>
        <w:r w:rsidR="00A64830">
          <w:rPr>
            <w:noProof/>
            <w:webHidden/>
          </w:rPr>
          <w:tab/>
        </w:r>
        <w:r w:rsidR="00A64830">
          <w:rPr>
            <w:noProof/>
            <w:webHidden/>
          </w:rPr>
          <w:fldChar w:fldCharType="begin"/>
        </w:r>
        <w:r w:rsidR="00A64830">
          <w:rPr>
            <w:noProof/>
            <w:webHidden/>
          </w:rPr>
          <w:instrText xml:space="preserve"> PAGEREF _Toc395604733 \h </w:instrText>
        </w:r>
        <w:r w:rsidR="00A64830">
          <w:rPr>
            <w:noProof/>
            <w:webHidden/>
          </w:rPr>
        </w:r>
        <w:r w:rsidR="00A64830">
          <w:rPr>
            <w:noProof/>
            <w:webHidden/>
          </w:rPr>
          <w:fldChar w:fldCharType="separate"/>
        </w:r>
        <w:r w:rsidR="00042677">
          <w:rPr>
            <w:noProof/>
            <w:webHidden/>
          </w:rPr>
          <w:t>100</w:t>
        </w:r>
        <w:r w:rsidR="00A64830">
          <w:rPr>
            <w:noProof/>
            <w:webHidden/>
          </w:rPr>
          <w:fldChar w:fldCharType="end"/>
        </w:r>
      </w:hyperlink>
    </w:p>
    <w:p w:rsidR="00A64830" w:rsidRDefault="000F30C0" w:rsidP="00334983">
      <w:pPr>
        <w:pStyle w:val="TOC3"/>
        <w:rPr>
          <w:rStyle w:val="Hyperlink"/>
          <w:noProof/>
        </w:rPr>
      </w:pPr>
      <w:hyperlink w:anchor="_Toc395604734" w:history="1">
        <w:r w:rsidR="00A64830" w:rsidRPr="00965590">
          <w:rPr>
            <w:rStyle w:val="Hyperlink"/>
            <w:noProof/>
          </w:rPr>
          <w:t>6.</w:t>
        </w:r>
        <w:r w:rsidR="00A64830">
          <w:rPr>
            <w:rFonts w:asciiTheme="minorHAnsi" w:eastAsiaTheme="minorEastAsia" w:hAnsiTheme="minorHAnsi" w:cstheme="minorBidi"/>
            <w:noProof/>
            <w:sz w:val="22"/>
            <w:szCs w:val="22"/>
          </w:rPr>
          <w:tab/>
        </w:r>
        <w:r w:rsidR="00A64830" w:rsidRPr="00965590">
          <w:rPr>
            <w:rStyle w:val="Hyperlink"/>
            <w:noProof/>
          </w:rPr>
          <w:t>Substantial Evidence</w:t>
        </w:r>
        <w:r w:rsidR="00A64830">
          <w:rPr>
            <w:noProof/>
            <w:webHidden/>
          </w:rPr>
          <w:tab/>
        </w:r>
        <w:r w:rsidR="00A64830">
          <w:rPr>
            <w:noProof/>
            <w:webHidden/>
          </w:rPr>
          <w:fldChar w:fldCharType="begin"/>
        </w:r>
        <w:r w:rsidR="00A64830">
          <w:rPr>
            <w:noProof/>
            <w:webHidden/>
          </w:rPr>
          <w:instrText xml:space="preserve"> PAGEREF _Toc395604734 \h </w:instrText>
        </w:r>
        <w:r w:rsidR="00A64830">
          <w:rPr>
            <w:noProof/>
            <w:webHidden/>
          </w:rPr>
        </w:r>
        <w:r w:rsidR="00A64830">
          <w:rPr>
            <w:noProof/>
            <w:webHidden/>
          </w:rPr>
          <w:fldChar w:fldCharType="separate"/>
        </w:r>
        <w:r w:rsidR="00042677">
          <w:rPr>
            <w:noProof/>
            <w:webHidden/>
          </w:rPr>
          <w:t>101</w:t>
        </w:r>
        <w:r w:rsidR="00A64830">
          <w:rPr>
            <w:noProof/>
            <w:webHidden/>
          </w:rPr>
          <w:fldChar w:fldCharType="end"/>
        </w:r>
      </w:hyperlink>
    </w:p>
    <w:p w:rsidR="00334983" w:rsidRPr="00334983" w:rsidRDefault="00334983" w:rsidP="00334983">
      <w:pPr>
        <w:rPr>
          <w:rFonts w:eastAsiaTheme="minorEastAsia"/>
        </w:rPr>
      </w:pPr>
    </w:p>
    <w:p w:rsidR="00A64830" w:rsidRDefault="000F30C0" w:rsidP="00334983">
      <w:pPr>
        <w:pStyle w:val="TOC2"/>
        <w:rPr>
          <w:rFonts w:asciiTheme="minorHAnsi" w:eastAsiaTheme="minorEastAsia" w:hAnsiTheme="minorHAnsi" w:cstheme="minorBidi"/>
          <w:noProof/>
          <w:sz w:val="22"/>
          <w:szCs w:val="22"/>
        </w:rPr>
      </w:pPr>
      <w:hyperlink w:anchor="_Toc395604735" w:history="1">
        <w:r w:rsidR="00A64830" w:rsidRPr="00965590">
          <w:rPr>
            <w:rStyle w:val="Hyperlink"/>
            <w:noProof/>
          </w:rPr>
          <w:t>C.</w:t>
        </w:r>
        <w:r w:rsidR="00A64830">
          <w:rPr>
            <w:rFonts w:asciiTheme="minorHAnsi" w:eastAsiaTheme="minorEastAsia" w:hAnsiTheme="minorHAnsi" w:cstheme="minorBidi"/>
            <w:noProof/>
            <w:sz w:val="22"/>
            <w:szCs w:val="22"/>
          </w:rPr>
          <w:tab/>
        </w:r>
        <w:r w:rsidR="00A64830" w:rsidRPr="00965590">
          <w:rPr>
            <w:rStyle w:val="Hyperlink"/>
            <w:noProof/>
          </w:rPr>
          <w:t>QUASI-LEGISLATIVE DECISION-MAKING</w:t>
        </w:r>
        <w:r w:rsidR="00A64830">
          <w:rPr>
            <w:noProof/>
            <w:webHidden/>
          </w:rPr>
          <w:tab/>
        </w:r>
        <w:r w:rsidR="00A64830">
          <w:rPr>
            <w:noProof/>
            <w:webHidden/>
          </w:rPr>
          <w:fldChar w:fldCharType="begin"/>
        </w:r>
        <w:r w:rsidR="00A64830">
          <w:rPr>
            <w:noProof/>
            <w:webHidden/>
          </w:rPr>
          <w:instrText xml:space="preserve"> PAGEREF _Toc395604735 \h </w:instrText>
        </w:r>
        <w:r w:rsidR="00A64830">
          <w:rPr>
            <w:noProof/>
            <w:webHidden/>
          </w:rPr>
        </w:r>
        <w:r w:rsidR="00A64830">
          <w:rPr>
            <w:noProof/>
            <w:webHidden/>
          </w:rPr>
          <w:fldChar w:fldCharType="separate"/>
        </w:r>
        <w:r w:rsidR="00042677">
          <w:rPr>
            <w:noProof/>
            <w:webHidden/>
          </w:rPr>
          <w:t>101</w:t>
        </w:r>
        <w:r w:rsidR="00A64830">
          <w:rPr>
            <w:noProof/>
            <w:webHidden/>
          </w:rPr>
          <w:fldChar w:fldCharType="end"/>
        </w:r>
      </w:hyperlink>
    </w:p>
    <w:p w:rsidR="00A64830" w:rsidRDefault="000F30C0" w:rsidP="00334983">
      <w:pPr>
        <w:pStyle w:val="TOC3"/>
        <w:rPr>
          <w:rFonts w:asciiTheme="minorHAnsi" w:eastAsiaTheme="minorEastAsia" w:hAnsiTheme="minorHAnsi" w:cstheme="minorBidi"/>
          <w:noProof/>
          <w:sz w:val="22"/>
          <w:szCs w:val="22"/>
        </w:rPr>
      </w:pPr>
      <w:hyperlink w:anchor="_Toc395604736" w:history="1">
        <w:r w:rsidR="00A64830" w:rsidRPr="00965590">
          <w:rPr>
            <w:rStyle w:val="Hyperlink"/>
            <w:noProof/>
          </w:rPr>
          <w:t>1.</w:t>
        </w:r>
        <w:r w:rsidR="00A64830">
          <w:rPr>
            <w:rFonts w:asciiTheme="minorHAnsi" w:eastAsiaTheme="minorEastAsia" w:hAnsiTheme="minorHAnsi" w:cstheme="minorBidi"/>
            <w:noProof/>
            <w:sz w:val="22"/>
            <w:szCs w:val="22"/>
          </w:rPr>
          <w:tab/>
        </w:r>
        <w:r w:rsidR="00A64830" w:rsidRPr="00965590">
          <w:rPr>
            <w:rStyle w:val="Hyperlink"/>
            <w:noProof/>
          </w:rPr>
          <w:t>Defined</w:t>
        </w:r>
        <w:r w:rsidR="00A64830">
          <w:rPr>
            <w:noProof/>
            <w:webHidden/>
          </w:rPr>
          <w:tab/>
        </w:r>
        <w:r w:rsidR="00A64830">
          <w:rPr>
            <w:noProof/>
            <w:webHidden/>
          </w:rPr>
          <w:fldChar w:fldCharType="begin"/>
        </w:r>
        <w:r w:rsidR="00A64830">
          <w:rPr>
            <w:noProof/>
            <w:webHidden/>
          </w:rPr>
          <w:instrText xml:space="preserve"> PAGEREF _Toc395604736 \h </w:instrText>
        </w:r>
        <w:r w:rsidR="00A64830">
          <w:rPr>
            <w:noProof/>
            <w:webHidden/>
          </w:rPr>
        </w:r>
        <w:r w:rsidR="00A64830">
          <w:rPr>
            <w:noProof/>
            <w:webHidden/>
          </w:rPr>
          <w:fldChar w:fldCharType="separate"/>
        </w:r>
        <w:r w:rsidR="00042677">
          <w:rPr>
            <w:noProof/>
            <w:webHidden/>
          </w:rPr>
          <w:t>101</w:t>
        </w:r>
        <w:r w:rsidR="00A64830">
          <w:rPr>
            <w:noProof/>
            <w:webHidden/>
          </w:rPr>
          <w:fldChar w:fldCharType="end"/>
        </w:r>
      </w:hyperlink>
    </w:p>
    <w:p w:rsidR="00A64830" w:rsidRDefault="000F30C0" w:rsidP="00334983">
      <w:pPr>
        <w:pStyle w:val="TOC3"/>
        <w:rPr>
          <w:rStyle w:val="Hyperlink"/>
          <w:noProof/>
        </w:rPr>
      </w:pPr>
      <w:hyperlink w:anchor="_Toc395604737" w:history="1">
        <w:r w:rsidR="00A64830" w:rsidRPr="00965590">
          <w:rPr>
            <w:rStyle w:val="Hyperlink"/>
            <w:noProof/>
          </w:rPr>
          <w:t>2.</w:t>
        </w:r>
        <w:r w:rsidR="00A64830">
          <w:rPr>
            <w:rFonts w:asciiTheme="minorHAnsi" w:eastAsiaTheme="minorEastAsia" w:hAnsiTheme="minorHAnsi" w:cstheme="minorBidi"/>
            <w:noProof/>
            <w:sz w:val="22"/>
            <w:szCs w:val="22"/>
          </w:rPr>
          <w:tab/>
        </w:r>
        <w:r w:rsidR="00A64830" w:rsidRPr="00965590">
          <w:rPr>
            <w:rStyle w:val="Hyperlink"/>
            <w:noProof/>
          </w:rPr>
          <w:t>Standard of Review</w:t>
        </w:r>
        <w:r w:rsidR="00A64830">
          <w:rPr>
            <w:noProof/>
            <w:webHidden/>
          </w:rPr>
          <w:tab/>
        </w:r>
        <w:r w:rsidR="00A64830">
          <w:rPr>
            <w:noProof/>
            <w:webHidden/>
          </w:rPr>
          <w:fldChar w:fldCharType="begin"/>
        </w:r>
        <w:r w:rsidR="00A64830">
          <w:rPr>
            <w:noProof/>
            <w:webHidden/>
          </w:rPr>
          <w:instrText xml:space="preserve"> PAGEREF _Toc395604737 \h </w:instrText>
        </w:r>
        <w:r w:rsidR="00A64830">
          <w:rPr>
            <w:noProof/>
            <w:webHidden/>
          </w:rPr>
        </w:r>
        <w:r w:rsidR="00A64830">
          <w:rPr>
            <w:noProof/>
            <w:webHidden/>
          </w:rPr>
          <w:fldChar w:fldCharType="separate"/>
        </w:r>
        <w:r w:rsidR="00042677">
          <w:rPr>
            <w:noProof/>
            <w:webHidden/>
          </w:rPr>
          <w:t>101</w:t>
        </w:r>
        <w:r w:rsidR="00A64830">
          <w:rPr>
            <w:noProof/>
            <w:webHidden/>
          </w:rPr>
          <w:fldChar w:fldCharType="end"/>
        </w:r>
      </w:hyperlink>
    </w:p>
    <w:p w:rsidR="00334983" w:rsidRPr="00334983" w:rsidRDefault="00334983" w:rsidP="00334983">
      <w:pPr>
        <w:rPr>
          <w:rFonts w:eastAsiaTheme="minorEastAsia"/>
        </w:rPr>
      </w:pPr>
    </w:p>
    <w:p w:rsidR="00A64830" w:rsidRDefault="000F30C0" w:rsidP="00334983">
      <w:pPr>
        <w:pStyle w:val="TOC2"/>
        <w:rPr>
          <w:rFonts w:asciiTheme="minorHAnsi" w:eastAsiaTheme="minorEastAsia" w:hAnsiTheme="minorHAnsi" w:cstheme="minorBidi"/>
          <w:noProof/>
          <w:sz w:val="22"/>
          <w:szCs w:val="22"/>
        </w:rPr>
      </w:pPr>
      <w:hyperlink w:anchor="_Toc395604738" w:history="1">
        <w:r w:rsidR="00A64830" w:rsidRPr="00965590">
          <w:rPr>
            <w:rStyle w:val="Hyperlink"/>
            <w:noProof/>
          </w:rPr>
          <w:t>D.</w:t>
        </w:r>
        <w:r w:rsidR="00A64830">
          <w:rPr>
            <w:rFonts w:asciiTheme="minorHAnsi" w:eastAsiaTheme="minorEastAsia" w:hAnsiTheme="minorHAnsi" w:cstheme="minorBidi"/>
            <w:noProof/>
            <w:sz w:val="22"/>
            <w:szCs w:val="22"/>
          </w:rPr>
          <w:tab/>
        </w:r>
        <w:r w:rsidR="00A64830" w:rsidRPr="00965590">
          <w:rPr>
            <w:rStyle w:val="Hyperlink"/>
            <w:noProof/>
          </w:rPr>
          <w:t>RULEMAKING</w:t>
        </w:r>
        <w:r w:rsidR="00A64830">
          <w:rPr>
            <w:noProof/>
            <w:webHidden/>
          </w:rPr>
          <w:tab/>
        </w:r>
        <w:r w:rsidR="00A64830">
          <w:rPr>
            <w:noProof/>
            <w:webHidden/>
          </w:rPr>
          <w:fldChar w:fldCharType="begin"/>
        </w:r>
        <w:r w:rsidR="00A64830">
          <w:rPr>
            <w:noProof/>
            <w:webHidden/>
          </w:rPr>
          <w:instrText xml:space="preserve"> PAGEREF _Toc395604738 \h </w:instrText>
        </w:r>
        <w:r w:rsidR="00A64830">
          <w:rPr>
            <w:noProof/>
            <w:webHidden/>
          </w:rPr>
        </w:r>
        <w:r w:rsidR="00A64830">
          <w:rPr>
            <w:noProof/>
            <w:webHidden/>
          </w:rPr>
          <w:fldChar w:fldCharType="separate"/>
        </w:r>
        <w:r w:rsidR="00042677">
          <w:rPr>
            <w:noProof/>
            <w:webHidden/>
          </w:rPr>
          <w:t>101</w:t>
        </w:r>
        <w:r w:rsidR="00A64830">
          <w:rPr>
            <w:noProof/>
            <w:webHidden/>
          </w:rPr>
          <w:fldChar w:fldCharType="end"/>
        </w:r>
      </w:hyperlink>
    </w:p>
    <w:p w:rsidR="00A64830" w:rsidRDefault="000F30C0" w:rsidP="00334983">
      <w:pPr>
        <w:pStyle w:val="TOC3"/>
        <w:rPr>
          <w:rFonts w:asciiTheme="minorHAnsi" w:eastAsiaTheme="minorEastAsia" w:hAnsiTheme="minorHAnsi" w:cstheme="minorBidi"/>
          <w:noProof/>
          <w:sz w:val="22"/>
          <w:szCs w:val="22"/>
        </w:rPr>
      </w:pPr>
      <w:hyperlink w:anchor="_Toc395604739" w:history="1">
        <w:r w:rsidR="00A64830" w:rsidRPr="00965590">
          <w:rPr>
            <w:rStyle w:val="Hyperlink"/>
            <w:noProof/>
          </w:rPr>
          <w:t>1.</w:t>
        </w:r>
        <w:r w:rsidR="00A64830">
          <w:rPr>
            <w:rFonts w:asciiTheme="minorHAnsi" w:eastAsiaTheme="minorEastAsia" w:hAnsiTheme="minorHAnsi" w:cstheme="minorBidi"/>
            <w:noProof/>
            <w:sz w:val="22"/>
            <w:szCs w:val="22"/>
          </w:rPr>
          <w:tab/>
        </w:r>
        <w:r w:rsidR="00A64830" w:rsidRPr="00965590">
          <w:rPr>
            <w:rStyle w:val="Hyperlink"/>
            <w:noProof/>
          </w:rPr>
          <w:t>Defined</w:t>
        </w:r>
        <w:r w:rsidR="00A64830">
          <w:rPr>
            <w:noProof/>
            <w:webHidden/>
          </w:rPr>
          <w:tab/>
        </w:r>
        <w:r w:rsidR="00A64830">
          <w:rPr>
            <w:noProof/>
            <w:webHidden/>
          </w:rPr>
          <w:fldChar w:fldCharType="begin"/>
        </w:r>
        <w:r w:rsidR="00A64830">
          <w:rPr>
            <w:noProof/>
            <w:webHidden/>
          </w:rPr>
          <w:instrText xml:space="preserve"> PAGEREF _Toc395604739 \h </w:instrText>
        </w:r>
        <w:r w:rsidR="00A64830">
          <w:rPr>
            <w:noProof/>
            <w:webHidden/>
          </w:rPr>
        </w:r>
        <w:r w:rsidR="00A64830">
          <w:rPr>
            <w:noProof/>
            <w:webHidden/>
          </w:rPr>
          <w:fldChar w:fldCharType="separate"/>
        </w:r>
        <w:r w:rsidR="00042677">
          <w:rPr>
            <w:noProof/>
            <w:webHidden/>
          </w:rPr>
          <w:t>101</w:t>
        </w:r>
        <w:r w:rsidR="00A64830">
          <w:rPr>
            <w:noProof/>
            <w:webHidden/>
          </w:rPr>
          <w:fldChar w:fldCharType="end"/>
        </w:r>
      </w:hyperlink>
    </w:p>
    <w:p w:rsidR="00A64830" w:rsidRDefault="000F30C0" w:rsidP="00334983">
      <w:pPr>
        <w:pStyle w:val="TOC3"/>
        <w:rPr>
          <w:rStyle w:val="Hyperlink"/>
          <w:noProof/>
        </w:rPr>
      </w:pPr>
      <w:hyperlink w:anchor="_Toc395604740" w:history="1">
        <w:r w:rsidR="00A64830" w:rsidRPr="00965590">
          <w:rPr>
            <w:rStyle w:val="Hyperlink"/>
            <w:noProof/>
          </w:rPr>
          <w:t>2.</w:t>
        </w:r>
        <w:r w:rsidR="00A64830">
          <w:rPr>
            <w:rFonts w:asciiTheme="minorHAnsi" w:eastAsiaTheme="minorEastAsia" w:hAnsiTheme="minorHAnsi" w:cstheme="minorBidi"/>
            <w:noProof/>
            <w:sz w:val="22"/>
            <w:szCs w:val="22"/>
          </w:rPr>
          <w:tab/>
        </w:r>
        <w:r w:rsidR="00A64830" w:rsidRPr="00965590">
          <w:rPr>
            <w:rStyle w:val="Hyperlink"/>
            <w:noProof/>
          </w:rPr>
          <w:t>Standard of Review</w:t>
        </w:r>
        <w:r w:rsidR="00A64830">
          <w:rPr>
            <w:noProof/>
            <w:webHidden/>
          </w:rPr>
          <w:tab/>
        </w:r>
        <w:r w:rsidR="00A64830">
          <w:rPr>
            <w:noProof/>
            <w:webHidden/>
          </w:rPr>
          <w:fldChar w:fldCharType="begin"/>
        </w:r>
        <w:r w:rsidR="00A64830">
          <w:rPr>
            <w:noProof/>
            <w:webHidden/>
          </w:rPr>
          <w:instrText xml:space="preserve"> PAGEREF _Toc395604740 \h </w:instrText>
        </w:r>
        <w:r w:rsidR="00A64830">
          <w:rPr>
            <w:noProof/>
            <w:webHidden/>
          </w:rPr>
        </w:r>
        <w:r w:rsidR="00A64830">
          <w:rPr>
            <w:noProof/>
            <w:webHidden/>
          </w:rPr>
          <w:fldChar w:fldCharType="separate"/>
        </w:r>
        <w:r w:rsidR="00042677">
          <w:rPr>
            <w:noProof/>
            <w:webHidden/>
          </w:rPr>
          <w:t>101</w:t>
        </w:r>
        <w:r w:rsidR="00A64830">
          <w:rPr>
            <w:noProof/>
            <w:webHidden/>
          </w:rPr>
          <w:fldChar w:fldCharType="end"/>
        </w:r>
      </w:hyperlink>
    </w:p>
    <w:p w:rsidR="00334983" w:rsidRPr="00334983" w:rsidRDefault="00334983" w:rsidP="00334983">
      <w:pPr>
        <w:rPr>
          <w:rFonts w:eastAsiaTheme="minorEastAsia"/>
        </w:rPr>
      </w:pPr>
    </w:p>
    <w:p w:rsidR="00A64830" w:rsidRDefault="000F30C0" w:rsidP="00334983">
      <w:pPr>
        <w:pStyle w:val="TOC2"/>
        <w:rPr>
          <w:rFonts w:asciiTheme="minorHAnsi" w:eastAsiaTheme="minorEastAsia" w:hAnsiTheme="minorHAnsi" w:cstheme="minorBidi"/>
          <w:noProof/>
          <w:sz w:val="22"/>
          <w:szCs w:val="22"/>
        </w:rPr>
      </w:pPr>
      <w:hyperlink w:anchor="_Toc395604741" w:history="1">
        <w:r w:rsidR="00A64830" w:rsidRPr="00965590">
          <w:rPr>
            <w:rStyle w:val="Hyperlink"/>
            <w:noProof/>
          </w:rPr>
          <w:t>E.</w:t>
        </w:r>
        <w:r w:rsidR="00A64830">
          <w:rPr>
            <w:rFonts w:asciiTheme="minorHAnsi" w:eastAsiaTheme="minorEastAsia" w:hAnsiTheme="minorHAnsi" w:cstheme="minorBidi"/>
            <w:noProof/>
            <w:sz w:val="22"/>
            <w:szCs w:val="22"/>
          </w:rPr>
          <w:tab/>
        </w:r>
        <w:r w:rsidR="00A64830" w:rsidRPr="00965590">
          <w:rPr>
            <w:rStyle w:val="Hyperlink"/>
            <w:noProof/>
          </w:rPr>
          <w:t>REVIEW OF SPECIFIC AGENCIES</w:t>
        </w:r>
        <w:r w:rsidR="00A64830">
          <w:rPr>
            <w:noProof/>
            <w:webHidden/>
          </w:rPr>
          <w:tab/>
        </w:r>
        <w:r w:rsidR="00A64830">
          <w:rPr>
            <w:noProof/>
            <w:webHidden/>
          </w:rPr>
          <w:fldChar w:fldCharType="begin"/>
        </w:r>
        <w:r w:rsidR="00A64830">
          <w:rPr>
            <w:noProof/>
            <w:webHidden/>
          </w:rPr>
          <w:instrText xml:space="preserve"> PAGEREF _Toc395604741 \h </w:instrText>
        </w:r>
        <w:r w:rsidR="00A64830">
          <w:rPr>
            <w:noProof/>
            <w:webHidden/>
          </w:rPr>
        </w:r>
        <w:r w:rsidR="00A64830">
          <w:rPr>
            <w:noProof/>
            <w:webHidden/>
          </w:rPr>
          <w:fldChar w:fldCharType="separate"/>
        </w:r>
        <w:r w:rsidR="00042677">
          <w:rPr>
            <w:noProof/>
            <w:webHidden/>
          </w:rPr>
          <w:t>102</w:t>
        </w:r>
        <w:r w:rsidR="00A64830">
          <w:rPr>
            <w:noProof/>
            <w:webHidden/>
          </w:rPr>
          <w:fldChar w:fldCharType="end"/>
        </w:r>
      </w:hyperlink>
    </w:p>
    <w:p w:rsidR="00A64830" w:rsidRDefault="000F30C0" w:rsidP="00334983">
      <w:pPr>
        <w:pStyle w:val="TOC3"/>
        <w:rPr>
          <w:rFonts w:asciiTheme="minorHAnsi" w:eastAsiaTheme="minorEastAsia" w:hAnsiTheme="minorHAnsi" w:cstheme="minorBidi"/>
          <w:noProof/>
          <w:sz w:val="22"/>
          <w:szCs w:val="22"/>
        </w:rPr>
      </w:pPr>
      <w:hyperlink w:anchor="_Toc395604742" w:history="1">
        <w:r w:rsidR="00A64830" w:rsidRPr="00965590">
          <w:rPr>
            <w:rStyle w:val="Hyperlink"/>
            <w:noProof/>
          </w:rPr>
          <w:t>1.</w:t>
        </w:r>
        <w:r w:rsidR="00A64830">
          <w:rPr>
            <w:rFonts w:asciiTheme="minorHAnsi" w:eastAsiaTheme="minorEastAsia" w:hAnsiTheme="minorHAnsi" w:cstheme="minorBidi"/>
            <w:noProof/>
            <w:sz w:val="22"/>
            <w:szCs w:val="22"/>
          </w:rPr>
          <w:tab/>
        </w:r>
        <w:r w:rsidR="00A64830" w:rsidRPr="00965590">
          <w:rPr>
            <w:rStyle w:val="Hyperlink"/>
            <w:noProof/>
          </w:rPr>
          <w:t>Bureau of Mediation Services (BMS)</w:t>
        </w:r>
        <w:r w:rsidR="00A64830">
          <w:rPr>
            <w:noProof/>
            <w:webHidden/>
          </w:rPr>
          <w:tab/>
        </w:r>
        <w:r w:rsidR="00A64830">
          <w:rPr>
            <w:noProof/>
            <w:webHidden/>
          </w:rPr>
          <w:fldChar w:fldCharType="begin"/>
        </w:r>
        <w:r w:rsidR="00A64830">
          <w:rPr>
            <w:noProof/>
            <w:webHidden/>
          </w:rPr>
          <w:instrText xml:space="preserve"> PAGEREF _Toc395604742 \h </w:instrText>
        </w:r>
        <w:r w:rsidR="00A64830">
          <w:rPr>
            <w:noProof/>
            <w:webHidden/>
          </w:rPr>
        </w:r>
        <w:r w:rsidR="00A64830">
          <w:rPr>
            <w:noProof/>
            <w:webHidden/>
          </w:rPr>
          <w:fldChar w:fldCharType="separate"/>
        </w:r>
        <w:r w:rsidR="00042677">
          <w:rPr>
            <w:noProof/>
            <w:webHidden/>
          </w:rPr>
          <w:t>102</w:t>
        </w:r>
        <w:r w:rsidR="00A64830">
          <w:rPr>
            <w:noProof/>
            <w:webHidden/>
          </w:rPr>
          <w:fldChar w:fldCharType="end"/>
        </w:r>
      </w:hyperlink>
    </w:p>
    <w:p w:rsidR="00A64830" w:rsidRDefault="000F30C0" w:rsidP="00334983">
      <w:pPr>
        <w:pStyle w:val="TOC3"/>
        <w:rPr>
          <w:rFonts w:asciiTheme="minorHAnsi" w:eastAsiaTheme="minorEastAsia" w:hAnsiTheme="minorHAnsi" w:cstheme="minorBidi"/>
          <w:noProof/>
          <w:sz w:val="22"/>
          <w:szCs w:val="22"/>
        </w:rPr>
      </w:pPr>
      <w:hyperlink w:anchor="_Toc395604743" w:history="1">
        <w:r w:rsidR="00A64830" w:rsidRPr="00965590">
          <w:rPr>
            <w:rStyle w:val="Hyperlink"/>
            <w:noProof/>
          </w:rPr>
          <w:t>2.</w:t>
        </w:r>
        <w:r w:rsidR="00A64830">
          <w:rPr>
            <w:rFonts w:asciiTheme="minorHAnsi" w:eastAsiaTheme="minorEastAsia" w:hAnsiTheme="minorHAnsi" w:cstheme="minorBidi"/>
            <w:noProof/>
            <w:sz w:val="22"/>
            <w:szCs w:val="22"/>
          </w:rPr>
          <w:tab/>
        </w:r>
        <w:r w:rsidR="00A64830" w:rsidRPr="00965590">
          <w:rPr>
            <w:rStyle w:val="Hyperlink"/>
            <w:noProof/>
          </w:rPr>
          <w:t>Department of Employment and Economic Development (See Section VIII)</w:t>
        </w:r>
        <w:r w:rsidR="00A64830">
          <w:rPr>
            <w:noProof/>
            <w:webHidden/>
          </w:rPr>
          <w:tab/>
        </w:r>
        <w:r w:rsidR="00A64830">
          <w:rPr>
            <w:noProof/>
            <w:webHidden/>
          </w:rPr>
          <w:fldChar w:fldCharType="begin"/>
        </w:r>
        <w:r w:rsidR="00A64830">
          <w:rPr>
            <w:noProof/>
            <w:webHidden/>
          </w:rPr>
          <w:instrText xml:space="preserve"> PAGEREF _Toc395604743 \h </w:instrText>
        </w:r>
        <w:r w:rsidR="00A64830">
          <w:rPr>
            <w:noProof/>
            <w:webHidden/>
          </w:rPr>
        </w:r>
        <w:r w:rsidR="00A64830">
          <w:rPr>
            <w:noProof/>
            <w:webHidden/>
          </w:rPr>
          <w:fldChar w:fldCharType="separate"/>
        </w:r>
        <w:r w:rsidR="00042677">
          <w:rPr>
            <w:noProof/>
            <w:webHidden/>
          </w:rPr>
          <w:t>102</w:t>
        </w:r>
        <w:r w:rsidR="00A64830">
          <w:rPr>
            <w:noProof/>
            <w:webHidden/>
          </w:rPr>
          <w:fldChar w:fldCharType="end"/>
        </w:r>
      </w:hyperlink>
    </w:p>
    <w:p w:rsidR="00A64830" w:rsidRDefault="000F30C0" w:rsidP="00334983">
      <w:pPr>
        <w:pStyle w:val="TOC3"/>
        <w:rPr>
          <w:rFonts w:asciiTheme="minorHAnsi" w:eastAsiaTheme="minorEastAsia" w:hAnsiTheme="minorHAnsi" w:cstheme="minorBidi"/>
          <w:noProof/>
          <w:sz w:val="22"/>
          <w:szCs w:val="22"/>
        </w:rPr>
      </w:pPr>
      <w:hyperlink w:anchor="_Toc395604744" w:history="1">
        <w:r w:rsidR="00A64830" w:rsidRPr="00965590">
          <w:rPr>
            <w:rStyle w:val="Hyperlink"/>
            <w:noProof/>
          </w:rPr>
          <w:t>3.</w:t>
        </w:r>
        <w:r w:rsidR="00A64830">
          <w:rPr>
            <w:rFonts w:asciiTheme="minorHAnsi" w:eastAsiaTheme="minorEastAsia" w:hAnsiTheme="minorHAnsi" w:cstheme="minorBidi"/>
            <w:noProof/>
            <w:sz w:val="22"/>
            <w:szCs w:val="22"/>
          </w:rPr>
          <w:tab/>
        </w:r>
        <w:r w:rsidR="00A64830" w:rsidRPr="00965590">
          <w:rPr>
            <w:rStyle w:val="Hyperlink"/>
            <w:noProof/>
          </w:rPr>
          <w:t>Department of Health/Department of Human Services – Disqualification from employment with licensed facilities</w:t>
        </w:r>
        <w:r w:rsidR="00A64830">
          <w:rPr>
            <w:noProof/>
            <w:webHidden/>
          </w:rPr>
          <w:tab/>
        </w:r>
        <w:r w:rsidR="00A64830">
          <w:rPr>
            <w:noProof/>
            <w:webHidden/>
          </w:rPr>
          <w:fldChar w:fldCharType="begin"/>
        </w:r>
        <w:r w:rsidR="00A64830">
          <w:rPr>
            <w:noProof/>
            <w:webHidden/>
          </w:rPr>
          <w:instrText xml:space="preserve"> PAGEREF _Toc395604744 \h </w:instrText>
        </w:r>
        <w:r w:rsidR="00A64830">
          <w:rPr>
            <w:noProof/>
            <w:webHidden/>
          </w:rPr>
        </w:r>
        <w:r w:rsidR="00A64830">
          <w:rPr>
            <w:noProof/>
            <w:webHidden/>
          </w:rPr>
          <w:fldChar w:fldCharType="separate"/>
        </w:r>
        <w:r w:rsidR="00042677">
          <w:rPr>
            <w:noProof/>
            <w:webHidden/>
          </w:rPr>
          <w:t>102</w:t>
        </w:r>
        <w:r w:rsidR="00A64830">
          <w:rPr>
            <w:noProof/>
            <w:webHidden/>
          </w:rPr>
          <w:fldChar w:fldCharType="end"/>
        </w:r>
      </w:hyperlink>
    </w:p>
    <w:p w:rsidR="00A64830" w:rsidRDefault="000F30C0" w:rsidP="00334983">
      <w:pPr>
        <w:pStyle w:val="TOC3"/>
        <w:rPr>
          <w:rFonts w:asciiTheme="minorHAnsi" w:eastAsiaTheme="minorEastAsia" w:hAnsiTheme="minorHAnsi" w:cstheme="minorBidi"/>
          <w:noProof/>
          <w:sz w:val="22"/>
          <w:szCs w:val="22"/>
        </w:rPr>
      </w:pPr>
      <w:hyperlink w:anchor="_Toc395604745" w:history="1">
        <w:r w:rsidR="00A64830" w:rsidRPr="00965590">
          <w:rPr>
            <w:rStyle w:val="Hyperlink"/>
            <w:noProof/>
          </w:rPr>
          <w:t>4.</w:t>
        </w:r>
        <w:r w:rsidR="00A64830">
          <w:rPr>
            <w:rFonts w:asciiTheme="minorHAnsi" w:eastAsiaTheme="minorEastAsia" w:hAnsiTheme="minorHAnsi" w:cstheme="minorBidi"/>
            <w:noProof/>
            <w:sz w:val="22"/>
            <w:szCs w:val="22"/>
          </w:rPr>
          <w:tab/>
        </w:r>
        <w:r w:rsidR="00A64830" w:rsidRPr="00965590">
          <w:rPr>
            <w:rStyle w:val="Hyperlink"/>
            <w:noProof/>
          </w:rPr>
          <w:t>Retirement Boards</w:t>
        </w:r>
        <w:r w:rsidR="00A64830">
          <w:rPr>
            <w:noProof/>
            <w:webHidden/>
          </w:rPr>
          <w:tab/>
        </w:r>
        <w:r w:rsidR="00A64830">
          <w:rPr>
            <w:noProof/>
            <w:webHidden/>
          </w:rPr>
          <w:fldChar w:fldCharType="begin"/>
        </w:r>
        <w:r w:rsidR="00A64830">
          <w:rPr>
            <w:noProof/>
            <w:webHidden/>
          </w:rPr>
          <w:instrText xml:space="preserve"> PAGEREF _Toc395604745 \h </w:instrText>
        </w:r>
        <w:r w:rsidR="00A64830">
          <w:rPr>
            <w:noProof/>
            <w:webHidden/>
          </w:rPr>
        </w:r>
        <w:r w:rsidR="00A64830">
          <w:rPr>
            <w:noProof/>
            <w:webHidden/>
          </w:rPr>
          <w:fldChar w:fldCharType="separate"/>
        </w:r>
        <w:r w:rsidR="00042677">
          <w:rPr>
            <w:noProof/>
            <w:webHidden/>
          </w:rPr>
          <w:t>103</w:t>
        </w:r>
        <w:r w:rsidR="00A64830">
          <w:rPr>
            <w:noProof/>
            <w:webHidden/>
          </w:rPr>
          <w:fldChar w:fldCharType="end"/>
        </w:r>
      </w:hyperlink>
    </w:p>
    <w:p w:rsidR="00A64830" w:rsidRDefault="000F30C0" w:rsidP="00334983">
      <w:pPr>
        <w:pStyle w:val="TOC3"/>
        <w:rPr>
          <w:rFonts w:asciiTheme="minorHAnsi" w:eastAsiaTheme="minorEastAsia" w:hAnsiTheme="minorHAnsi" w:cstheme="minorBidi"/>
          <w:noProof/>
          <w:sz w:val="22"/>
          <w:szCs w:val="22"/>
        </w:rPr>
      </w:pPr>
      <w:hyperlink w:anchor="_Toc395604746" w:history="1">
        <w:r w:rsidR="00A64830" w:rsidRPr="00965590">
          <w:rPr>
            <w:rStyle w:val="Hyperlink"/>
            <w:noProof/>
          </w:rPr>
          <w:t>5.</w:t>
        </w:r>
        <w:r w:rsidR="00A64830">
          <w:rPr>
            <w:rFonts w:asciiTheme="minorHAnsi" w:eastAsiaTheme="minorEastAsia" w:hAnsiTheme="minorHAnsi" w:cstheme="minorBidi"/>
            <w:noProof/>
            <w:sz w:val="22"/>
            <w:szCs w:val="22"/>
          </w:rPr>
          <w:tab/>
        </w:r>
        <w:r w:rsidR="00A64830" w:rsidRPr="00965590">
          <w:rPr>
            <w:rStyle w:val="Hyperlink"/>
            <w:noProof/>
          </w:rPr>
          <w:t>Environmental-Review Decisions (Various Responsible Governmental Units (RGUs))</w:t>
        </w:r>
        <w:r w:rsidR="00A64830">
          <w:rPr>
            <w:noProof/>
            <w:webHidden/>
          </w:rPr>
          <w:tab/>
        </w:r>
        <w:r w:rsidR="00A64830">
          <w:rPr>
            <w:noProof/>
            <w:webHidden/>
          </w:rPr>
          <w:fldChar w:fldCharType="begin"/>
        </w:r>
        <w:r w:rsidR="00A64830">
          <w:rPr>
            <w:noProof/>
            <w:webHidden/>
          </w:rPr>
          <w:instrText xml:space="preserve"> PAGEREF _Toc395604746 \h </w:instrText>
        </w:r>
        <w:r w:rsidR="00A64830">
          <w:rPr>
            <w:noProof/>
            <w:webHidden/>
          </w:rPr>
        </w:r>
        <w:r w:rsidR="00A64830">
          <w:rPr>
            <w:noProof/>
            <w:webHidden/>
          </w:rPr>
          <w:fldChar w:fldCharType="separate"/>
        </w:r>
        <w:r w:rsidR="00042677">
          <w:rPr>
            <w:noProof/>
            <w:webHidden/>
          </w:rPr>
          <w:t>103</w:t>
        </w:r>
        <w:r w:rsidR="00A64830">
          <w:rPr>
            <w:noProof/>
            <w:webHidden/>
          </w:rPr>
          <w:fldChar w:fldCharType="end"/>
        </w:r>
      </w:hyperlink>
    </w:p>
    <w:p w:rsidR="00A64830" w:rsidRDefault="000F30C0" w:rsidP="00334983">
      <w:pPr>
        <w:pStyle w:val="TOC3"/>
        <w:rPr>
          <w:rFonts w:asciiTheme="minorHAnsi" w:eastAsiaTheme="minorEastAsia" w:hAnsiTheme="minorHAnsi" w:cstheme="minorBidi"/>
          <w:noProof/>
          <w:sz w:val="22"/>
          <w:szCs w:val="22"/>
        </w:rPr>
      </w:pPr>
      <w:hyperlink w:anchor="_Toc395604747" w:history="1">
        <w:r w:rsidR="00A64830" w:rsidRPr="00965590">
          <w:rPr>
            <w:rStyle w:val="Hyperlink"/>
            <w:noProof/>
          </w:rPr>
          <w:t>6.</w:t>
        </w:r>
        <w:r w:rsidR="00A64830">
          <w:rPr>
            <w:rFonts w:asciiTheme="minorHAnsi" w:eastAsiaTheme="minorEastAsia" w:hAnsiTheme="minorHAnsi" w:cstheme="minorBidi"/>
            <w:noProof/>
            <w:sz w:val="22"/>
            <w:szCs w:val="22"/>
          </w:rPr>
          <w:tab/>
        </w:r>
        <w:r w:rsidR="00A64830" w:rsidRPr="00965590">
          <w:rPr>
            <w:rStyle w:val="Hyperlink"/>
            <w:noProof/>
          </w:rPr>
          <w:t>Municipalities</w:t>
        </w:r>
        <w:r w:rsidR="00A64830">
          <w:rPr>
            <w:noProof/>
            <w:webHidden/>
          </w:rPr>
          <w:tab/>
        </w:r>
        <w:r w:rsidR="00A64830">
          <w:rPr>
            <w:noProof/>
            <w:webHidden/>
          </w:rPr>
          <w:fldChar w:fldCharType="begin"/>
        </w:r>
        <w:r w:rsidR="00A64830">
          <w:rPr>
            <w:noProof/>
            <w:webHidden/>
          </w:rPr>
          <w:instrText xml:space="preserve"> PAGEREF _Toc395604747 \h </w:instrText>
        </w:r>
        <w:r w:rsidR="00A64830">
          <w:rPr>
            <w:noProof/>
            <w:webHidden/>
          </w:rPr>
        </w:r>
        <w:r w:rsidR="00A64830">
          <w:rPr>
            <w:noProof/>
            <w:webHidden/>
          </w:rPr>
          <w:fldChar w:fldCharType="separate"/>
        </w:r>
        <w:r w:rsidR="00042677">
          <w:rPr>
            <w:noProof/>
            <w:webHidden/>
          </w:rPr>
          <w:t>105</w:t>
        </w:r>
        <w:r w:rsidR="00A64830">
          <w:rPr>
            <w:noProof/>
            <w:webHidden/>
          </w:rPr>
          <w:fldChar w:fldCharType="end"/>
        </w:r>
      </w:hyperlink>
    </w:p>
    <w:p w:rsidR="00A64830" w:rsidRDefault="000F30C0" w:rsidP="00334983">
      <w:pPr>
        <w:pStyle w:val="TOC3"/>
        <w:rPr>
          <w:rStyle w:val="Hyperlink"/>
          <w:noProof/>
        </w:rPr>
      </w:pPr>
      <w:hyperlink w:anchor="_Toc395604748" w:history="1">
        <w:r w:rsidR="00A64830" w:rsidRPr="00965590">
          <w:rPr>
            <w:rStyle w:val="Hyperlink"/>
            <w:noProof/>
          </w:rPr>
          <w:t>7.</w:t>
        </w:r>
        <w:r w:rsidR="00A64830">
          <w:rPr>
            <w:rFonts w:asciiTheme="minorHAnsi" w:eastAsiaTheme="minorEastAsia" w:hAnsiTheme="minorHAnsi" w:cstheme="minorBidi"/>
            <w:noProof/>
            <w:sz w:val="22"/>
            <w:szCs w:val="22"/>
          </w:rPr>
          <w:tab/>
        </w:r>
        <w:r w:rsidR="00A64830" w:rsidRPr="00965590">
          <w:rPr>
            <w:rStyle w:val="Hyperlink"/>
            <w:noProof/>
          </w:rPr>
          <w:t>School Boards</w:t>
        </w:r>
        <w:r w:rsidR="00A64830">
          <w:rPr>
            <w:noProof/>
            <w:webHidden/>
          </w:rPr>
          <w:tab/>
        </w:r>
        <w:r w:rsidR="00A64830">
          <w:rPr>
            <w:noProof/>
            <w:webHidden/>
          </w:rPr>
          <w:fldChar w:fldCharType="begin"/>
        </w:r>
        <w:r w:rsidR="00A64830">
          <w:rPr>
            <w:noProof/>
            <w:webHidden/>
          </w:rPr>
          <w:instrText xml:space="preserve"> PAGEREF _Toc395604748 \h </w:instrText>
        </w:r>
        <w:r w:rsidR="00A64830">
          <w:rPr>
            <w:noProof/>
            <w:webHidden/>
          </w:rPr>
        </w:r>
        <w:r w:rsidR="00A64830">
          <w:rPr>
            <w:noProof/>
            <w:webHidden/>
          </w:rPr>
          <w:fldChar w:fldCharType="separate"/>
        </w:r>
        <w:r w:rsidR="00042677">
          <w:rPr>
            <w:noProof/>
            <w:webHidden/>
          </w:rPr>
          <w:t>105</w:t>
        </w:r>
        <w:r w:rsidR="00A64830">
          <w:rPr>
            <w:noProof/>
            <w:webHidden/>
          </w:rPr>
          <w:fldChar w:fldCharType="end"/>
        </w:r>
      </w:hyperlink>
    </w:p>
    <w:p w:rsidR="00334983" w:rsidRPr="00334983" w:rsidRDefault="00334983" w:rsidP="00334983">
      <w:pPr>
        <w:rPr>
          <w:rFonts w:eastAsiaTheme="minorEastAsia"/>
        </w:rPr>
      </w:pPr>
    </w:p>
    <w:p w:rsidR="00A64830" w:rsidRDefault="000F30C0" w:rsidP="00334983">
      <w:pPr>
        <w:pStyle w:val="TOC1"/>
        <w:rPr>
          <w:rStyle w:val="Hyperlink"/>
          <w:noProof/>
        </w:rPr>
      </w:pPr>
      <w:hyperlink w:anchor="_Toc395604749" w:history="1">
        <w:r w:rsidR="00A64830" w:rsidRPr="00965590">
          <w:rPr>
            <w:rStyle w:val="Hyperlink"/>
            <w:noProof/>
          </w:rPr>
          <w:t>VIII.</w:t>
        </w:r>
        <w:r w:rsidR="00A64830">
          <w:rPr>
            <w:rFonts w:asciiTheme="minorHAnsi" w:eastAsiaTheme="minorEastAsia" w:hAnsiTheme="minorHAnsi" w:cstheme="minorBidi"/>
            <w:noProof/>
            <w:sz w:val="22"/>
            <w:szCs w:val="22"/>
          </w:rPr>
          <w:tab/>
        </w:r>
        <w:r w:rsidR="00A64830" w:rsidRPr="00965590">
          <w:rPr>
            <w:rStyle w:val="Hyperlink"/>
            <w:noProof/>
          </w:rPr>
          <w:t>ADMINISTRATIVE – DEED</w:t>
        </w:r>
        <w:r w:rsidR="00A64830">
          <w:rPr>
            <w:noProof/>
            <w:webHidden/>
          </w:rPr>
          <w:tab/>
        </w:r>
        <w:r w:rsidR="00A64830">
          <w:rPr>
            <w:noProof/>
            <w:webHidden/>
          </w:rPr>
          <w:fldChar w:fldCharType="begin"/>
        </w:r>
        <w:r w:rsidR="00A64830">
          <w:rPr>
            <w:noProof/>
            <w:webHidden/>
          </w:rPr>
          <w:instrText xml:space="preserve"> PAGEREF _Toc395604749 \h </w:instrText>
        </w:r>
        <w:r w:rsidR="00A64830">
          <w:rPr>
            <w:noProof/>
            <w:webHidden/>
          </w:rPr>
        </w:r>
        <w:r w:rsidR="00A64830">
          <w:rPr>
            <w:noProof/>
            <w:webHidden/>
          </w:rPr>
          <w:fldChar w:fldCharType="separate"/>
        </w:r>
        <w:r w:rsidR="00042677">
          <w:rPr>
            <w:noProof/>
            <w:webHidden/>
          </w:rPr>
          <w:t>106</w:t>
        </w:r>
        <w:r w:rsidR="00A64830">
          <w:rPr>
            <w:noProof/>
            <w:webHidden/>
          </w:rPr>
          <w:fldChar w:fldCharType="end"/>
        </w:r>
      </w:hyperlink>
    </w:p>
    <w:p w:rsidR="00334983" w:rsidRPr="00334983" w:rsidRDefault="00334983" w:rsidP="00334983">
      <w:pPr>
        <w:rPr>
          <w:rFonts w:eastAsiaTheme="minorEastAsia"/>
        </w:rPr>
      </w:pPr>
    </w:p>
    <w:p w:rsidR="00A64830" w:rsidRDefault="000F30C0" w:rsidP="00334983">
      <w:pPr>
        <w:pStyle w:val="TOC2"/>
        <w:rPr>
          <w:rStyle w:val="Hyperlink"/>
          <w:noProof/>
        </w:rPr>
      </w:pPr>
      <w:hyperlink w:anchor="_Toc395604750" w:history="1">
        <w:r w:rsidR="00A64830" w:rsidRPr="00965590">
          <w:rPr>
            <w:rStyle w:val="Hyperlink"/>
            <w:noProof/>
          </w:rPr>
          <w:t>A.</w:t>
        </w:r>
        <w:r w:rsidR="00A64830">
          <w:rPr>
            <w:rFonts w:asciiTheme="minorHAnsi" w:eastAsiaTheme="minorEastAsia" w:hAnsiTheme="minorHAnsi" w:cstheme="minorBidi"/>
            <w:noProof/>
            <w:sz w:val="22"/>
            <w:szCs w:val="22"/>
          </w:rPr>
          <w:tab/>
        </w:r>
        <w:r w:rsidR="00A64830" w:rsidRPr="00965590">
          <w:rPr>
            <w:rStyle w:val="Hyperlink"/>
            <w:noProof/>
          </w:rPr>
          <w:t>GENERALLY</w:t>
        </w:r>
        <w:r w:rsidR="00A64830">
          <w:rPr>
            <w:noProof/>
            <w:webHidden/>
          </w:rPr>
          <w:tab/>
        </w:r>
        <w:r w:rsidR="00A64830">
          <w:rPr>
            <w:noProof/>
            <w:webHidden/>
          </w:rPr>
          <w:fldChar w:fldCharType="begin"/>
        </w:r>
        <w:r w:rsidR="00A64830">
          <w:rPr>
            <w:noProof/>
            <w:webHidden/>
          </w:rPr>
          <w:instrText xml:space="preserve"> PAGEREF _Toc395604750 \h </w:instrText>
        </w:r>
        <w:r w:rsidR="00A64830">
          <w:rPr>
            <w:noProof/>
            <w:webHidden/>
          </w:rPr>
        </w:r>
        <w:r w:rsidR="00A64830">
          <w:rPr>
            <w:noProof/>
            <w:webHidden/>
          </w:rPr>
          <w:fldChar w:fldCharType="separate"/>
        </w:r>
        <w:r w:rsidR="00042677">
          <w:rPr>
            <w:noProof/>
            <w:webHidden/>
          </w:rPr>
          <w:t>106</w:t>
        </w:r>
        <w:r w:rsidR="00A64830">
          <w:rPr>
            <w:noProof/>
            <w:webHidden/>
          </w:rPr>
          <w:fldChar w:fldCharType="end"/>
        </w:r>
      </w:hyperlink>
    </w:p>
    <w:p w:rsidR="00334983" w:rsidRPr="00334983" w:rsidRDefault="00334983" w:rsidP="00334983">
      <w:pPr>
        <w:rPr>
          <w:rFonts w:eastAsiaTheme="minorEastAsia"/>
        </w:rPr>
      </w:pPr>
    </w:p>
    <w:p w:rsidR="00A64830" w:rsidRDefault="000F30C0" w:rsidP="00334983">
      <w:pPr>
        <w:pStyle w:val="TOC2"/>
        <w:rPr>
          <w:rStyle w:val="Hyperlink"/>
          <w:noProof/>
        </w:rPr>
      </w:pPr>
      <w:hyperlink w:anchor="_Toc395604751" w:history="1">
        <w:r w:rsidR="00A64830" w:rsidRPr="00965590">
          <w:rPr>
            <w:rStyle w:val="Hyperlink"/>
            <w:noProof/>
          </w:rPr>
          <w:t>B.</w:t>
        </w:r>
        <w:r w:rsidR="00A64830">
          <w:rPr>
            <w:rFonts w:asciiTheme="minorHAnsi" w:eastAsiaTheme="minorEastAsia" w:hAnsiTheme="minorHAnsi" w:cstheme="minorBidi"/>
            <w:noProof/>
            <w:sz w:val="22"/>
            <w:szCs w:val="22"/>
          </w:rPr>
          <w:tab/>
        </w:r>
        <w:r w:rsidR="00A64830" w:rsidRPr="00965590">
          <w:rPr>
            <w:rStyle w:val="Hyperlink"/>
            <w:noProof/>
          </w:rPr>
          <w:t>NO BURDEN OF PROOF</w:t>
        </w:r>
        <w:r w:rsidR="00A64830">
          <w:rPr>
            <w:noProof/>
            <w:webHidden/>
          </w:rPr>
          <w:tab/>
        </w:r>
        <w:r w:rsidR="00A64830">
          <w:rPr>
            <w:noProof/>
            <w:webHidden/>
          </w:rPr>
          <w:fldChar w:fldCharType="begin"/>
        </w:r>
        <w:r w:rsidR="00A64830">
          <w:rPr>
            <w:noProof/>
            <w:webHidden/>
          </w:rPr>
          <w:instrText xml:space="preserve"> PAGEREF _Toc395604751 \h </w:instrText>
        </w:r>
        <w:r w:rsidR="00A64830">
          <w:rPr>
            <w:noProof/>
            <w:webHidden/>
          </w:rPr>
        </w:r>
        <w:r w:rsidR="00A64830">
          <w:rPr>
            <w:noProof/>
            <w:webHidden/>
          </w:rPr>
          <w:fldChar w:fldCharType="separate"/>
        </w:r>
        <w:r w:rsidR="00042677">
          <w:rPr>
            <w:noProof/>
            <w:webHidden/>
          </w:rPr>
          <w:t>106</w:t>
        </w:r>
        <w:r w:rsidR="00A64830">
          <w:rPr>
            <w:noProof/>
            <w:webHidden/>
          </w:rPr>
          <w:fldChar w:fldCharType="end"/>
        </w:r>
      </w:hyperlink>
    </w:p>
    <w:p w:rsidR="00334983" w:rsidRPr="00334983" w:rsidRDefault="00334983" w:rsidP="00334983">
      <w:pPr>
        <w:rPr>
          <w:rFonts w:eastAsiaTheme="minorEastAsia"/>
        </w:rPr>
      </w:pPr>
    </w:p>
    <w:p w:rsidR="00A64830" w:rsidRDefault="000F30C0" w:rsidP="00334983">
      <w:pPr>
        <w:pStyle w:val="TOC2"/>
        <w:rPr>
          <w:rStyle w:val="Hyperlink"/>
          <w:noProof/>
        </w:rPr>
      </w:pPr>
      <w:hyperlink w:anchor="_Toc395604752" w:history="1">
        <w:r w:rsidR="00A64830" w:rsidRPr="00965590">
          <w:rPr>
            <w:rStyle w:val="Hyperlink"/>
            <w:noProof/>
          </w:rPr>
          <w:t>C.</w:t>
        </w:r>
        <w:r w:rsidR="00A64830">
          <w:rPr>
            <w:rFonts w:asciiTheme="minorHAnsi" w:eastAsiaTheme="minorEastAsia" w:hAnsiTheme="minorHAnsi" w:cstheme="minorBidi"/>
            <w:noProof/>
            <w:sz w:val="22"/>
            <w:szCs w:val="22"/>
          </w:rPr>
          <w:tab/>
        </w:r>
        <w:r w:rsidR="00A64830" w:rsidRPr="00965590">
          <w:rPr>
            <w:rStyle w:val="Hyperlink"/>
            <w:noProof/>
          </w:rPr>
          <w:t>FINDINGS OF FACT</w:t>
        </w:r>
        <w:r w:rsidR="00A64830">
          <w:rPr>
            <w:noProof/>
            <w:webHidden/>
          </w:rPr>
          <w:tab/>
        </w:r>
        <w:r w:rsidR="00A64830">
          <w:rPr>
            <w:noProof/>
            <w:webHidden/>
          </w:rPr>
          <w:fldChar w:fldCharType="begin"/>
        </w:r>
        <w:r w:rsidR="00A64830">
          <w:rPr>
            <w:noProof/>
            <w:webHidden/>
          </w:rPr>
          <w:instrText xml:space="preserve"> PAGEREF _Toc395604752 \h </w:instrText>
        </w:r>
        <w:r w:rsidR="00A64830">
          <w:rPr>
            <w:noProof/>
            <w:webHidden/>
          </w:rPr>
        </w:r>
        <w:r w:rsidR="00A64830">
          <w:rPr>
            <w:noProof/>
            <w:webHidden/>
          </w:rPr>
          <w:fldChar w:fldCharType="separate"/>
        </w:r>
        <w:r w:rsidR="00042677">
          <w:rPr>
            <w:noProof/>
            <w:webHidden/>
          </w:rPr>
          <w:t>106</w:t>
        </w:r>
        <w:r w:rsidR="00A64830">
          <w:rPr>
            <w:noProof/>
            <w:webHidden/>
          </w:rPr>
          <w:fldChar w:fldCharType="end"/>
        </w:r>
      </w:hyperlink>
    </w:p>
    <w:p w:rsidR="00334983" w:rsidRPr="00334983" w:rsidRDefault="00334983" w:rsidP="00334983">
      <w:pPr>
        <w:rPr>
          <w:rFonts w:eastAsiaTheme="minorEastAsia"/>
        </w:rPr>
      </w:pPr>
    </w:p>
    <w:p w:rsidR="00A64830" w:rsidRDefault="000F30C0" w:rsidP="00334983">
      <w:pPr>
        <w:pStyle w:val="TOC2"/>
        <w:rPr>
          <w:rStyle w:val="Hyperlink"/>
          <w:noProof/>
        </w:rPr>
      </w:pPr>
      <w:hyperlink w:anchor="_Toc395604753" w:history="1">
        <w:r w:rsidR="00A64830" w:rsidRPr="00965590">
          <w:rPr>
            <w:rStyle w:val="Hyperlink"/>
            <w:noProof/>
          </w:rPr>
          <w:t>D.</w:t>
        </w:r>
        <w:r w:rsidR="00A64830">
          <w:rPr>
            <w:rFonts w:asciiTheme="minorHAnsi" w:eastAsiaTheme="minorEastAsia" w:hAnsiTheme="minorHAnsi" w:cstheme="minorBidi"/>
            <w:noProof/>
            <w:sz w:val="22"/>
            <w:szCs w:val="22"/>
          </w:rPr>
          <w:tab/>
        </w:r>
        <w:r w:rsidR="00A64830" w:rsidRPr="00965590">
          <w:rPr>
            <w:rStyle w:val="Hyperlink"/>
            <w:noProof/>
          </w:rPr>
          <w:t>CREDIBILITY DETERMINATIONS</w:t>
        </w:r>
        <w:r w:rsidR="00A64830">
          <w:rPr>
            <w:noProof/>
            <w:webHidden/>
          </w:rPr>
          <w:tab/>
        </w:r>
        <w:r w:rsidR="00A64830">
          <w:rPr>
            <w:noProof/>
            <w:webHidden/>
          </w:rPr>
          <w:fldChar w:fldCharType="begin"/>
        </w:r>
        <w:r w:rsidR="00A64830">
          <w:rPr>
            <w:noProof/>
            <w:webHidden/>
          </w:rPr>
          <w:instrText xml:space="preserve"> PAGEREF _Toc395604753 \h </w:instrText>
        </w:r>
        <w:r w:rsidR="00A64830">
          <w:rPr>
            <w:noProof/>
            <w:webHidden/>
          </w:rPr>
        </w:r>
        <w:r w:rsidR="00A64830">
          <w:rPr>
            <w:noProof/>
            <w:webHidden/>
          </w:rPr>
          <w:fldChar w:fldCharType="separate"/>
        </w:r>
        <w:r w:rsidR="00042677">
          <w:rPr>
            <w:noProof/>
            <w:webHidden/>
          </w:rPr>
          <w:t>107</w:t>
        </w:r>
        <w:r w:rsidR="00A64830">
          <w:rPr>
            <w:noProof/>
            <w:webHidden/>
          </w:rPr>
          <w:fldChar w:fldCharType="end"/>
        </w:r>
      </w:hyperlink>
    </w:p>
    <w:p w:rsidR="00334983" w:rsidRPr="00334983" w:rsidRDefault="00334983" w:rsidP="00334983">
      <w:pPr>
        <w:rPr>
          <w:rFonts w:eastAsiaTheme="minorEastAsia"/>
        </w:rPr>
      </w:pPr>
    </w:p>
    <w:p w:rsidR="00A64830" w:rsidRDefault="000F30C0" w:rsidP="00334983">
      <w:pPr>
        <w:pStyle w:val="TOC2"/>
        <w:rPr>
          <w:rStyle w:val="Hyperlink"/>
          <w:noProof/>
        </w:rPr>
      </w:pPr>
      <w:hyperlink w:anchor="_Toc395604754" w:history="1">
        <w:r w:rsidR="00A64830" w:rsidRPr="00965590">
          <w:rPr>
            <w:rStyle w:val="Hyperlink"/>
            <w:noProof/>
          </w:rPr>
          <w:t>E.</w:t>
        </w:r>
        <w:r w:rsidR="00A64830">
          <w:rPr>
            <w:rFonts w:asciiTheme="minorHAnsi" w:eastAsiaTheme="minorEastAsia" w:hAnsiTheme="minorHAnsi" w:cstheme="minorBidi"/>
            <w:noProof/>
            <w:sz w:val="22"/>
            <w:szCs w:val="22"/>
          </w:rPr>
          <w:tab/>
        </w:r>
        <w:r w:rsidR="00A64830" w:rsidRPr="00965590">
          <w:rPr>
            <w:rStyle w:val="Hyperlink"/>
            <w:noProof/>
          </w:rPr>
          <w:t>QUESTIONS OF LAW</w:t>
        </w:r>
        <w:r w:rsidR="00A64830">
          <w:rPr>
            <w:noProof/>
            <w:webHidden/>
          </w:rPr>
          <w:tab/>
        </w:r>
        <w:r w:rsidR="00A64830">
          <w:rPr>
            <w:noProof/>
            <w:webHidden/>
          </w:rPr>
          <w:fldChar w:fldCharType="begin"/>
        </w:r>
        <w:r w:rsidR="00A64830">
          <w:rPr>
            <w:noProof/>
            <w:webHidden/>
          </w:rPr>
          <w:instrText xml:space="preserve"> PAGEREF _Toc395604754 \h </w:instrText>
        </w:r>
        <w:r w:rsidR="00A64830">
          <w:rPr>
            <w:noProof/>
            <w:webHidden/>
          </w:rPr>
        </w:r>
        <w:r w:rsidR="00A64830">
          <w:rPr>
            <w:noProof/>
            <w:webHidden/>
          </w:rPr>
          <w:fldChar w:fldCharType="separate"/>
        </w:r>
        <w:r w:rsidR="00042677">
          <w:rPr>
            <w:noProof/>
            <w:webHidden/>
          </w:rPr>
          <w:t>108</w:t>
        </w:r>
        <w:r w:rsidR="00A64830">
          <w:rPr>
            <w:noProof/>
            <w:webHidden/>
          </w:rPr>
          <w:fldChar w:fldCharType="end"/>
        </w:r>
      </w:hyperlink>
    </w:p>
    <w:p w:rsidR="00334983" w:rsidRPr="00334983" w:rsidRDefault="00334983" w:rsidP="00334983">
      <w:pPr>
        <w:rPr>
          <w:rFonts w:eastAsiaTheme="minorEastAsia"/>
        </w:rPr>
      </w:pPr>
    </w:p>
    <w:p w:rsidR="00A64830" w:rsidRDefault="000F30C0" w:rsidP="00334983">
      <w:pPr>
        <w:pStyle w:val="TOC2"/>
        <w:rPr>
          <w:rFonts w:asciiTheme="minorHAnsi" w:eastAsiaTheme="minorEastAsia" w:hAnsiTheme="minorHAnsi" w:cstheme="minorBidi"/>
          <w:noProof/>
          <w:sz w:val="22"/>
          <w:szCs w:val="22"/>
        </w:rPr>
      </w:pPr>
      <w:hyperlink w:anchor="_Toc395604755" w:history="1">
        <w:r w:rsidR="00A64830" w:rsidRPr="00965590">
          <w:rPr>
            <w:rStyle w:val="Hyperlink"/>
            <w:noProof/>
          </w:rPr>
          <w:t>F.</w:t>
        </w:r>
        <w:r w:rsidR="00A64830">
          <w:rPr>
            <w:rFonts w:asciiTheme="minorHAnsi" w:eastAsiaTheme="minorEastAsia" w:hAnsiTheme="minorHAnsi" w:cstheme="minorBidi"/>
            <w:noProof/>
            <w:sz w:val="22"/>
            <w:szCs w:val="22"/>
          </w:rPr>
          <w:tab/>
        </w:r>
        <w:r w:rsidR="00A64830" w:rsidRPr="00965590">
          <w:rPr>
            <w:rStyle w:val="Hyperlink"/>
            <w:noProof/>
          </w:rPr>
          <w:t>STATUTORY CONSTRUCTION</w:t>
        </w:r>
        <w:r w:rsidR="00A64830">
          <w:rPr>
            <w:noProof/>
            <w:webHidden/>
          </w:rPr>
          <w:tab/>
        </w:r>
        <w:r w:rsidR="00A64830">
          <w:rPr>
            <w:noProof/>
            <w:webHidden/>
          </w:rPr>
          <w:fldChar w:fldCharType="begin"/>
        </w:r>
        <w:r w:rsidR="00A64830">
          <w:rPr>
            <w:noProof/>
            <w:webHidden/>
          </w:rPr>
          <w:instrText xml:space="preserve"> PAGEREF _Toc395604755 \h </w:instrText>
        </w:r>
        <w:r w:rsidR="00A64830">
          <w:rPr>
            <w:noProof/>
            <w:webHidden/>
          </w:rPr>
        </w:r>
        <w:r w:rsidR="00A64830">
          <w:rPr>
            <w:noProof/>
            <w:webHidden/>
          </w:rPr>
          <w:fldChar w:fldCharType="separate"/>
        </w:r>
        <w:r w:rsidR="00042677">
          <w:rPr>
            <w:noProof/>
            <w:webHidden/>
          </w:rPr>
          <w:t>109</w:t>
        </w:r>
        <w:r w:rsidR="00A64830">
          <w:rPr>
            <w:noProof/>
            <w:webHidden/>
          </w:rPr>
          <w:fldChar w:fldCharType="end"/>
        </w:r>
      </w:hyperlink>
    </w:p>
    <w:p w:rsidR="00A64830" w:rsidRDefault="000F30C0" w:rsidP="00334983">
      <w:pPr>
        <w:pStyle w:val="TOC3"/>
        <w:rPr>
          <w:rFonts w:asciiTheme="minorHAnsi" w:eastAsiaTheme="minorEastAsia" w:hAnsiTheme="minorHAnsi" w:cstheme="minorBidi"/>
          <w:noProof/>
          <w:sz w:val="22"/>
          <w:szCs w:val="22"/>
        </w:rPr>
      </w:pPr>
      <w:hyperlink w:anchor="_Toc395604756" w:history="1">
        <w:r w:rsidR="00A64830" w:rsidRPr="00965590">
          <w:rPr>
            <w:rStyle w:val="Hyperlink"/>
            <w:noProof/>
          </w:rPr>
          <w:t>1.</w:t>
        </w:r>
        <w:r w:rsidR="00A64830">
          <w:rPr>
            <w:rFonts w:asciiTheme="minorHAnsi" w:eastAsiaTheme="minorEastAsia" w:hAnsiTheme="minorHAnsi" w:cstheme="minorBidi"/>
            <w:noProof/>
            <w:sz w:val="22"/>
            <w:szCs w:val="22"/>
          </w:rPr>
          <w:tab/>
        </w:r>
        <w:r w:rsidR="00A64830" w:rsidRPr="00965590">
          <w:rPr>
            <w:rStyle w:val="Hyperlink"/>
            <w:noProof/>
          </w:rPr>
          <w:t>Purpose of Statute</w:t>
        </w:r>
        <w:r w:rsidR="00A64830">
          <w:rPr>
            <w:noProof/>
            <w:webHidden/>
          </w:rPr>
          <w:tab/>
        </w:r>
        <w:r w:rsidR="00A64830">
          <w:rPr>
            <w:noProof/>
            <w:webHidden/>
          </w:rPr>
          <w:fldChar w:fldCharType="begin"/>
        </w:r>
        <w:r w:rsidR="00A64830">
          <w:rPr>
            <w:noProof/>
            <w:webHidden/>
          </w:rPr>
          <w:instrText xml:space="preserve"> PAGEREF _Toc395604756 \h </w:instrText>
        </w:r>
        <w:r w:rsidR="00A64830">
          <w:rPr>
            <w:noProof/>
            <w:webHidden/>
          </w:rPr>
        </w:r>
        <w:r w:rsidR="00A64830">
          <w:rPr>
            <w:noProof/>
            <w:webHidden/>
          </w:rPr>
          <w:fldChar w:fldCharType="separate"/>
        </w:r>
        <w:r w:rsidR="00042677">
          <w:rPr>
            <w:noProof/>
            <w:webHidden/>
          </w:rPr>
          <w:t>109</w:t>
        </w:r>
        <w:r w:rsidR="00A64830">
          <w:rPr>
            <w:noProof/>
            <w:webHidden/>
          </w:rPr>
          <w:fldChar w:fldCharType="end"/>
        </w:r>
      </w:hyperlink>
    </w:p>
    <w:p w:rsidR="00A64830" w:rsidRDefault="000F30C0" w:rsidP="00334983">
      <w:pPr>
        <w:pStyle w:val="TOC3"/>
        <w:rPr>
          <w:rFonts w:asciiTheme="minorHAnsi" w:eastAsiaTheme="minorEastAsia" w:hAnsiTheme="minorHAnsi" w:cstheme="minorBidi"/>
          <w:noProof/>
          <w:sz w:val="22"/>
          <w:szCs w:val="22"/>
        </w:rPr>
      </w:pPr>
      <w:hyperlink w:anchor="_Toc395604757" w:history="1">
        <w:r w:rsidR="00A64830" w:rsidRPr="00965590">
          <w:rPr>
            <w:rStyle w:val="Hyperlink"/>
            <w:noProof/>
          </w:rPr>
          <w:t>2.</w:t>
        </w:r>
        <w:r w:rsidR="00A64830">
          <w:rPr>
            <w:rFonts w:asciiTheme="minorHAnsi" w:eastAsiaTheme="minorEastAsia" w:hAnsiTheme="minorHAnsi" w:cstheme="minorBidi"/>
            <w:noProof/>
            <w:sz w:val="22"/>
            <w:szCs w:val="22"/>
          </w:rPr>
          <w:tab/>
        </w:r>
        <w:r w:rsidR="00A64830" w:rsidRPr="00965590">
          <w:rPr>
            <w:rStyle w:val="Hyperlink"/>
            <w:noProof/>
          </w:rPr>
          <w:t>Question of Law Reviewed De Novo; Statutory Construction</w:t>
        </w:r>
        <w:r w:rsidR="00A64830">
          <w:rPr>
            <w:noProof/>
            <w:webHidden/>
          </w:rPr>
          <w:tab/>
        </w:r>
        <w:r w:rsidR="00A64830">
          <w:rPr>
            <w:noProof/>
            <w:webHidden/>
          </w:rPr>
          <w:fldChar w:fldCharType="begin"/>
        </w:r>
        <w:r w:rsidR="00A64830">
          <w:rPr>
            <w:noProof/>
            <w:webHidden/>
          </w:rPr>
          <w:instrText xml:space="preserve"> PAGEREF _Toc395604757 \h </w:instrText>
        </w:r>
        <w:r w:rsidR="00A64830">
          <w:rPr>
            <w:noProof/>
            <w:webHidden/>
          </w:rPr>
        </w:r>
        <w:r w:rsidR="00A64830">
          <w:rPr>
            <w:noProof/>
            <w:webHidden/>
          </w:rPr>
          <w:fldChar w:fldCharType="separate"/>
        </w:r>
        <w:r w:rsidR="00042677">
          <w:rPr>
            <w:noProof/>
            <w:webHidden/>
          </w:rPr>
          <w:t>109</w:t>
        </w:r>
        <w:r w:rsidR="00A64830">
          <w:rPr>
            <w:noProof/>
            <w:webHidden/>
          </w:rPr>
          <w:fldChar w:fldCharType="end"/>
        </w:r>
      </w:hyperlink>
    </w:p>
    <w:p w:rsidR="00A64830" w:rsidRDefault="000F30C0" w:rsidP="00334983">
      <w:pPr>
        <w:pStyle w:val="TOC3"/>
        <w:rPr>
          <w:rFonts w:asciiTheme="minorHAnsi" w:eastAsiaTheme="minorEastAsia" w:hAnsiTheme="minorHAnsi" w:cstheme="minorBidi"/>
          <w:noProof/>
          <w:sz w:val="22"/>
          <w:szCs w:val="22"/>
        </w:rPr>
      </w:pPr>
      <w:hyperlink w:anchor="_Toc395604758" w:history="1">
        <w:r w:rsidR="00A64830" w:rsidRPr="00965590">
          <w:rPr>
            <w:rStyle w:val="Hyperlink"/>
            <w:noProof/>
          </w:rPr>
          <w:t>3.</w:t>
        </w:r>
        <w:r w:rsidR="00A64830">
          <w:rPr>
            <w:rFonts w:asciiTheme="minorHAnsi" w:eastAsiaTheme="minorEastAsia" w:hAnsiTheme="minorHAnsi" w:cstheme="minorBidi"/>
            <w:noProof/>
            <w:sz w:val="22"/>
            <w:szCs w:val="22"/>
          </w:rPr>
          <w:tab/>
        </w:r>
        <w:r w:rsidR="00A64830" w:rsidRPr="00965590">
          <w:rPr>
            <w:rStyle w:val="Hyperlink"/>
            <w:noProof/>
          </w:rPr>
          <w:t>Deferring to Agency’s Own Interpretation of Its Statute</w:t>
        </w:r>
        <w:r w:rsidR="00A64830">
          <w:rPr>
            <w:noProof/>
            <w:webHidden/>
          </w:rPr>
          <w:tab/>
        </w:r>
        <w:r w:rsidR="00A64830">
          <w:rPr>
            <w:noProof/>
            <w:webHidden/>
          </w:rPr>
          <w:fldChar w:fldCharType="begin"/>
        </w:r>
        <w:r w:rsidR="00A64830">
          <w:rPr>
            <w:noProof/>
            <w:webHidden/>
          </w:rPr>
          <w:instrText xml:space="preserve"> PAGEREF _Toc395604758 \h </w:instrText>
        </w:r>
        <w:r w:rsidR="00A64830">
          <w:rPr>
            <w:noProof/>
            <w:webHidden/>
          </w:rPr>
        </w:r>
        <w:r w:rsidR="00A64830">
          <w:rPr>
            <w:noProof/>
            <w:webHidden/>
          </w:rPr>
          <w:fldChar w:fldCharType="separate"/>
        </w:r>
        <w:r w:rsidR="00042677">
          <w:rPr>
            <w:noProof/>
            <w:webHidden/>
          </w:rPr>
          <w:t>110</w:t>
        </w:r>
        <w:r w:rsidR="00A64830">
          <w:rPr>
            <w:noProof/>
            <w:webHidden/>
          </w:rPr>
          <w:fldChar w:fldCharType="end"/>
        </w:r>
      </w:hyperlink>
    </w:p>
    <w:p w:rsidR="00A64830" w:rsidRDefault="000F30C0" w:rsidP="00334983">
      <w:pPr>
        <w:pStyle w:val="TOC3"/>
        <w:rPr>
          <w:rFonts w:asciiTheme="minorHAnsi" w:eastAsiaTheme="minorEastAsia" w:hAnsiTheme="minorHAnsi" w:cstheme="minorBidi"/>
          <w:noProof/>
          <w:sz w:val="22"/>
          <w:szCs w:val="22"/>
        </w:rPr>
      </w:pPr>
      <w:hyperlink w:anchor="_Toc395604759" w:history="1">
        <w:r w:rsidR="00A64830" w:rsidRPr="00965590">
          <w:rPr>
            <w:rStyle w:val="Hyperlink"/>
            <w:noProof/>
          </w:rPr>
          <w:t>4.</w:t>
        </w:r>
        <w:r w:rsidR="00A64830">
          <w:rPr>
            <w:rFonts w:asciiTheme="minorHAnsi" w:eastAsiaTheme="minorEastAsia" w:hAnsiTheme="minorHAnsi" w:cstheme="minorBidi"/>
            <w:noProof/>
            <w:sz w:val="22"/>
            <w:szCs w:val="22"/>
          </w:rPr>
          <w:tab/>
        </w:r>
        <w:r w:rsidR="00A64830" w:rsidRPr="00965590">
          <w:rPr>
            <w:rStyle w:val="Hyperlink"/>
            <w:noProof/>
          </w:rPr>
          <w:t>Mixed Questions of Fact and Law</w:t>
        </w:r>
        <w:r w:rsidR="00A64830">
          <w:rPr>
            <w:noProof/>
            <w:webHidden/>
          </w:rPr>
          <w:tab/>
        </w:r>
        <w:r w:rsidR="00A64830">
          <w:rPr>
            <w:noProof/>
            <w:webHidden/>
          </w:rPr>
          <w:fldChar w:fldCharType="begin"/>
        </w:r>
        <w:r w:rsidR="00A64830">
          <w:rPr>
            <w:noProof/>
            <w:webHidden/>
          </w:rPr>
          <w:instrText xml:space="preserve"> PAGEREF _Toc395604759 \h </w:instrText>
        </w:r>
        <w:r w:rsidR="00A64830">
          <w:rPr>
            <w:noProof/>
            <w:webHidden/>
          </w:rPr>
        </w:r>
        <w:r w:rsidR="00A64830">
          <w:rPr>
            <w:noProof/>
            <w:webHidden/>
          </w:rPr>
          <w:fldChar w:fldCharType="separate"/>
        </w:r>
        <w:r w:rsidR="00042677">
          <w:rPr>
            <w:noProof/>
            <w:webHidden/>
          </w:rPr>
          <w:t>111</w:t>
        </w:r>
        <w:r w:rsidR="00A64830">
          <w:rPr>
            <w:noProof/>
            <w:webHidden/>
          </w:rPr>
          <w:fldChar w:fldCharType="end"/>
        </w:r>
      </w:hyperlink>
    </w:p>
    <w:p w:rsidR="00A64830" w:rsidRDefault="000F30C0" w:rsidP="00334983">
      <w:pPr>
        <w:pStyle w:val="TOC3"/>
        <w:rPr>
          <w:rFonts w:asciiTheme="minorHAnsi" w:eastAsiaTheme="minorEastAsia" w:hAnsiTheme="minorHAnsi" w:cstheme="minorBidi"/>
          <w:noProof/>
          <w:sz w:val="22"/>
          <w:szCs w:val="22"/>
        </w:rPr>
      </w:pPr>
      <w:hyperlink w:anchor="_Toc395604760" w:history="1">
        <w:r w:rsidR="00A64830" w:rsidRPr="00965590">
          <w:rPr>
            <w:rStyle w:val="Hyperlink"/>
            <w:noProof/>
          </w:rPr>
          <w:t xml:space="preserve">5. </w:t>
        </w:r>
        <w:r w:rsidR="00A64830">
          <w:rPr>
            <w:rFonts w:asciiTheme="minorHAnsi" w:eastAsiaTheme="minorEastAsia" w:hAnsiTheme="minorHAnsi" w:cstheme="minorBidi"/>
            <w:noProof/>
            <w:sz w:val="22"/>
            <w:szCs w:val="22"/>
          </w:rPr>
          <w:tab/>
        </w:r>
        <w:r w:rsidR="00A64830" w:rsidRPr="00965590">
          <w:rPr>
            <w:rStyle w:val="Hyperlink"/>
            <w:noProof/>
          </w:rPr>
          <w:t>Question of Law Reviewed De Novo; Eligibility Determinations</w:t>
        </w:r>
        <w:r w:rsidR="00A64830">
          <w:rPr>
            <w:noProof/>
            <w:webHidden/>
          </w:rPr>
          <w:tab/>
        </w:r>
        <w:r w:rsidR="00A64830">
          <w:rPr>
            <w:noProof/>
            <w:webHidden/>
          </w:rPr>
          <w:fldChar w:fldCharType="begin"/>
        </w:r>
        <w:r w:rsidR="00A64830">
          <w:rPr>
            <w:noProof/>
            <w:webHidden/>
          </w:rPr>
          <w:instrText xml:space="preserve"> PAGEREF _Toc395604760 \h </w:instrText>
        </w:r>
        <w:r w:rsidR="00A64830">
          <w:rPr>
            <w:noProof/>
            <w:webHidden/>
          </w:rPr>
        </w:r>
        <w:r w:rsidR="00A64830">
          <w:rPr>
            <w:noProof/>
            <w:webHidden/>
          </w:rPr>
          <w:fldChar w:fldCharType="separate"/>
        </w:r>
        <w:r w:rsidR="00042677">
          <w:rPr>
            <w:noProof/>
            <w:webHidden/>
          </w:rPr>
          <w:t>111</w:t>
        </w:r>
        <w:r w:rsidR="00A64830">
          <w:rPr>
            <w:noProof/>
            <w:webHidden/>
          </w:rPr>
          <w:fldChar w:fldCharType="end"/>
        </w:r>
      </w:hyperlink>
    </w:p>
    <w:p w:rsidR="00A64830" w:rsidRDefault="000F30C0" w:rsidP="00334983">
      <w:pPr>
        <w:pStyle w:val="TOC3"/>
        <w:rPr>
          <w:rStyle w:val="Hyperlink"/>
          <w:noProof/>
        </w:rPr>
      </w:pPr>
      <w:hyperlink w:anchor="_Toc395604761" w:history="1">
        <w:r w:rsidR="00A64830" w:rsidRPr="00965590">
          <w:rPr>
            <w:rStyle w:val="Hyperlink"/>
            <w:noProof/>
          </w:rPr>
          <w:t>6.</w:t>
        </w:r>
        <w:r w:rsidR="00A64830">
          <w:rPr>
            <w:rFonts w:asciiTheme="minorHAnsi" w:eastAsiaTheme="minorEastAsia" w:hAnsiTheme="minorHAnsi" w:cstheme="minorBidi"/>
            <w:noProof/>
            <w:sz w:val="22"/>
            <w:szCs w:val="22"/>
          </w:rPr>
          <w:tab/>
        </w:r>
        <w:r w:rsidR="00A64830" w:rsidRPr="00965590">
          <w:rPr>
            <w:rStyle w:val="Hyperlink"/>
            <w:noProof/>
          </w:rPr>
          <w:t>Questions of Law Reviewed De Novo; Quit Determination</w:t>
        </w:r>
        <w:r w:rsidR="00A64830">
          <w:rPr>
            <w:noProof/>
            <w:webHidden/>
          </w:rPr>
          <w:tab/>
        </w:r>
        <w:r w:rsidR="00A64830">
          <w:rPr>
            <w:noProof/>
            <w:webHidden/>
          </w:rPr>
          <w:fldChar w:fldCharType="begin"/>
        </w:r>
        <w:r w:rsidR="00A64830">
          <w:rPr>
            <w:noProof/>
            <w:webHidden/>
          </w:rPr>
          <w:instrText xml:space="preserve"> PAGEREF _Toc395604761 \h </w:instrText>
        </w:r>
        <w:r w:rsidR="00A64830">
          <w:rPr>
            <w:noProof/>
            <w:webHidden/>
          </w:rPr>
        </w:r>
        <w:r w:rsidR="00A64830">
          <w:rPr>
            <w:noProof/>
            <w:webHidden/>
          </w:rPr>
          <w:fldChar w:fldCharType="separate"/>
        </w:r>
        <w:r w:rsidR="00042677">
          <w:rPr>
            <w:noProof/>
            <w:webHidden/>
          </w:rPr>
          <w:t>111</w:t>
        </w:r>
        <w:r w:rsidR="00A64830">
          <w:rPr>
            <w:noProof/>
            <w:webHidden/>
          </w:rPr>
          <w:fldChar w:fldCharType="end"/>
        </w:r>
      </w:hyperlink>
    </w:p>
    <w:p w:rsidR="00334983" w:rsidRPr="00334983" w:rsidRDefault="00334983" w:rsidP="00334983">
      <w:pPr>
        <w:rPr>
          <w:rFonts w:eastAsiaTheme="minorEastAsia"/>
        </w:rPr>
      </w:pPr>
    </w:p>
    <w:p w:rsidR="00A64830" w:rsidRDefault="000F30C0" w:rsidP="00334983">
      <w:pPr>
        <w:pStyle w:val="TOC2"/>
        <w:rPr>
          <w:rStyle w:val="Hyperlink"/>
          <w:noProof/>
        </w:rPr>
      </w:pPr>
      <w:hyperlink w:anchor="_Toc395604762" w:history="1">
        <w:r w:rsidR="00A64830" w:rsidRPr="00965590">
          <w:rPr>
            <w:rStyle w:val="Hyperlink"/>
            <w:noProof/>
          </w:rPr>
          <w:t>G.</w:t>
        </w:r>
        <w:r w:rsidR="00A64830">
          <w:rPr>
            <w:rFonts w:asciiTheme="minorHAnsi" w:eastAsiaTheme="minorEastAsia" w:hAnsiTheme="minorHAnsi" w:cstheme="minorBidi"/>
            <w:noProof/>
            <w:sz w:val="22"/>
            <w:szCs w:val="22"/>
          </w:rPr>
          <w:tab/>
        </w:r>
        <w:r w:rsidR="00A64830" w:rsidRPr="00965590">
          <w:rPr>
            <w:rStyle w:val="Hyperlink"/>
            <w:noProof/>
          </w:rPr>
          <w:t>ADDITIONAL EVIDENTIARY HEARINGS</w:t>
        </w:r>
        <w:r w:rsidR="00A64830">
          <w:rPr>
            <w:noProof/>
            <w:webHidden/>
          </w:rPr>
          <w:tab/>
        </w:r>
        <w:r w:rsidR="00A64830">
          <w:rPr>
            <w:noProof/>
            <w:webHidden/>
          </w:rPr>
          <w:fldChar w:fldCharType="begin"/>
        </w:r>
        <w:r w:rsidR="00A64830">
          <w:rPr>
            <w:noProof/>
            <w:webHidden/>
          </w:rPr>
          <w:instrText xml:space="preserve"> PAGEREF _Toc395604762 \h </w:instrText>
        </w:r>
        <w:r w:rsidR="00A64830">
          <w:rPr>
            <w:noProof/>
            <w:webHidden/>
          </w:rPr>
        </w:r>
        <w:r w:rsidR="00A64830">
          <w:rPr>
            <w:noProof/>
            <w:webHidden/>
          </w:rPr>
          <w:fldChar w:fldCharType="separate"/>
        </w:r>
        <w:r w:rsidR="00042677">
          <w:rPr>
            <w:noProof/>
            <w:webHidden/>
          </w:rPr>
          <w:t>112</w:t>
        </w:r>
        <w:r w:rsidR="00A64830">
          <w:rPr>
            <w:noProof/>
            <w:webHidden/>
          </w:rPr>
          <w:fldChar w:fldCharType="end"/>
        </w:r>
      </w:hyperlink>
    </w:p>
    <w:p w:rsidR="00334983" w:rsidRPr="00334983" w:rsidRDefault="00334983" w:rsidP="00334983">
      <w:pPr>
        <w:rPr>
          <w:rFonts w:eastAsiaTheme="minorEastAsia"/>
        </w:rPr>
      </w:pPr>
    </w:p>
    <w:p w:rsidR="00A64830" w:rsidRDefault="000F30C0" w:rsidP="00334983">
      <w:pPr>
        <w:pStyle w:val="TOC1"/>
        <w:rPr>
          <w:rStyle w:val="Hyperlink"/>
          <w:noProof/>
        </w:rPr>
      </w:pPr>
      <w:hyperlink w:anchor="_Toc395604763" w:history="1">
        <w:r w:rsidR="00A64830" w:rsidRPr="00965590">
          <w:rPr>
            <w:rStyle w:val="Hyperlink"/>
            <w:noProof/>
          </w:rPr>
          <w:t>IX.</w:t>
        </w:r>
        <w:r w:rsidR="00A64830">
          <w:rPr>
            <w:rFonts w:asciiTheme="minorHAnsi" w:eastAsiaTheme="minorEastAsia" w:hAnsiTheme="minorHAnsi" w:cstheme="minorBidi"/>
            <w:noProof/>
            <w:sz w:val="22"/>
            <w:szCs w:val="22"/>
          </w:rPr>
          <w:tab/>
        </w:r>
        <w:r w:rsidR="00A64830" w:rsidRPr="00965590">
          <w:rPr>
            <w:rStyle w:val="Hyperlink"/>
            <w:noProof/>
          </w:rPr>
          <w:t>ARBITRATION</w:t>
        </w:r>
        <w:r w:rsidR="00A64830">
          <w:rPr>
            <w:noProof/>
            <w:webHidden/>
          </w:rPr>
          <w:tab/>
        </w:r>
        <w:r w:rsidR="00A64830">
          <w:rPr>
            <w:noProof/>
            <w:webHidden/>
          </w:rPr>
          <w:fldChar w:fldCharType="begin"/>
        </w:r>
        <w:r w:rsidR="00A64830">
          <w:rPr>
            <w:noProof/>
            <w:webHidden/>
          </w:rPr>
          <w:instrText xml:space="preserve"> PAGEREF _Toc395604763 \h </w:instrText>
        </w:r>
        <w:r w:rsidR="00A64830">
          <w:rPr>
            <w:noProof/>
            <w:webHidden/>
          </w:rPr>
        </w:r>
        <w:r w:rsidR="00A64830">
          <w:rPr>
            <w:noProof/>
            <w:webHidden/>
          </w:rPr>
          <w:fldChar w:fldCharType="separate"/>
        </w:r>
        <w:r w:rsidR="00042677">
          <w:rPr>
            <w:noProof/>
            <w:webHidden/>
          </w:rPr>
          <w:t>113</w:t>
        </w:r>
        <w:r w:rsidR="00A64830">
          <w:rPr>
            <w:noProof/>
            <w:webHidden/>
          </w:rPr>
          <w:fldChar w:fldCharType="end"/>
        </w:r>
      </w:hyperlink>
    </w:p>
    <w:p w:rsidR="00334983" w:rsidRPr="00334983" w:rsidRDefault="00334983" w:rsidP="00334983">
      <w:pPr>
        <w:rPr>
          <w:rFonts w:eastAsiaTheme="minorEastAsia"/>
        </w:rPr>
      </w:pPr>
    </w:p>
    <w:p w:rsidR="00A64830" w:rsidRDefault="000F30C0" w:rsidP="00334983">
      <w:pPr>
        <w:pStyle w:val="TOC2"/>
        <w:rPr>
          <w:rStyle w:val="Hyperlink"/>
          <w:noProof/>
        </w:rPr>
      </w:pPr>
      <w:hyperlink w:anchor="_Toc395604764" w:history="1">
        <w:r w:rsidR="00A64830" w:rsidRPr="00965590">
          <w:rPr>
            <w:rStyle w:val="Hyperlink"/>
            <w:noProof/>
          </w:rPr>
          <w:t>A.</w:t>
        </w:r>
        <w:r w:rsidR="00A64830">
          <w:rPr>
            <w:rFonts w:asciiTheme="minorHAnsi" w:eastAsiaTheme="minorEastAsia" w:hAnsiTheme="minorHAnsi" w:cstheme="minorBidi"/>
            <w:noProof/>
            <w:sz w:val="22"/>
            <w:szCs w:val="22"/>
          </w:rPr>
          <w:tab/>
        </w:r>
        <w:r w:rsidR="00A64830" w:rsidRPr="00965590">
          <w:rPr>
            <w:rStyle w:val="Hyperlink"/>
            <w:noProof/>
          </w:rPr>
          <w:t>DETERMINATION OF ARBITRABILITY</w:t>
        </w:r>
        <w:r w:rsidR="00A64830">
          <w:rPr>
            <w:noProof/>
            <w:webHidden/>
          </w:rPr>
          <w:tab/>
        </w:r>
        <w:r w:rsidR="00A64830">
          <w:rPr>
            <w:noProof/>
            <w:webHidden/>
          </w:rPr>
          <w:fldChar w:fldCharType="begin"/>
        </w:r>
        <w:r w:rsidR="00A64830">
          <w:rPr>
            <w:noProof/>
            <w:webHidden/>
          </w:rPr>
          <w:instrText xml:space="preserve"> PAGEREF _Toc395604764 \h </w:instrText>
        </w:r>
        <w:r w:rsidR="00A64830">
          <w:rPr>
            <w:noProof/>
            <w:webHidden/>
          </w:rPr>
        </w:r>
        <w:r w:rsidR="00A64830">
          <w:rPr>
            <w:noProof/>
            <w:webHidden/>
          </w:rPr>
          <w:fldChar w:fldCharType="separate"/>
        </w:r>
        <w:r w:rsidR="00042677">
          <w:rPr>
            <w:noProof/>
            <w:webHidden/>
          </w:rPr>
          <w:t>113</w:t>
        </w:r>
        <w:r w:rsidR="00A64830">
          <w:rPr>
            <w:noProof/>
            <w:webHidden/>
          </w:rPr>
          <w:fldChar w:fldCharType="end"/>
        </w:r>
      </w:hyperlink>
    </w:p>
    <w:p w:rsidR="00334983" w:rsidRPr="00334983" w:rsidRDefault="00334983" w:rsidP="00334983">
      <w:pPr>
        <w:rPr>
          <w:rFonts w:eastAsiaTheme="minorEastAsia"/>
        </w:rPr>
      </w:pPr>
    </w:p>
    <w:p w:rsidR="00A64830" w:rsidRDefault="000F30C0" w:rsidP="00334983">
      <w:pPr>
        <w:pStyle w:val="TOC2"/>
        <w:rPr>
          <w:rStyle w:val="Hyperlink"/>
          <w:noProof/>
        </w:rPr>
      </w:pPr>
      <w:hyperlink w:anchor="_Toc395604765" w:history="1">
        <w:r w:rsidR="00A64830" w:rsidRPr="00965590">
          <w:rPr>
            <w:rStyle w:val="Hyperlink"/>
            <w:noProof/>
          </w:rPr>
          <w:t>B.</w:t>
        </w:r>
        <w:r w:rsidR="00A64830">
          <w:rPr>
            <w:rFonts w:asciiTheme="minorHAnsi" w:eastAsiaTheme="minorEastAsia" w:hAnsiTheme="minorHAnsi" w:cstheme="minorBidi"/>
            <w:noProof/>
            <w:sz w:val="22"/>
            <w:szCs w:val="22"/>
          </w:rPr>
          <w:tab/>
        </w:r>
        <w:r w:rsidR="00A64830" w:rsidRPr="00965590">
          <w:rPr>
            <w:rStyle w:val="Hyperlink"/>
            <w:noProof/>
          </w:rPr>
          <w:t>SCOPE OF ARBITRATION</w:t>
        </w:r>
        <w:r w:rsidR="00A64830">
          <w:rPr>
            <w:noProof/>
            <w:webHidden/>
          </w:rPr>
          <w:tab/>
        </w:r>
        <w:r w:rsidR="00A64830">
          <w:rPr>
            <w:noProof/>
            <w:webHidden/>
          </w:rPr>
          <w:fldChar w:fldCharType="begin"/>
        </w:r>
        <w:r w:rsidR="00A64830">
          <w:rPr>
            <w:noProof/>
            <w:webHidden/>
          </w:rPr>
          <w:instrText xml:space="preserve"> PAGEREF _Toc395604765 \h </w:instrText>
        </w:r>
        <w:r w:rsidR="00A64830">
          <w:rPr>
            <w:noProof/>
            <w:webHidden/>
          </w:rPr>
        </w:r>
        <w:r w:rsidR="00A64830">
          <w:rPr>
            <w:noProof/>
            <w:webHidden/>
          </w:rPr>
          <w:fldChar w:fldCharType="separate"/>
        </w:r>
        <w:r w:rsidR="00042677">
          <w:rPr>
            <w:noProof/>
            <w:webHidden/>
          </w:rPr>
          <w:t>113</w:t>
        </w:r>
        <w:r w:rsidR="00A64830">
          <w:rPr>
            <w:noProof/>
            <w:webHidden/>
          </w:rPr>
          <w:fldChar w:fldCharType="end"/>
        </w:r>
      </w:hyperlink>
    </w:p>
    <w:p w:rsidR="00334983" w:rsidRPr="00334983" w:rsidRDefault="00334983" w:rsidP="00334983">
      <w:pPr>
        <w:rPr>
          <w:rFonts w:eastAsiaTheme="minorEastAsia"/>
        </w:rPr>
      </w:pPr>
    </w:p>
    <w:p w:rsidR="00A64830" w:rsidRDefault="000F30C0" w:rsidP="00334983">
      <w:pPr>
        <w:pStyle w:val="TOC2"/>
        <w:rPr>
          <w:rStyle w:val="Hyperlink"/>
          <w:noProof/>
        </w:rPr>
      </w:pPr>
      <w:hyperlink w:anchor="_Toc395604766" w:history="1">
        <w:r w:rsidR="00A64830" w:rsidRPr="00965590">
          <w:rPr>
            <w:rStyle w:val="Hyperlink"/>
            <w:noProof/>
          </w:rPr>
          <w:t>C.</w:t>
        </w:r>
        <w:r w:rsidR="00A64830">
          <w:rPr>
            <w:rFonts w:asciiTheme="minorHAnsi" w:eastAsiaTheme="minorEastAsia" w:hAnsiTheme="minorHAnsi" w:cstheme="minorBidi"/>
            <w:noProof/>
            <w:sz w:val="22"/>
            <w:szCs w:val="22"/>
          </w:rPr>
          <w:tab/>
        </w:r>
        <w:r w:rsidR="00A64830" w:rsidRPr="00965590">
          <w:rPr>
            <w:rStyle w:val="Hyperlink"/>
            <w:noProof/>
          </w:rPr>
          <w:t>GENERAL STANDARDS OF REVIEW</w:t>
        </w:r>
        <w:r w:rsidR="00A64830">
          <w:rPr>
            <w:noProof/>
            <w:webHidden/>
          </w:rPr>
          <w:tab/>
        </w:r>
        <w:r w:rsidR="00A64830">
          <w:rPr>
            <w:noProof/>
            <w:webHidden/>
          </w:rPr>
          <w:fldChar w:fldCharType="begin"/>
        </w:r>
        <w:r w:rsidR="00A64830">
          <w:rPr>
            <w:noProof/>
            <w:webHidden/>
          </w:rPr>
          <w:instrText xml:space="preserve"> PAGEREF _Toc395604766 \h </w:instrText>
        </w:r>
        <w:r w:rsidR="00A64830">
          <w:rPr>
            <w:noProof/>
            <w:webHidden/>
          </w:rPr>
        </w:r>
        <w:r w:rsidR="00A64830">
          <w:rPr>
            <w:noProof/>
            <w:webHidden/>
          </w:rPr>
          <w:fldChar w:fldCharType="separate"/>
        </w:r>
        <w:r w:rsidR="00042677">
          <w:rPr>
            <w:noProof/>
            <w:webHidden/>
          </w:rPr>
          <w:t>113</w:t>
        </w:r>
        <w:r w:rsidR="00A64830">
          <w:rPr>
            <w:noProof/>
            <w:webHidden/>
          </w:rPr>
          <w:fldChar w:fldCharType="end"/>
        </w:r>
      </w:hyperlink>
    </w:p>
    <w:p w:rsidR="00334983" w:rsidRPr="00334983" w:rsidRDefault="00334983" w:rsidP="00334983">
      <w:pPr>
        <w:rPr>
          <w:rFonts w:eastAsiaTheme="minorEastAsia"/>
        </w:rPr>
      </w:pPr>
    </w:p>
    <w:p w:rsidR="00A64830" w:rsidRDefault="000F30C0" w:rsidP="00334983">
      <w:pPr>
        <w:pStyle w:val="TOC2"/>
        <w:rPr>
          <w:rFonts w:asciiTheme="minorHAnsi" w:eastAsiaTheme="minorEastAsia" w:hAnsiTheme="minorHAnsi" w:cstheme="minorBidi"/>
          <w:noProof/>
          <w:sz w:val="22"/>
          <w:szCs w:val="22"/>
        </w:rPr>
      </w:pPr>
      <w:hyperlink w:anchor="_Toc395604767" w:history="1">
        <w:r w:rsidR="00A64830" w:rsidRPr="00965590">
          <w:rPr>
            <w:rStyle w:val="Hyperlink"/>
            <w:noProof/>
          </w:rPr>
          <w:t>D.</w:t>
        </w:r>
        <w:r w:rsidR="00A64830">
          <w:rPr>
            <w:rFonts w:asciiTheme="minorHAnsi" w:eastAsiaTheme="minorEastAsia" w:hAnsiTheme="minorHAnsi" w:cstheme="minorBidi"/>
            <w:noProof/>
            <w:sz w:val="22"/>
            <w:szCs w:val="22"/>
          </w:rPr>
          <w:tab/>
        </w:r>
        <w:r w:rsidR="00A64830" w:rsidRPr="00965590">
          <w:rPr>
            <w:rStyle w:val="Hyperlink"/>
            <w:noProof/>
          </w:rPr>
          <w:t>STANDARDS FOR PARTICULAR ISSUES</w:t>
        </w:r>
        <w:r w:rsidR="00A64830">
          <w:rPr>
            <w:noProof/>
            <w:webHidden/>
          </w:rPr>
          <w:tab/>
        </w:r>
        <w:r w:rsidR="00A64830">
          <w:rPr>
            <w:noProof/>
            <w:webHidden/>
          </w:rPr>
          <w:fldChar w:fldCharType="begin"/>
        </w:r>
        <w:r w:rsidR="00A64830">
          <w:rPr>
            <w:noProof/>
            <w:webHidden/>
          </w:rPr>
          <w:instrText xml:space="preserve"> PAGEREF _Toc395604767 \h </w:instrText>
        </w:r>
        <w:r w:rsidR="00A64830">
          <w:rPr>
            <w:noProof/>
            <w:webHidden/>
          </w:rPr>
        </w:r>
        <w:r w:rsidR="00A64830">
          <w:rPr>
            <w:noProof/>
            <w:webHidden/>
          </w:rPr>
          <w:fldChar w:fldCharType="separate"/>
        </w:r>
        <w:r w:rsidR="00042677">
          <w:rPr>
            <w:noProof/>
            <w:webHidden/>
          </w:rPr>
          <w:t>114</w:t>
        </w:r>
        <w:r w:rsidR="00A64830">
          <w:rPr>
            <w:noProof/>
            <w:webHidden/>
          </w:rPr>
          <w:fldChar w:fldCharType="end"/>
        </w:r>
      </w:hyperlink>
    </w:p>
    <w:p w:rsidR="00A64830" w:rsidRDefault="000F30C0" w:rsidP="00334983">
      <w:pPr>
        <w:pStyle w:val="TOC3"/>
        <w:rPr>
          <w:rFonts w:asciiTheme="minorHAnsi" w:eastAsiaTheme="minorEastAsia" w:hAnsiTheme="minorHAnsi" w:cstheme="minorBidi"/>
          <w:noProof/>
          <w:sz w:val="22"/>
          <w:szCs w:val="22"/>
        </w:rPr>
      </w:pPr>
      <w:hyperlink w:anchor="_Toc395604768" w:history="1">
        <w:r w:rsidR="00A64830" w:rsidRPr="00965590">
          <w:rPr>
            <w:rStyle w:val="Hyperlink"/>
            <w:noProof/>
          </w:rPr>
          <w:t>1.</w:t>
        </w:r>
        <w:r w:rsidR="00A64830">
          <w:rPr>
            <w:rFonts w:asciiTheme="minorHAnsi" w:eastAsiaTheme="minorEastAsia" w:hAnsiTheme="minorHAnsi" w:cstheme="minorBidi"/>
            <w:noProof/>
            <w:sz w:val="22"/>
            <w:szCs w:val="22"/>
          </w:rPr>
          <w:tab/>
        </w:r>
        <w:r w:rsidR="00A64830" w:rsidRPr="00965590">
          <w:rPr>
            <w:rStyle w:val="Hyperlink"/>
            <w:noProof/>
          </w:rPr>
          <w:t>Evident Partiality or Misconduct Prejudicing the Rights of a Party</w:t>
        </w:r>
        <w:r w:rsidR="00A64830">
          <w:rPr>
            <w:noProof/>
            <w:webHidden/>
          </w:rPr>
          <w:tab/>
        </w:r>
        <w:r w:rsidR="00A64830">
          <w:rPr>
            <w:noProof/>
            <w:webHidden/>
          </w:rPr>
          <w:fldChar w:fldCharType="begin"/>
        </w:r>
        <w:r w:rsidR="00A64830">
          <w:rPr>
            <w:noProof/>
            <w:webHidden/>
          </w:rPr>
          <w:instrText xml:space="preserve"> PAGEREF _Toc395604768 \h </w:instrText>
        </w:r>
        <w:r w:rsidR="00A64830">
          <w:rPr>
            <w:noProof/>
            <w:webHidden/>
          </w:rPr>
        </w:r>
        <w:r w:rsidR="00A64830">
          <w:rPr>
            <w:noProof/>
            <w:webHidden/>
          </w:rPr>
          <w:fldChar w:fldCharType="separate"/>
        </w:r>
        <w:r w:rsidR="00042677">
          <w:rPr>
            <w:noProof/>
            <w:webHidden/>
          </w:rPr>
          <w:t>114</w:t>
        </w:r>
        <w:r w:rsidR="00A64830">
          <w:rPr>
            <w:noProof/>
            <w:webHidden/>
          </w:rPr>
          <w:fldChar w:fldCharType="end"/>
        </w:r>
      </w:hyperlink>
    </w:p>
    <w:p w:rsidR="00A64830" w:rsidRDefault="000F30C0" w:rsidP="00334983">
      <w:pPr>
        <w:pStyle w:val="TOC3"/>
        <w:rPr>
          <w:rStyle w:val="Hyperlink"/>
          <w:noProof/>
        </w:rPr>
      </w:pPr>
      <w:hyperlink w:anchor="_Toc395604769" w:history="1">
        <w:r w:rsidR="00A64830" w:rsidRPr="00965590">
          <w:rPr>
            <w:rStyle w:val="Hyperlink"/>
            <w:noProof/>
          </w:rPr>
          <w:t>2.</w:t>
        </w:r>
        <w:r w:rsidR="00A64830">
          <w:rPr>
            <w:rFonts w:asciiTheme="minorHAnsi" w:eastAsiaTheme="minorEastAsia" w:hAnsiTheme="minorHAnsi" w:cstheme="minorBidi"/>
            <w:noProof/>
            <w:sz w:val="22"/>
            <w:szCs w:val="22"/>
          </w:rPr>
          <w:tab/>
        </w:r>
        <w:r w:rsidR="00A64830" w:rsidRPr="00965590">
          <w:rPr>
            <w:rStyle w:val="Hyperlink"/>
            <w:noProof/>
          </w:rPr>
          <w:t>Exceeding Powers</w:t>
        </w:r>
        <w:r w:rsidR="00A64830">
          <w:rPr>
            <w:noProof/>
            <w:webHidden/>
          </w:rPr>
          <w:tab/>
        </w:r>
        <w:r w:rsidR="00A64830">
          <w:rPr>
            <w:noProof/>
            <w:webHidden/>
          </w:rPr>
          <w:fldChar w:fldCharType="begin"/>
        </w:r>
        <w:r w:rsidR="00A64830">
          <w:rPr>
            <w:noProof/>
            <w:webHidden/>
          </w:rPr>
          <w:instrText xml:space="preserve"> PAGEREF _Toc395604769 \h </w:instrText>
        </w:r>
        <w:r w:rsidR="00A64830">
          <w:rPr>
            <w:noProof/>
            <w:webHidden/>
          </w:rPr>
        </w:r>
        <w:r w:rsidR="00A64830">
          <w:rPr>
            <w:noProof/>
            <w:webHidden/>
          </w:rPr>
          <w:fldChar w:fldCharType="separate"/>
        </w:r>
        <w:r w:rsidR="00042677">
          <w:rPr>
            <w:noProof/>
            <w:webHidden/>
          </w:rPr>
          <w:t>114</w:t>
        </w:r>
        <w:r w:rsidR="00A64830">
          <w:rPr>
            <w:noProof/>
            <w:webHidden/>
          </w:rPr>
          <w:fldChar w:fldCharType="end"/>
        </w:r>
      </w:hyperlink>
    </w:p>
    <w:p w:rsidR="00334983" w:rsidRPr="00334983" w:rsidRDefault="00334983" w:rsidP="00334983">
      <w:pPr>
        <w:rPr>
          <w:rFonts w:eastAsiaTheme="minorEastAsia"/>
        </w:rPr>
      </w:pPr>
    </w:p>
    <w:p w:rsidR="00A64830" w:rsidRDefault="000F30C0" w:rsidP="00334983">
      <w:pPr>
        <w:pStyle w:val="TOC2"/>
        <w:rPr>
          <w:rStyle w:val="Hyperlink"/>
          <w:noProof/>
        </w:rPr>
      </w:pPr>
      <w:hyperlink w:anchor="_Toc395604770" w:history="1">
        <w:r w:rsidR="00A64830" w:rsidRPr="00965590">
          <w:rPr>
            <w:rStyle w:val="Hyperlink"/>
            <w:noProof/>
          </w:rPr>
          <w:t>E.</w:t>
        </w:r>
        <w:r w:rsidR="00A64830">
          <w:rPr>
            <w:rFonts w:asciiTheme="minorHAnsi" w:eastAsiaTheme="minorEastAsia" w:hAnsiTheme="minorHAnsi" w:cstheme="minorBidi"/>
            <w:noProof/>
            <w:sz w:val="22"/>
            <w:szCs w:val="22"/>
          </w:rPr>
          <w:tab/>
        </w:r>
        <w:r w:rsidR="00A64830" w:rsidRPr="00965590">
          <w:rPr>
            <w:rStyle w:val="Hyperlink"/>
            <w:noProof/>
          </w:rPr>
          <w:t>COLLECTIVE BARGAINING AGREEMENTS</w:t>
        </w:r>
        <w:r w:rsidR="00A64830">
          <w:rPr>
            <w:noProof/>
            <w:webHidden/>
          </w:rPr>
          <w:tab/>
        </w:r>
        <w:r w:rsidR="00A64830">
          <w:rPr>
            <w:noProof/>
            <w:webHidden/>
          </w:rPr>
          <w:fldChar w:fldCharType="begin"/>
        </w:r>
        <w:r w:rsidR="00A64830">
          <w:rPr>
            <w:noProof/>
            <w:webHidden/>
          </w:rPr>
          <w:instrText xml:space="preserve"> PAGEREF _Toc395604770 \h </w:instrText>
        </w:r>
        <w:r w:rsidR="00A64830">
          <w:rPr>
            <w:noProof/>
            <w:webHidden/>
          </w:rPr>
        </w:r>
        <w:r w:rsidR="00A64830">
          <w:rPr>
            <w:noProof/>
            <w:webHidden/>
          </w:rPr>
          <w:fldChar w:fldCharType="separate"/>
        </w:r>
        <w:r w:rsidR="00042677">
          <w:rPr>
            <w:noProof/>
            <w:webHidden/>
          </w:rPr>
          <w:t>114</w:t>
        </w:r>
        <w:r w:rsidR="00A64830">
          <w:rPr>
            <w:noProof/>
            <w:webHidden/>
          </w:rPr>
          <w:fldChar w:fldCharType="end"/>
        </w:r>
      </w:hyperlink>
    </w:p>
    <w:p w:rsidR="00334983" w:rsidRPr="00334983" w:rsidRDefault="00334983" w:rsidP="00334983">
      <w:pPr>
        <w:rPr>
          <w:rFonts w:eastAsiaTheme="minorEastAsia"/>
        </w:rPr>
      </w:pPr>
    </w:p>
    <w:p w:rsidR="00A64830" w:rsidRDefault="000F30C0" w:rsidP="00334983">
      <w:pPr>
        <w:pStyle w:val="TOC2"/>
        <w:rPr>
          <w:rFonts w:asciiTheme="minorHAnsi" w:eastAsiaTheme="minorEastAsia" w:hAnsiTheme="minorHAnsi" w:cstheme="minorBidi"/>
          <w:noProof/>
          <w:sz w:val="22"/>
          <w:szCs w:val="22"/>
        </w:rPr>
      </w:pPr>
      <w:hyperlink w:anchor="_Toc395604771" w:history="1">
        <w:r w:rsidR="00A64830" w:rsidRPr="00965590">
          <w:rPr>
            <w:rStyle w:val="Hyperlink"/>
            <w:noProof/>
          </w:rPr>
          <w:t>F.</w:t>
        </w:r>
        <w:r w:rsidR="00A64830">
          <w:rPr>
            <w:rFonts w:asciiTheme="minorHAnsi" w:eastAsiaTheme="minorEastAsia" w:hAnsiTheme="minorHAnsi" w:cstheme="minorBidi"/>
            <w:noProof/>
            <w:sz w:val="22"/>
            <w:szCs w:val="22"/>
          </w:rPr>
          <w:tab/>
        </w:r>
        <w:r w:rsidR="00A64830" w:rsidRPr="00965590">
          <w:rPr>
            <w:rStyle w:val="Hyperlink"/>
            <w:noProof/>
          </w:rPr>
          <w:t>NO-FAULT AUTOMOBILE INSURANCE ARBITRATION</w:t>
        </w:r>
        <w:r w:rsidR="00A64830">
          <w:rPr>
            <w:noProof/>
            <w:webHidden/>
          </w:rPr>
          <w:tab/>
        </w:r>
        <w:r w:rsidR="00A64830">
          <w:rPr>
            <w:noProof/>
            <w:webHidden/>
          </w:rPr>
          <w:fldChar w:fldCharType="begin"/>
        </w:r>
        <w:r w:rsidR="00A64830">
          <w:rPr>
            <w:noProof/>
            <w:webHidden/>
          </w:rPr>
          <w:instrText xml:space="preserve"> PAGEREF _Toc395604771 \h </w:instrText>
        </w:r>
        <w:r w:rsidR="00A64830">
          <w:rPr>
            <w:noProof/>
            <w:webHidden/>
          </w:rPr>
        </w:r>
        <w:r w:rsidR="00A64830">
          <w:rPr>
            <w:noProof/>
            <w:webHidden/>
          </w:rPr>
          <w:fldChar w:fldCharType="separate"/>
        </w:r>
        <w:r w:rsidR="00042677">
          <w:rPr>
            <w:noProof/>
            <w:webHidden/>
          </w:rPr>
          <w:t>114</w:t>
        </w:r>
        <w:r w:rsidR="00A64830">
          <w:rPr>
            <w:noProof/>
            <w:webHidden/>
          </w:rPr>
          <w:fldChar w:fldCharType="end"/>
        </w:r>
      </w:hyperlink>
    </w:p>
    <w:p w:rsidR="00D46F79" w:rsidRDefault="00D11F68" w:rsidP="00334983">
      <w:pPr>
        <w:sectPr w:rsidR="00D46F79" w:rsidSect="00DC75CC">
          <w:pgSz w:w="12240" w:h="15840" w:code="1"/>
          <w:pgMar w:top="1440" w:right="1440" w:bottom="1440" w:left="1440" w:header="720" w:footer="720" w:gutter="0"/>
          <w:pgNumType w:fmt="lowerRoman" w:start="1"/>
          <w:cols w:space="720"/>
          <w:docGrid w:linePitch="360"/>
        </w:sectPr>
      </w:pPr>
      <w:r>
        <w:fldChar w:fldCharType="end"/>
      </w:r>
    </w:p>
    <w:p w:rsidR="004F10A3" w:rsidRPr="00F4252E" w:rsidRDefault="005551F2" w:rsidP="008429C3">
      <w:pPr>
        <w:pStyle w:val="Heading1"/>
      </w:pPr>
      <w:bookmarkStart w:id="3" w:name="_Toc357064152"/>
      <w:bookmarkStart w:id="4" w:name="_Toc357064651"/>
      <w:bookmarkStart w:id="5" w:name="_Toc395604428"/>
      <w:r>
        <w:lastRenderedPageBreak/>
        <w:t>I.</w:t>
      </w:r>
      <w:r>
        <w:tab/>
      </w:r>
      <w:r w:rsidR="004F10A3" w:rsidRPr="00F4252E">
        <w:t>CIVIL – GENERAL</w:t>
      </w:r>
      <w:bookmarkEnd w:id="2"/>
      <w:bookmarkEnd w:id="3"/>
      <w:bookmarkEnd w:id="4"/>
      <w:bookmarkEnd w:id="5"/>
    </w:p>
    <w:p w:rsidR="00611E8A" w:rsidRPr="00DB66EA" w:rsidRDefault="00611E8A" w:rsidP="00604DD4">
      <w:pPr>
        <w:pStyle w:val="Heading2"/>
      </w:pPr>
      <w:bookmarkStart w:id="6" w:name="_Toc48979504"/>
      <w:bookmarkStart w:id="7" w:name="_Toc357064153"/>
      <w:bookmarkStart w:id="8" w:name="_Toc357064652"/>
      <w:bookmarkStart w:id="9" w:name="_Toc395604429"/>
      <w:r w:rsidRPr="00DB66EA">
        <w:t>A.</w:t>
      </w:r>
      <w:r w:rsidRPr="00DB66EA">
        <w:tab/>
        <w:t>IN GENERAL</w:t>
      </w:r>
      <w:bookmarkEnd w:id="6"/>
      <w:bookmarkEnd w:id="7"/>
      <w:bookmarkEnd w:id="8"/>
      <w:bookmarkEnd w:id="9"/>
    </w:p>
    <w:p w:rsidR="00E01F8F" w:rsidRPr="00F4252E" w:rsidRDefault="00E01F8F" w:rsidP="00337FFA">
      <w:pPr>
        <w:pStyle w:val="Heading3"/>
      </w:pPr>
      <w:bookmarkStart w:id="10" w:name="_Toc357064154"/>
      <w:bookmarkStart w:id="11" w:name="_Toc357064653"/>
      <w:bookmarkStart w:id="12" w:name="_Toc395604430"/>
      <w:r w:rsidRPr="00F4252E">
        <w:t>1.</w:t>
      </w:r>
      <w:r w:rsidRPr="00F4252E">
        <w:tab/>
        <w:t>Jurisdiction</w:t>
      </w:r>
      <w:bookmarkEnd w:id="10"/>
      <w:bookmarkEnd w:id="11"/>
      <w:bookmarkEnd w:id="12"/>
    </w:p>
    <w:p w:rsidR="00E01F8F" w:rsidRPr="00DB66EA" w:rsidRDefault="00E01F8F" w:rsidP="00840CBE">
      <w:pPr>
        <w:ind w:left="720"/>
      </w:pPr>
      <w:r w:rsidRPr="00DB66EA">
        <w:t xml:space="preserve">“Jurisdiction is a question of law that we review de novo.”  </w:t>
      </w:r>
      <w:r w:rsidRPr="00DB66EA">
        <w:rPr>
          <w:i/>
        </w:rPr>
        <w:t>In re Comm’r of Pub. Safety</w:t>
      </w:r>
      <w:r w:rsidRPr="00DB66EA">
        <w:t>, 735 N.W.2d 706, 710 (Minn. 2007) (quotation omitted).</w:t>
      </w:r>
    </w:p>
    <w:p w:rsidR="00E01F8F" w:rsidRPr="00DB66EA" w:rsidRDefault="00E01F8F" w:rsidP="00840CBE">
      <w:pPr>
        <w:ind w:left="1080" w:hanging="1080"/>
      </w:pPr>
    </w:p>
    <w:p w:rsidR="00C5567F" w:rsidRPr="00B654FD" w:rsidRDefault="00C5567F" w:rsidP="00C5567F">
      <w:pPr>
        <w:ind w:left="720"/>
      </w:pPr>
      <w:r w:rsidRPr="00B654FD">
        <w:t xml:space="preserve">“Whether subject-matter jurisdiction exists presents a question of law, which we review de novo.”  </w:t>
      </w:r>
      <w:r w:rsidRPr="00B654FD">
        <w:rPr>
          <w:i/>
        </w:rPr>
        <w:t>Anderson v. Cnty. of Lyon</w:t>
      </w:r>
      <w:r w:rsidRPr="00B654FD">
        <w:t xml:space="preserve">, 784 N.W.2d 77, 80 (Minn. App. 2010) (citing </w:t>
      </w:r>
      <w:r w:rsidRPr="00B654FD">
        <w:rPr>
          <w:i/>
        </w:rPr>
        <w:t>Tischer v. Hous. &amp; Redev. Auth</w:t>
      </w:r>
      <w:r w:rsidRPr="00B654FD">
        <w:t>., 693 N.W.2d 426, 428 (Minn. 2005))</w:t>
      </w:r>
      <w:r w:rsidR="00B654FD" w:rsidRPr="00B654FD">
        <w:t xml:space="preserve">, </w:t>
      </w:r>
      <w:r w:rsidR="00B654FD" w:rsidRPr="00B654FD">
        <w:rPr>
          <w:i/>
        </w:rPr>
        <w:t>review denied</w:t>
      </w:r>
      <w:r w:rsidR="00B654FD" w:rsidRPr="00B654FD">
        <w:t xml:space="preserve"> (Minn. Aug. 24, 2010)</w:t>
      </w:r>
      <w:r w:rsidRPr="00B654FD">
        <w:t>.</w:t>
      </w:r>
    </w:p>
    <w:p w:rsidR="00C5567F" w:rsidRPr="00B654FD" w:rsidRDefault="00C5567F" w:rsidP="00FB7B4E">
      <w:pPr>
        <w:ind w:left="720"/>
      </w:pPr>
    </w:p>
    <w:p w:rsidR="00E01F8F" w:rsidRPr="00FB7B4E" w:rsidRDefault="00FB7B4E" w:rsidP="00FB7B4E">
      <w:pPr>
        <w:ind w:left="720"/>
        <w:rPr>
          <w:i/>
        </w:rPr>
      </w:pPr>
      <w:r w:rsidRPr="00B654FD">
        <w:t xml:space="preserve">“Whether personal jurisdiction exists is a question of law which we review de novo.”  </w:t>
      </w:r>
      <w:r w:rsidRPr="00B654FD">
        <w:rPr>
          <w:i/>
        </w:rPr>
        <w:t>Juelich v. Yamazaki Mazak Optonics Corp</w:t>
      </w:r>
      <w:r w:rsidRPr="00B654FD">
        <w:t xml:space="preserve">., 682 N.W.2d 565, 569 (Minn. 2004); </w:t>
      </w:r>
      <w:r w:rsidRPr="00B654FD">
        <w:rPr>
          <w:i/>
        </w:rPr>
        <w:t xml:space="preserve">see also </w:t>
      </w:r>
      <w:r w:rsidR="0062046A" w:rsidRPr="00B654FD">
        <w:rPr>
          <w:i/>
        </w:rPr>
        <w:t>C.H. R</w:t>
      </w:r>
      <w:r w:rsidR="00E01F8F" w:rsidRPr="00B654FD">
        <w:rPr>
          <w:i/>
        </w:rPr>
        <w:t>obinson Worldwide</w:t>
      </w:r>
      <w:r w:rsidR="00F104FB" w:rsidRPr="00B654FD">
        <w:rPr>
          <w:i/>
        </w:rPr>
        <w:t>,</w:t>
      </w:r>
      <w:r w:rsidR="00E01F8F" w:rsidRPr="00B654FD">
        <w:rPr>
          <w:i/>
        </w:rPr>
        <w:t xml:space="preserve"> Inc.</w:t>
      </w:r>
      <w:r w:rsidR="00D63A8C" w:rsidRPr="00B654FD">
        <w:rPr>
          <w:i/>
        </w:rPr>
        <w:t xml:space="preserve"> v. FLS Transp., Inc.</w:t>
      </w:r>
      <w:r w:rsidR="00E01F8F" w:rsidRPr="00B654FD">
        <w:t>, 772 N.W.2d 528, 533 (Minn. App. 2009).</w:t>
      </w:r>
    </w:p>
    <w:p w:rsidR="00611E8A" w:rsidRPr="00DB66EA" w:rsidRDefault="00E01F8F" w:rsidP="00337FFA">
      <w:pPr>
        <w:pStyle w:val="Heading3"/>
      </w:pPr>
      <w:bookmarkStart w:id="13" w:name="_Toc48979505"/>
      <w:bookmarkStart w:id="14" w:name="_Toc357064155"/>
      <w:bookmarkStart w:id="15" w:name="_Toc357064654"/>
      <w:bookmarkStart w:id="16" w:name="_Toc395604431"/>
      <w:r w:rsidRPr="00DB66EA">
        <w:t>2</w:t>
      </w:r>
      <w:r w:rsidR="00611E8A" w:rsidRPr="00DB66EA">
        <w:t>.</w:t>
      </w:r>
      <w:r w:rsidR="00611E8A" w:rsidRPr="00DB66EA">
        <w:tab/>
        <w:t>General Standards of Review</w:t>
      </w:r>
      <w:bookmarkEnd w:id="13"/>
      <w:bookmarkEnd w:id="14"/>
      <w:bookmarkEnd w:id="15"/>
      <w:bookmarkEnd w:id="16"/>
    </w:p>
    <w:p w:rsidR="00F743F2" w:rsidRDefault="00611E8A" w:rsidP="00300AEE">
      <w:pPr>
        <w:pStyle w:val="Heading4"/>
      </w:pPr>
      <w:bookmarkStart w:id="17" w:name="_Toc48979506"/>
      <w:bookmarkStart w:id="18" w:name="_Toc395604432"/>
      <w:r w:rsidRPr="00E468E0">
        <w:t>a.</w:t>
      </w:r>
      <w:r w:rsidRPr="00E468E0">
        <w:tab/>
        <w:t>Questions of Law</w:t>
      </w:r>
      <w:bookmarkEnd w:id="17"/>
      <w:bookmarkEnd w:id="18"/>
    </w:p>
    <w:p w:rsidR="00611E8A" w:rsidRPr="00DB66EA" w:rsidRDefault="00E01F8F" w:rsidP="00840CBE">
      <w:pPr>
        <w:ind w:left="1440"/>
      </w:pPr>
      <w:r w:rsidRPr="00DB66EA">
        <w:t xml:space="preserve">“No deference is given to a lower court on questions of law.”  </w:t>
      </w:r>
      <w:r w:rsidRPr="00DB66EA">
        <w:rPr>
          <w:i/>
        </w:rPr>
        <w:t>Modrow v. JP Foodservice, Inc.</w:t>
      </w:r>
      <w:r w:rsidRPr="00DB66EA">
        <w:t>, 656 N.W.2d 389, 393 (Minn. 2003).</w:t>
      </w:r>
    </w:p>
    <w:p w:rsidR="00611E8A" w:rsidRPr="00DB66EA" w:rsidRDefault="00611E8A" w:rsidP="00840CBE">
      <w:pPr>
        <w:ind w:left="1440"/>
      </w:pPr>
    </w:p>
    <w:p w:rsidR="00611E8A" w:rsidRPr="00CA4465" w:rsidRDefault="00E01F8F" w:rsidP="00840CBE">
      <w:pPr>
        <w:ind w:left="1440"/>
      </w:pPr>
      <w:r w:rsidRPr="00DB66EA">
        <w:t>“The application of law to stipulated facts is a question of law,</w:t>
      </w:r>
      <w:r>
        <w:t xml:space="preserve"> which we </w:t>
      </w:r>
      <w:r w:rsidR="00D63A8C">
        <w:t xml:space="preserve">. . . </w:t>
      </w:r>
      <w:r>
        <w:t xml:space="preserve">review de novo.”  </w:t>
      </w:r>
      <w:r>
        <w:rPr>
          <w:i/>
        </w:rPr>
        <w:t>In re Estate of Barg</w:t>
      </w:r>
      <w:r>
        <w:t>, 752 N.W.2d 52, 63 (Minn. 2008).</w:t>
      </w:r>
    </w:p>
    <w:p w:rsidR="00611E8A" w:rsidRPr="00CA4465" w:rsidRDefault="00611E8A" w:rsidP="00840CBE">
      <w:pPr>
        <w:ind w:left="1440"/>
      </w:pPr>
    </w:p>
    <w:p w:rsidR="00611E8A" w:rsidRPr="00F743F2" w:rsidRDefault="00653B83" w:rsidP="00840CBE">
      <w:pPr>
        <w:ind w:left="1440"/>
        <w:rPr>
          <w:iCs/>
        </w:rPr>
      </w:pPr>
      <w:r w:rsidRPr="00CA4465">
        <w:rPr>
          <w:iCs/>
        </w:rPr>
        <w:t xml:space="preserve">“When the material facts are not in dispute, we review the lower court’s application of the law de novo.”  </w:t>
      </w:r>
      <w:r w:rsidRPr="00CA4465">
        <w:rPr>
          <w:i/>
          <w:iCs/>
        </w:rPr>
        <w:t>In re Collier</w:t>
      </w:r>
      <w:r w:rsidRPr="00CA4465">
        <w:rPr>
          <w:iCs/>
        </w:rPr>
        <w:t>, 726 N.W.2d 799, 803 (Minn. 2007).</w:t>
      </w:r>
    </w:p>
    <w:p w:rsidR="00611E8A" w:rsidRPr="00F743F2" w:rsidRDefault="00031A4B" w:rsidP="00300AEE">
      <w:pPr>
        <w:pStyle w:val="Heading4"/>
      </w:pPr>
      <w:bookmarkStart w:id="19" w:name="_Toc48979507"/>
      <w:bookmarkStart w:id="20" w:name="_Toc395604433"/>
      <w:r w:rsidRPr="00CA4465">
        <w:t>b</w:t>
      </w:r>
      <w:r w:rsidR="00611E8A" w:rsidRPr="00CA4465">
        <w:t>.</w:t>
      </w:r>
      <w:r w:rsidR="00611E8A" w:rsidRPr="00CA4465">
        <w:tab/>
        <w:t>Mixed Questions of Law and Fact</w:t>
      </w:r>
      <w:bookmarkEnd w:id="19"/>
      <w:bookmarkEnd w:id="20"/>
    </w:p>
    <w:p w:rsidR="00836069" w:rsidRPr="00CA4465" w:rsidRDefault="00836069" w:rsidP="00840CBE">
      <w:pPr>
        <w:ind w:left="1440"/>
      </w:pPr>
      <w:r w:rsidRPr="00CA4465">
        <w:t>“In an appeal from a bench trial, we do not reconcile conflicting evidence.  We give the district court</w:t>
      </w:r>
      <w:r w:rsidR="004B4743" w:rsidRPr="00CA4465">
        <w:t>’</w:t>
      </w:r>
      <w:r w:rsidRPr="00CA4465">
        <w:t>s factual findings great deference and do not set them aside unless clearly erroneous.  However, we are not bound by and need not give deference to the district court</w:t>
      </w:r>
      <w:r w:rsidR="004B4743" w:rsidRPr="00CA4465">
        <w:t>’</w:t>
      </w:r>
      <w:r w:rsidRPr="00CA4465">
        <w:t>s decision on a purely legal issue.  When reviewing mixed questions of law and fact, we correct erroneous applications of law, but accord the [district] court discretion in its ultimate conclusions and review such conclusions under an abuse of discretion standard.</w:t>
      </w:r>
      <w:r w:rsidR="004B4743" w:rsidRPr="00CA4465">
        <w:t>”</w:t>
      </w:r>
      <w:r w:rsidRPr="00CA4465">
        <w:t xml:space="preserve">  </w:t>
      </w:r>
      <w:r w:rsidRPr="00CA4465">
        <w:rPr>
          <w:i/>
        </w:rPr>
        <w:t>Porch v. Gen. Motors Acceptance Corp.</w:t>
      </w:r>
      <w:r w:rsidRPr="00CA4465">
        <w:t>, 642 N.W.2d 473, 477 (Minn. App. 2002)</w:t>
      </w:r>
      <w:r w:rsidR="00364564" w:rsidRPr="00CA4465">
        <w:t xml:space="preserve"> </w:t>
      </w:r>
      <w:r w:rsidR="00D63A8C">
        <w:t xml:space="preserve">(alteration in original) </w:t>
      </w:r>
      <w:r w:rsidR="004B4743" w:rsidRPr="00CA4465">
        <w:t>(quotations and citations omitted)</w:t>
      </w:r>
      <w:r w:rsidRPr="00CA4465">
        <w:t xml:space="preserve">, </w:t>
      </w:r>
      <w:r w:rsidRPr="00CA4465">
        <w:rPr>
          <w:i/>
        </w:rPr>
        <w:t>review denied</w:t>
      </w:r>
      <w:r w:rsidRPr="00CA4465">
        <w:t xml:space="preserve"> (Minn. June 26, 2002).</w:t>
      </w:r>
    </w:p>
    <w:p w:rsidR="00611E8A" w:rsidRPr="00F743F2" w:rsidRDefault="00611E8A" w:rsidP="00300AEE">
      <w:pPr>
        <w:pStyle w:val="Heading4"/>
      </w:pPr>
      <w:bookmarkStart w:id="21" w:name="_Toc48979508"/>
      <w:bookmarkStart w:id="22" w:name="_Toc395604434"/>
      <w:r w:rsidRPr="00CA4465">
        <w:lastRenderedPageBreak/>
        <w:t>c.</w:t>
      </w:r>
      <w:r w:rsidRPr="00CA4465">
        <w:tab/>
        <w:t>Questions of Fact</w:t>
      </w:r>
      <w:bookmarkEnd w:id="21"/>
      <w:bookmarkEnd w:id="22"/>
    </w:p>
    <w:p w:rsidR="00611E8A" w:rsidRDefault="00611E8A" w:rsidP="00840CBE">
      <w:pPr>
        <w:ind w:left="1440"/>
      </w:pPr>
      <w:r w:rsidRPr="00CA4465">
        <w:t xml:space="preserve">“Findings of fact, whether based on oral or documentary evidence, shall not be set aside unless clearly erroneous, and due regard shall be given to the opportunity of the </w:t>
      </w:r>
      <w:r w:rsidR="00A14F2D" w:rsidRPr="00CA4465">
        <w:t>[district]</w:t>
      </w:r>
      <w:r w:rsidRPr="00CA4465">
        <w:t xml:space="preserve"> court to judge the credibility of the witnesses.  The findings of a referee, to the extent adopted by the court, shall be considered as the findings of the court.”  Minn. R. Civ. P. 52.01.</w:t>
      </w:r>
    </w:p>
    <w:p w:rsidR="00BB4401" w:rsidRPr="00CA4465" w:rsidRDefault="00BB4401" w:rsidP="00840CBE">
      <w:pPr>
        <w:ind w:left="1440"/>
      </w:pPr>
    </w:p>
    <w:p w:rsidR="006C6899" w:rsidRDefault="006C6899" w:rsidP="006C6899">
      <w:pPr>
        <w:ind w:left="1440"/>
      </w:pPr>
      <w:r w:rsidRPr="00B654FD">
        <w:t xml:space="preserve">“[W]e review the district court’s factual findings for clear error.  That is, we examine the record to see if there is reasonable evidence in the record to support the court’s findings.  And when determining whether a finding of fact is clearly erroneous, we view the evidence in the light most favorable to the verdict. To conclude that findings of fact are clearly erroneous we must be left with the definite and firm conviction that a mistake has been made.”  </w:t>
      </w:r>
      <w:r w:rsidRPr="00B654FD">
        <w:rPr>
          <w:i/>
        </w:rPr>
        <w:t>Rasmussen v. Two Harbors Fish Co</w:t>
      </w:r>
      <w:r w:rsidRPr="00B654FD">
        <w:t>., 832 N.W.2d 790, 797 (Minn. 2013) (quotations</w:t>
      </w:r>
      <w:r w:rsidR="00B654FD" w:rsidRPr="00B654FD">
        <w:t xml:space="preserve"> and citations</w:t>
      </w:r>
      <w:r w:rsidRPr="00B654FD">
        <w:t xml:space="preserve"> omitted).</w:t>
      </w:r>
      <w:r>
        <w:t xml:space="preserve">  </w:t>
      </w:r>
    </w:p>
    <w:p w:rsidR="006C6899" w:rsidRDefault="006C6899" w:rsidP="00840CBE">
      <w:pPr>
        <w:ind w:left="1440"/>
      </w:pPr>
    </w:p>
    <w:p w:rsidR="00E01F8F" w:rsidRDefault="004B4743" w:rsidP="00840CBE">
      <w:pPr>
        <w:ind w:left="1440"/>
      </w:pPr>
      <w:r w:rsidRPr="00CA4465">
        <w:t>“</w:t>
      </w:r>
      <w:r w:rsidR="00611E8A" w:rsidRPr="00CA4465">
        <w:t>It is not the province of th</w:t>
      </w:r>
      <w:r w:rsidRPr="00CA4465">
        <w:t>is</w:t>
      </w:r>
      <w:r w:rsidR="00611E8A" w:rsidRPr="00CA4465">
        <w:t xml:space="preserve"> court to reconcile conflicting evidence.  On appeal, a </w:t>
      </w:r>
      <w:r w:rsidR="00A14F2D" w:rsidRPr="00CA4465">
        <w:t>[district]</w:t>
      </w:r>
      <w:r w:rsidR="00611E8A" w:rsidRPr="00CA4465">
        <w:t xml:space="preserve"> court’s findings of fact are given great deference, and shall not be set aside unless clearly erroneous. . . . If there is reasonable evidence to support the </w:t>
      </w:r>
      <w:r w:rsidR="00A14F2D" w:rsidRPr="00CA4465">
        <w:t xml:space="preserve">[district] </w:t>
      </w:r>
      <w:r w:rsidR="00611E8A" w:rsidRPr="00CA4465">
        <w:t>court’s findings of fact, a</w:t>
      </w:r>
      <w:r w:rsidRPr="00CA4465">
        <w:t xml:space="preserve"> reviewing</w:t>
      </w:r>
      <w:r w:rsidR="00611E8A" w:rsidRPr="00CA4465">
        <w:t xml:space="preserve"> court </w:t>
      </w:r>
      <w:r w:rsidRPr="00CA4465">
        <w:t>should</w:t>
      </w:r>
      <w:r w:rsidR="00611E8A" w:rsidRPr="00CA4465">
        <w:t xml:space="preserve"> not disturb those findings.</w:t>
      </w:r>
      <w:r w:rsidRPr="00CA4465">
        <w:t>”</w:t>
      </w:r>
      <w:r w:rsidR="00611E8A" w:rsidRPr="00CA4465">
        <w:t xml:space="preserve">  </w:t>
      </w:r>
      <w:r w:rsidR="00611E8A" w:rsidRPr="00CA4465">
        <w:rPr>
          <w:i/>
        </w:rPr>
        <w:t>Fletcher v. St. Paul Pioneer Press</w:t>
      </w:r>
      <w:r w:rsidR="00611E8A" w:rsidRPr="00CA4465">
        <w:t>, 589 N.W.2d 96, 101 (Minn. 1999).</w:t>
      </w:r>
    </w:p>
    <w:p w:rsidR="00E01F8F" w:rsidRDefault="00E01F8F" w:rsidP="00300AEE">
      <w:pPr>
        <w:pStyle w:val="Heading4"/>
      </w:pPr>
      <w:bookmarkStart w:id="23" w:name="_Toc395604435"/>
      <w:r>
        <w:t>d.</w:t>
      </w:r>
      <w:r>
        <w:tab/>
        <w:t>Equitable Determinations</w:t>
      </w:r>
      <w:bookmarkEnd w:id="23"/>
    </w:p>
    <w:p w:rsidR="002014B6" w:rsidRDefault="00E01F8F" w:rsidP="00840CBE">
      <w:pPr>
        <w:ind w:left="1440"/>
      </w:pPr>
      <w:r>
        <w:t xml:space="preserve">“We have said that we review equitable determinations for an abuse of discretion.”  </w:t>
      </w:r>
      <w:r>
        <w:rPr>
          <w:i/>
        </w:rPr>
        <w:t>City of N. Oaks v. Sarpal</w:t>
      </w:r>
      <w:r>
        <w:t>, 797 N.</w:t>
      </w:r>
      <w:r w:rsidR="00D63A8C">
        <w:t>W</w:t>
      </w:r>
      <w:r>
        <w:t xml:space="preserve">.2d 18, 23 (Minn. 2011) (citing </w:t>
      </w:r>
      <w:r>
        <w:rPr>
          <w:i/>
        </w:rPr>
        <w:t>Lilyerd v. Carlson</w:t>
      </w:r>
      <w:r>
        <w:t xml:space="preserve">, 499 N.W.2d 803, </w:t>
      </w:r>
      <w:r w:rsidR="00D63A8C">
        <w:t xml:space="preserve">807, </w:t>
      </w:r>
      <w:r>
        <w:t xml:space="preserve">811 (Minn. 1993) (bench trial) and </w:t>
      </w:r>
      <w:r>
        <w:rPr>
          <w:i/>
        </w:rPr>
        <w:t>Nadeau v. Cnty. of Ramsey</w:t>
      </w:r>
      <w:r>
        <w:t>, 277 N.W.2d 520, 524 (Minn. 1979) (motion for reinstatement following grant of motion for new trial)).</w:t>
      </w:r>
    </w:p>
    <w:p w:rsidR="002014B6" w:rsidRDefault="002014B6" w:rsidP="00840CBE">
      <w:pPr>
        <w:ind w:left="1440"/>
      </w:pPr>
    </w:p>
    <w:p w:rsidR="00611E8A" w:rsidRPr="00CA4465" w:rsidRDefault="002014B6" w:rsidP="00840CBE">
      <w:pPr>
        <w:ind w:left="1440"/>
      </w:pPr>
      <w:r>
        <w:t xml:space="preserve">“[A] district court’s conclusion on equitable estoppel after a bench trial is reviewed for an abuse of discretion.”  </w:t>
      </w:r>
      <w:r>
        <w:rPr>
          <w:i/>
        </w:rPr>
        <w:t>City of N. Oaks v. Sarpal</w:t>
      </w:r>
      <w:r>
        <w:t>, 797 N.W.2d 18, 24 (Minn. 2011).</w:t>
      </w:r>
    </w:p>
    <w:p w:rsidR="00611E8A" w:rsidRPr="00D20BD8" w:rsidRDefault="00406DAD" w:rsidP="00337FFA">
      <w:pPr>
        <w:pStyle w:val="Heading3"/>
      </w:pPr>
      <w:bookmarkStart w:id="24" w:name="_Toc48979509"/>
      <w:bookmarkStart w:id="25" w:name="_Toc357064655"/>
      <w:bookmarkStart w:id="26" w:name="_Toc395604436"/>
      <w:r>
        <w:t>3</w:t>
      </w:r>
      <w:r w:rsidR="00611E8A" w:rsidRPr="00CA4465">
        <w:t>.</w:t>
      </w:r>
      <w:r w:rsidR="00611E8A" w:rsidRPr="00CA4465">
        <w:tab/>
        <w:t>Rules of Construction</w:t>
      </w:r>
      <w:bookmarkEnd w:id="24"/>
      <w:bookmarkEnd w:id="25"/>
      <w:bookmarkEnd w:id="26"/>
      <w:r w:rsidR="00611E8A" w:rsidRPr="00CA4465">
        <w:t xml:space="preserve"> </w:t>
      </w:r>
    </w:p>
    <w:p w:rsidR="00611E8A" w:rsidRPr="00D20BD8" w:rsidRDefault="00611E8A" w:rsidP="00300AEE">
      <w:pPr>
        <w:pStyle w:val="Heading4"/>
      </w:pPr>
      <w:bookmarkStart w:id="27" w:name="_Toc395604437"/>
      <w:bookmarkStart w:id="28" w:name="_Toc48979510"/>
      <w:r w:rsidRPr="00CA4465">
        <w:t>a.</w:t>
      </w:r>
      <w:r w:rsidRPr="00CA4465">
        <w:tab/>
        <w:t>Statutes</w:t>
      </w:r>
      <w:bookmarkEnd w:id="27"/>
    </w:p>
    <w:p w:rsidR="00611E8A" w:rsidRPr="00D20BD8" w:rsidRDefault="00611E8A" w:rsidP="006921A4">
      <w:pPr>
        <w:pStyle w:val="Heading5"/>
      </w:pPr>
      <w:bookmarkStart w:id="29" w:name="_Toc395604438"/>
      <w:r w:rsidRPr="00326EF4">
        <w:t>(1)</w:t>
      </w:r>
      <w:r w:rsidRPr="00326EF4">
        <w:tab/>
        <w:t>Constitutionality of Statutes</w:t>
      </w:r>
      <w:bookmarkEnd w:id="28"/>
      <w:bookmarkEnd w:id="29"/>
    </w:p>
    <w:p w:rsidR="00082F60" w:rsidRDefault="00082F60" w:rsidP="00082F60">
      <w:pPr>
        <w:ind w:left="2160"/>
      </w:pPr>
      <w:r>
        <w:t xml:space="preserve">The constitutionality of a statute is a question of law that we review de novo.  </w:t>
      </w:r>
      <w:r w:rsidRPr="00082F60">
        <w:rPr>
          <w:i/>
        </w:rPr>
        <w:t>Rew v. Bergstrom</w:t>
      </w:r>
      <w:r>
        <w:t xml:space="preserve">, 845 N.W.2d 764, 776 (Minn. 2014) (citing </w:t>
      </w:r>
      <w:r w:rsidRPr="00082F60">
        <w:rPr>
          <w:i/>
        </w:rPr>
        <w:t>Schatz v. Interfaith Care Ctr.</w:t>
      </w:r>
      <w:r>
        <w:t>, 811 N.W.2d 643, 653 (Minn. 2012)).</w:t>
      </w:r>
    </w:p>
    <w:p w:rsidR="00082F60" w:rsidRDefault="00082F60" w:rsidP="00840CBE">
      <w:pPr>
        <w:ind w:left="2160"/>
      </w:pPr>
    </w:p>
    <w:p w:rsidR="002014B6" w:rsidRDefault="002014B6" w:rsidP="00840CBE">
      <w:pPr>
        <w:ind w:left="2160"/>
      </w:pPr>
      <w:r>
        <w:t xml:space="preserve">“The constitutionality of a statute is a question of law that we review de novo.”  </w:t>
      </w:r>
      <w:r w:rsidR="00D63A8C">
        <w:rPr>
          <w:i/>
        </w:rPr>
        <w:t>SooH</w:t>
      </w:r>
      <w:r>
        <w:rPr>
          <w:i/>
        </w:rPr>
        <w:t>oo v. Johnson</w:t>
      </w:r>
      <w:r>
        <w:t xml:space="preserve">, 731 N.W.2d 815, 821 (Minn. 2007).  “Our </w:t>
      </w:r>
      <w:r>
        <w:lastRenderedPageBreak/>
        <w:t xml:space="preserve">power to declare a law unconstitutional is to be exercised only when absolutely necessary and then with great caution.”  </w:t>
      </w:r>
      <w:r>
        <w:rPr>
          <w:i/>
        </w:rPr>
        <w:t>Id.</w:t>
      </w:r>
      <w:r>
        <w:t xml:space="preserve"> (quotation omitted).  “Accordingly, we will uphold a statute unless the challenging party demonstrates that it is unconstitutional beyond a reasonable doubt.”  </w:t>
      </w:r>
      <w:r>
        <w:rPr>
          <w:i/>
        </w:rPr>
        <w:t>Id.</w:t>
      </w:r>
    </w:p>
    <w:p w:rsidR="002014B6" w:rsidRDefault="002014B6" w:rsidP="00840CBE">
      <w:pPr>
        <w:ind w:left="2160"/>
      </w:pPr>
    </w:p>
    <w:p w:rsidR="002014B6" w:rsidRDefault="002014B6" w:rsidP="00840CBE">
      <w:pPr>
        <w:ind w:left="2160"/>
      </w:pPr>
      <w:r>
        <w:t>“Minnesota statutes are presumed constitutional and, as we have said in the past, our power to decl</w:t>
      </w:r>
      <w:r w:rsidR="00D63A8C">
        <w:t>are a statute unconstitutional m</w:t>
      </w:r>
      <w:r>
        <w:t xml:space="preserve">ust be exercised with extreme caution and only when absolutely necessary.”  </w:t>
      </w:r>
      <w:r>
        <w:rPr>
          <w:i/>
        </w:rPr>
        <w:t>Hamilton v. Comm’r of Pub. Safety</w:t>
      </w:r>
      <w:r>
        <w:t>, 600 N.W.2d 7</w:t>
      </w:r>
      <w:r w:rsidR="00D63A8C">
        <w:t>2</w:t>
      </w:r>
      <w:r>
        <w:t>0,722 (Minn. 1999).</w:t>
      </w:r>
    </w:p>
    <w:p w:rsidR="002014B6" w:rsidRDefault="002014B6" w:rsidP="00840CBE">
      <w:pPr>
        <w:ind w:left="2160"/>
      </w:pPr>
    </w:p>
    <w:p w:rsidR="00611E8A" w:rsidRPr="00CA4465" w:rsidRDefault="002014B6" w:rsidP="00840CBE">
      <w:pPr>
        <w:ind w:left="2160"/>
      </w:pPr>
      <w:r>
        <w:t xml:space="preserve">“The challenger of the constitutional validity of a statute must meet the very heavy burden of demonstrating beyond a reasonable doubt that the statute is unconstitutional.”  </w:t>
      </w:r>
      <w:r>
        <w:rPr>
          <w:i/>
        </w:rPr>
        <w:t>Assoc. Builders &amp; Contractors v. Ventura</w:t>
      </w:r>
      <w:r>
        <w:t>, 610 N.W.2d 293, 299 (Minn. 2000).</w:t>
      </w:r>
    </w:p>
    <w:p w:rsidR="00611E8A" w:rsidRPr="00CA4465" w:rsidRDefault="00611E8A" w:rsidP="006921A4">
      <w:pPr>
        <w:pStyle w:val="Heading5"/>
      </w:pPr>
      <w:bookmarkStart w:id="30" w:name="_Toc395604439"/>
      <w:r w:rsidRPr="00B654FD">
        <w:t>(2)</w:t>
      </w:r>
      <w:r w:rsidRPr="00B654FD">
        <w:tab/>
      </w:r>
      <w:r w:rsidR="00D8252F" w:rsidRPr="00B654FD">
        <w:t>Interpretation/</w:t>
      </w:r>
      <w:r w:rsidRPr="00B654FD">
        <w:t>Construction and Application of Statutes</w:t>
      </w:r>
      <w:bookmarkEnd w:id="30"/>
    </w:p>
    <w:p w:rsidR="00BB198F" w:rsidRPr="00CA4465" w:rsidRDefault="00AB0F8D" w:rsidP="00840CBE">
      <w:pPr>
        <w:ind w:left="2160"/>
        <w:rPr>
          <w:i/>
        </w:rPr>
      </w:pPr>
      <w:r w:rsidRPr="00CA4465">
        <w:t>“</w:t>
      </w:r>
      <w:r w:rsidR="002014B6">
        <w:t>[</w:t>
      </w:r>
      <w:r w:rsidR="00BB198F" w:rsidRPr="00CA4465">
        <w:t>S</w:t>
      </w:r>
      <w:r w:rsidR="002014B6">
        <w:t>]</w:t>
      </w:r>
      <w:r w:rsidR="00BB198F" w:rsidRPr="00CA4465">
        <w:t>tatutory construction is</w:t>
      </w:r>
      <w:r w:rsidRPr="00CA4465">
        <w:t xml:space="preserve"> </w:t>
      </w:r>
      <w:r w:rsidR="00BB198F" w:rsidRPr="00CA4465">
        <w:t xml:space="preserve">a </w:t>
      </w:r>
      <w:r w:rsidR="002014B6">
        <w:t xml:space="preserve">question of law, which we </w:t>
      </w:r>
      <w:r w:rsidR="00BB198F" w:rsidRPr="00CA4465">
        <w:t>review de novo.</w:t>
      </w:r>
      <w:r w:rsidRPr="00CA4465">
        <w:t>”</w:t>
      </w:r>
      <w:r w:rsidR="00BB198F" w:rsidRPr="00CA4465">
        <w:t xml:space="preserve">  </w:t>
      </w:r>
      <w:r w:rsidR="00BB198F" w:rsidRPr="00CA4465">
        <w:rPr>
          <w:i/>
        </w:rPr>
        <w:t xml:space="preserve">Lee v. </w:t>
      </w:r>
      <w:r w:rsidR="002014B6">
        <w:rPr>
          <w:i/>
        </w:rPr>
        <w:t>Lee</w:t>
      </w:r>
      <w:r w:rsidR="00BB198F" w:rsidRPr="00CA4465">
        <w:t>, 7</w:t>
      </w:r>
      <w:r w:rsidR="002014B6">
        <w:t>75</w:t>
      </w:r>
      <w:r w:rsidR="00BB198F" w:rsidRPr="00CA4465">
        <w:t xml:space="preserve"> N.W.2d </w:t>
      </w:r>
      <w:r w:rsidR="002014B6">
        <w:t>63</w:t>
      </w:r>
      <w:r w:rsidR="00BB198F" w:rsidRPr="00CA4465">
        <w:t xml:space="preserve">1, </w:t>
      </w:r>
      <w:r w:rsidR="002014B6">
        <w:t>637</w:t>
      </w:r>
      <w:r w:rsidR="00BB198F" w:rsidRPr="00CA4465">
        <w:t xml:space="preserve"> (Minn. 200</w:t>
      </w:r>
      <w:r w:rsidR="002014B6">
        <w:t>9</w:t>
      </w:r>
      <w:r w:rsidR="00BB198F" w:rsidRPr="00CA4465">
        <w:t xml:space="preserve">).  </w:t>
      </w:r>
      <w:r w:rsidR="00D63A8C">
        <w:t>“The object of all interpretation and construction of laws is to ascertain and effectuate the intention of the legislature.”</w:t>
      </w:r>
      <w:r w:rsidR="00BB198F" w:rsidRPr="00CA4465">
        <w:t xml:space="preserve">  Minn. Stat. § 645.16 (20</w:t>
      </w:r>
      <w:r w:rsidR="00092C37">
        <w:t>12</w:t>
      </w:r>
      <w:r w:rsidR="00BB198F" w:rsidRPr="00CA4465">
        <w:t xml:space="preserve">).  “We construe statutes to effect their essential purpose but will not disregard a statute’s clear language to pursue the spirit of the law.”  </w:t>
      </w:r>
      <w:r w:rsidR="00BB198F" w:rsidRPr="00CA4465">
        <w:rPr>
          <w:i/>
        </w:rPr>
        <w:t>Lee</w:t>
      </w:r>
      <w:r w:rsidR="002014B6">
        <w:rPr>
          <w:i/>
        </w:rPr>
        <w:t xml:space="preserve"> v. Fresenius Med. Care, Inc.</w:t>
      </w:r>
      <w:r w:rsidR="002014B6">
        <w:t>,</w:t>
      </w:r>
      <w:r w:rsidR="00BB198F" w:rsidRPr="00CA4465">
        <w:t xml:space="preserve"> 741 N.W.2d </w:t>
      </w:r>
      <w:r w:rsidR="002014B6">
        <w:t>117,</w:t>
      </w:r>
      <w:r w:rsidR="00BB198F" w:rsidRPr="00CA4465">
        <w:t xml:space="preserve"> 123</w:t>
      </w:r>
      <w:r w:rsidR="002014B6">
        <w:t xml:space="preserve"> (Minn. 2007)</w:t>
      </w:r>
      <w:r w:rsidR="00BB198F" w:rsidRPr="00CA4465">
        <w:t>.</w:t>
      </w:r>
    </w:p>
    <w:p w:rsidR="00773511" w:rsidRPr="00CA4465" w:rsidRDefault="00773511" w:rsidP="00840CBE">
      <w:pPr>
        <w:ind w:left="2160"/>
        <w:rPr>
          <w:strike/>
        </w:rPr>
      </w:pPr>
    </w:p>
    <w:p w:rsidR="00611E8A" w:rsidRPr="00CA4465" w:rsidRDefault="00611E8A" w:rsidP="00840CBE">
      <w:pPr>
        <w:ind w:left="2160"/>
      </w:pPr>
      <w:r w:rsidRPr="00CA4465">
        <w:t xml:space="preserve">“Application of a statute to the undisputed facts of a case involves a question of law, and the district court's decision is not binding on this court.”  </w:t>
      </w:r>
      <w:r w:rsidRPr="00CA4465">
        <w:rPr>
          <w:i/>
        </w:rPr>
        <w:t>Davies v. W</w:t>
      </w:r>
      <w:r w:rsidR="004B4743" w:rsidRPr="00CA4465">
        <w:rPr>
          <w:i/>
        </w:rPr>
        <w:t>.</w:t>
      </w:r>
      <w:r w:rsidRPr="00CA4465">
        <w:rPr>
          <w:i/>
        </w:rPr>
        <w:t xml:space="preserve"> Publ</w:t>
      </w:r>
      <w:r w:rsidR="004B4743" w:rsidRPr="00CA4465">
        <w:rPr>
          <w:i/>
        </w:rPr>
        <w:t>’g</w:t>
      </w:r>
      <w:r w:rsidRPr="00CA4465">
        <w:rPr>
          <w:i/>
        </w:rPr>
        <w:t xml:space="preserve"> Co.</w:t>
      </w:r>
      <w:r w:rsidRPr="00CA4465">
        <w:t xml:space="preserve">, 622 N.W.2d 836, 841 (Minn. App. 2001) (citing </w:t>
      </w:r>
      <w:r w:rsidRPr="00CA4465">
        <w:rPr>
          <w:i/>
        </w:rPr>
        <w:t>Lefto v. Hoggsbreath Enters., Inc.</w:t>
      </w:r>
      <w:r w:rsidRPr="00CA4465">
        <w:t>, 581 N.W.2d 855, 856 (Minn. 1998))</w:t>
      </w:r>
      <w:r w:rsidR="00823329" w:rsidRPr="00CA4465">
        <w:t xml:space="preserve">, </w:t>
      </w:r>
      <w:r w:rsidR="00823329" w:rsidRPr="00CA4465">
        <w:rPr>
          <w:i/>
        </w:rPr>
        <w:t>review denied</w:t>
      </w:r>
      <w:r w:rsidR="00823329" w:rsidRPr="00CA4465">
        <w:t xml:space="preserve"> (Minn. May 29, 2001)</w:t>
      </w:r>
      <w:r w:rsidRPr="00CA4465">
        <w:t>.</w:t>
      </w:r>
    </w:p>
    <w:p w:rsidR="00611E8A" w:rsidRPr="00CA4465" w:rsidRDefault="00611E8A" w:rsidP="00840CBE">
      <w:pPr>
        <w:ind w:left="2160"/>
      </w:pPr>
    </w:p>
    <w:p w:rsidR="00611E8A" w:rsidRPr="00CA4465" w:rsidRDefault="00D63A8C" w:rsidP="00840CBE">
      <w:pPr>
        <w:ind w:left="2160"/>
      </w:pPr>
      <w:r>
        <w:t>“When the district court grants a summary judgment based on its application of statutory language to the undisputed facts of a case, . . . its conclusion is one of law and our review is de novo.”</w:t>
      </w:r>
      <w:r w:rsidR="00611E8A" w:rsidRPr="00CA4465">
        <w:t xml:space="preserve">  </w:t>
      </w:r>
      <w:r w:rsidR="00611E8A" w:rsidRPr="00CA4465">
        <w:rPr>
          <w:i/>
          <w:iCs/>
        </w:rPr>
        <w:t>Lefto v. Hoggsbreath Enters., Inc.</w:t>
      </w:r>
      <w:r w:rsidR="00611E8A" w:rsidRPr="00CA4465">
        <w:t>, 581 N.W.2d 855, 856 (Minn. 1998).</w:t>
      </w:r>
    </w:p>
    <w:p w:rsidR="00611E8A" w:rsidRPr="00CA4465" w:rsidRDefault="00611E8A" w:rsidP="00840CBE">
      <w:pPr>
        <w:ind w:left="2160"/>
      </w:pPr>
    </w:p>
    <w:p w:rsidR="00183968" w:rsidRDefault="00BB198F" w:rsidP="00840CBE">
      <w:pPr>
        <w:ind w:left="2160"/>
      </w:pPr>
      <w:r w:rsidRPr="00CA4465">
        <w:t xml:space="preserve">“The application of statutes, administrative regulations, and local ordinances to undisputed facts is a legal conclusion and is reviewed de novo.”  </w:t>
      </w:r>
      <w:r w:rsidRPr="00CA4465">
        <w:rPr>
          <w:i/>
        </w:rPr>
        <w:t>City of Morris v. Sax Invs</w:t>
      </w:r>
      <w:r w:rsidR="00530B36" w:rsidRPr="00CA4465">
        <w:rPr>
          <w:i/>
        </w:rPr>
        <w:t>.</w:t>
      </w:r>
      <w:r w:rsidRPr="00CA4465">
        <w:rPr>
          <w:i/>
        </w:rPr>
        <w:t>, Inc.</w:t>
      </w:r>
      <w:r w:rsidRPr="00CA4465">
        <w:t>, 749 N.W.2d 1, 5 (Minn. 2008).</w:t>
      </w:r>
    </w:p>
    <w:p w:rsidR="00D8252F" w:rsidRDefault="00D8252F" w:rsidP="00840CBE">
      <w:pPr>
        <w:ind w:left="2160"/>
      </w:pPr>
    </w:p>
    <w:p w:rsidR="00D8252F" w:rsidRPr="00CA4465" w:rsidRDefault="00D8252F" w:rsidP="00D8252F">
      <w:pPr>
        <w:ind w:left="2160"/>
        <w:rPr>
          <w:b/>
        </w:rPr>
      </w:pPr>
      <w:r w:rsidRPr="00CA4465">
        <w:t xml:space="preserve">“Our goal when interpreting statutory provisions is to ascertain and effectuate the intention of the legislature.  If the meaning of a statute is unambiguous, we interpret the statute’s text according to its plain language.  </w:t>
      </w:r>
      <w:r w:rsidRPr="00D63A8C">
        <w:rPr>
          <w:sz w:val="26"/>
          <w:szCs w:val="26"/>
        </w:rPr>
        <w:t xml:space="preserve">If </w:t>
      </w:r>
      <w:r w:rsidRPr="00CA4465">
        <w:t xml:space="preserve">a statute is ambiguous, we apply other cannons of construction to discern the legislature’s intent.”  </w:t>
      </w:r>
      <w:r w:rsidRPr="00CA4465">
        <w:rPr>
          <w:i/>
        </w:rPr>
        <w:t>Brua v. Minn. Joint Underwriting Ass’n</w:t>
      </w:r>
      <w:r w:rsidRPr="00CA4465">
        <w:t>, 778 N.W.2d 2</w:t>
      </w:r>
      <w:r>
        <w:t>94, 300 (Minn. 2010) (quotation</w:t>
      </w:r>
      <w:r w:rsidRPr="00CA4465">
        <w:t xml:space="preserve"> and citations omitted).</w:t>
      </w:r>
    </w:p>
    <w:p w:rsidR="00D8252F" w:rsidRDefault="00D8252F" w:rsidP="00D8252F">
      <w:pPr>
        <w:ind w:left="2160"/>
      </w:pPr>
      <w:r w:rsidRPr="00CA4465">
        <w:lastRenderedPageBreak/>
        <w:tab/>
      </w:r>
      <w:r w:rsidRPr="00CA4465">
        <w:tab/>
      </w:r>
      <w:r w:rsidRPr="00CA4465">
        <w:tab/>
      </w:r>
      <w:r w:rsidRPr="00CA4465">
        <w:tab/>
      </w:r>
    </w:p>
    <w:p w:rsidR="00D8252F" w:rsidRPr="00CA4465" w:rsidRDefault="00D8252F" w:rsidP="00D8252F">
      <w:pPr>
        <w:ind w:left="2160"/>
      </w:pPr>
      <w:r w:rsidRPr="00CA4465">
        <w:t xml:space="preserve">“When interpreting a statute, we first look to see whether the statute’s language, on its face, is clear or ambiguous.  A statute is only ambiguous when the language therein is subject to more than one reasonable interpretation.”  </w:t>
      </w:r>
      <w:r w:rsidRPr="00CA4465">
        <w:rPr>
          <w:i/>
          <w:iCs/>
        </w:rPr>
        <w:t>Am. Family Ins. Grp. v. Schroedl</w:t>
      </w:r>
      <w:r w:rsidRPr="00CA4465">
        <w:t>, 616 N.W.2d 273, 277 (Minn. 2000) (quotation</w:t>
      </w:r>
      <w:r>
        <w:t xml:space="preserve"> </w:t>
      </w:r>
      <w:r w:rsidRPr="00CA4465">
        <w:t xml:space="preserve">and citation omitted).  </w:t>
      </w:r>
    </w:p>
    <w:p w:rsidR="00D8252F" w:rsidRPr="00CA4465" w:rsidRDefault="00D8252F" w:rsidP="00D8252F">
      <w:pPr>
        <w:ind w:left="2160"/>
      </w:pPr>
    </w:p>
    <w:p w:rsidR="00D8252F" w:rsidRPr="00CA4465" w:rsidRDefault="00D8252F" w:rsidP="00D8252F">
      <w:pPr>
        <w:ind w:left="2160"/>
      </w:pPr>
      <w:r w:rsidRPr="00CA4465">
        <w:t xml:space="preserve">“A statute should be interpreted, whenever possible, to give effect to all of its provisions; ‘no word, phrase, or sentence should be deemed superfluous, void, or insignificant.’”  </w:t>
      </w:r>
      <w:r w:rsidRPr="00CA4465">
        <w:rPr>
          <w:i/>
          <w:iCs/>
        </w:rPr>
        <w:t>Am. Family Ins. Grp. v. Schroedl</w:t>
      </w:r>
      <w:r w:rsidRPr="00CA4465">
        <w:t xml:space="preserve">, 616 N.W.2d 273, 277 (Minn. 2000) (quoting </w:t>
      </w:r>
      <w:r w:rsidRPr="00CA4465">
        <w:rPr>
          <w:i/>
        </w:rPr>
        <w:t>Amaral v. St. Cloud Hosp.</w:t>
      </w:r>
      <w:r w:rsidRPr="00CA4465">
        <w:t>, 598 N.W.2d 379, 384 (Minn. 1999)).  “</w:t>
      </w:r>
      <w:r>
        <w:t>W</w:t>
      </w:r>
      <w:r w:rsidRPr="00CA4465">
        <w:t xml:space="preserve">e are to read and construe a statute as a whole and must interpret each section in light of the surrounding sections to avoid conflicting interpretations.”  </w:t>
      </w:r>
      <w:r w:rsidRPr="00CA4465">
        <w:rPr>
          <w:i/>
        </w:rPr>
        <w:t>Id</w:t>
      </w:r>
      <w:r w:rsidRPr="00CA4465">
        <w:t xml:space="preserve">. </w:t>
      </w:r>
    </w:p>
    <w:p w:rsidR="00D8252F" w:rsidRDefault="00D8252F" w:rsidP="00D8252F">
      <w:pPr>
        <w:ind w:left="2160"/>
      </w:pPr>
    </w:p>
    <w:p w:rsidR="00355397" w:rsidRDefault="00355397" w:rsidP="00355397">
      <w:pPr>
        <w:ind w:left="2160"/>
      </w:pPr>
      <w:r>
        <w:t xml:space="preserve">“Interpretation of a statute presents a question of law, which we review de novo.”  </w:t>
      </w:r>
      <w:r>
        <w:rPr>
          <w:i/>
        </w:rPr>
        <w:t>Swenson v. Nickaboine</w:t>
      </w:r>
      <w:r>
        <w:t>, 793 N.W.2d 738, 741 (Minn. 2011).</w:t>
      </w:r>
    </w:p>
    <w:p w:rsidR="00355397" w:rsidRPr="00CA4465" w:rsidRDefault="00355397" w:rsidP="00D8252F">
      <w:pPr>
        <w:ind w:left="2160"/>
      </w:pPr>
    </w:p>
    <w:p w:rsidR="00D8252F" w:rsidRDefault="00D8252F" w:rsidP="00D8252F">
      <w:pPr>
        <w:ind w:left="2160"/>
      </w:pPr>
      <w:r>
        <w:rPr>
          <w:i/>
          <w:iCs/>
        </w:rPr>
        <w:t>S</w:t>
      </w:r>
      <w:r w:rsidRPr="00CA4465">
        <w:rPr>
          <w:i/>
          <w:iCs/>
        </w:rPr>
        <w:t>ee also</w:t>
      </w:r>
      <w:r w:rsidRPr="00CA4465">
        <w:t xml:space="preserve"> Minn. Stat. §§ 645.01-.51 (20</w:t>
      </w:r>
      <w:r w:rsidR="00092C37">
        <w:t>12</w:t>
      </w:r>
      <w:r w:rsidR="007770EF">
        <w:t xml:space="preserve"> &amp; Supp. 2013</w:t>
      </w:r>
      <w:r>
        <w:t>)</w:t>
      </w:r>
      <w:r w:rsidRPr="00CA4465">
        <w:t xml:space="preserve"> (involving interpretation of statutes).</w:t>
      </w:r>
    </w:p>
    <w:p w:rsidR="00611E8A" w:rsidRPr="00A730CD" w:rsidRDefault="00611E8A" w:rsidP="006921A4">
      <w:pPr>
        <w:pStyle w:val="Heading5"/>
      </w:pPr>
      <w:bookmarkStart w:id="31" w:name="_Toc395604440"/>
      <w:r w:rsidRPr="00A730CD">
        <w:t>(3)</w:t>
      </w:r>
      <w:r w:rsidRPr="00A730CD">
        <w:tab/>
      </w:r>
      <w:r w:rsidR="00DD5CE8" w:rsidRPr="00A730CD">
        <w:t>Statutes of Limitations/Repose</w:t>
      </w:r>
      <w:bookmarkEnd w:id="31"/>
    </w:p>
    <w:p w:rsidR="00DD5CE8" w:rsidRDefault="00DD5CE8" w:rsidP="00DD5CE8">
      <w:pPr>
        <w:ind w:left="2160"/>
      </w:pPr>
      <w:r w:rsidRPr="00A730CD">
        <w:t xml:space="preserve">“We review de novo the construction and application of a statute of limitations, including the law governing the accrual of a cause of action.”  </w:t>
      </w:r>
      <w:r w:rsidRPr="00A730CD">
        <w:rPr>
          <w:i/>
        </w:rPr>
        <w:t>Sipe v. STS Mfg, Inc.</w:t>
      </w:r>
      <w:r w:rsidRPr="00A730CD">
        <w:t xml:space="preserve">, </w:t>
      </w:r>
      <w:r w:rsidR="00082F60">
        <w:t>834</w:t>
      </w:r>
      <w:r w:rsidR="00B654FD" w:rsidRPr="00A730CD">
        <w:t xml:space="preserve"> N.W.2d </w:t>
      </w:r>
      <w:r w:rsidR="00082F60">
        <w:t xml:space="preserve">683, 686 </w:t>
      </w:r>
      <w:r w:rsidRPr="00A730CD">
        <w:t>(Minn. 2013)</w:t>
      </w:r>
      <w:r w:rsidR="00B654FD" w:rsidRPr="00A730CD">
        <w:t xml:space="preserve"> (quotation omitted)</w:t>
      </w:r>
      <w:r w:rsidRPr="00A730CD">
        <w:t>.</w:t>
      </w:r>
      <w:r w:rsidRPr="00CA4465">
        <w:t xml:space="preserve"> </w:t>
      </w:r>
    </w:p>
    <w:p w:rsidR="00DD5CE8" w:rsidRDefault="00DD5CE8" w:rsidP="00DD5CE8">
      <w:pPr>
        <w:ind w:left="2160"/>
      </w:pPr>
    </w:p>
    <w:p w:rsidR="00D8252F" w:rsidRDefault="00D8252F" w:rsidP="00DD5CE8">
      <w:pPr>
        <w:ind w:left="2160"/>
      </w:pPr>
      <w:r w:rsidRPr="00CA4465">
        <w:t xml:space="preserve">“[T]he construction and applicability of a statute of limitation or repose is a question of law subject to de novo review.”  </w:t>
      </w:r>
      <w:r w:rsidRPr="00CA4465">
        <w:rPr>
          <w:i/>
        </w:rPr>
        <w:t>State Farm Fire &amp; Cas. v. Aquila Inc.</w:t>
      </w:r>
      <w:r w:rsidRPr="00CA4465">
        <w:t>, 718 N.W.2d 879, 883 (Minn. 2006).</w:t>
      </w:r>
    </w:p>
    <w:p w:rsidR="007074B6" w:rsidRDefault="00D436BB" w:rsidP="00300AEE">
      <w:pPr>
        <w:pStyle w:val="Heading4"/>
      </w:pPr>
      <w:bookmarkStart w:id="32" w:name="_Toc395604441"/>
      <w:bookmarkStart w:id="33" w:name="_Toc48979512"/>
      <w:r>
        <w:t>b.</w:t>
      </w:r>
      <w:r>
        <w:tab/>
        <w:t>Rules of Procedure</w:t>
      </w:r>
      <w:bookmarkEnd w:id="32"/>
    </w:p>
    <w:p w:rsidR="007074B6" w:rsidRDefault="007074B6" w:rsidP="00326EF4">
      <w:pPr>
        <w:ind w:left="1440"/>
      </w:pPr>
      <w:r w:rsidRPr="00A730CD">
        <w:t xml:space="preserve">“Construction and application of the Minnesota Rules of Civil Procedure is . . . a question of law that we review de novo.”  </w:t>
      </w:r>
      <w:r w:rsidRPr="00A730CD">
        <w:rPr>
          <w:i/>
        </w:rPr>
        <w:t>Eclipse Architectural Grp. v. Lam</w:t>
      </w:r>
      <w:r w:rsidRPr="00A730CD">
        <w:t xml:space="preserve">, </w:t>
      </w:r>
      <w:r w:rsidR="00C5567F" w:rsidRPr="00A730CD">
        <w:t>814 N.W.2d 692, 696</w:t>
      </w:r>
      <w:r w:rsidRPr="00A730CD">
        <w:t xml:space="preserve"> (Minn. 2012).</w:t>
      </w:r>
      <w:r>
        <w:t xml:space="preserve">  </w:t>
      </w:r>
    </w:p>
    <w:p w:rsidR="007074B6" w:rsidRDefault="007074B6" w:rsidP="00326EF4">
      <w:pPr>
        <w:ind w:left="1440"/>
      </w:pPr>
    </w:p>
    <w:p w:rsidR="007074B6" w:rsidRPr="007074B6" w:rsidRDefault="007074B6" w:rsidP="00326EF4">
      <w:pPr>
        <w:ind w:left="1440"/>
      </w:pPr>
      <w:r>
        <w:t xml:space="preserve">“We review the interpretation of procedural rules de novo.”  </w:t>
      </w:r>
      <w:r>
        <w:rPr>
          <w:i/>
        </w:rPr>
        <w:t>State v. Martinez-Mendoza</w:t>
      </w:r>
      <w:r>
        <w:t xml:space="preserve">, 804 N.W.2d 1, 6 (Minn. 2011); </w:t>
      </w:r>
      <w:r>
        <w:rPr>
          <w:i/>
        </w:rPr>
        <w:t>see also</w:t>
      </w:r>
      <w:r>
        <w:t xml:space="preserve"> </w:t>
      </w:r>
      <w:r>
        <w:rPr>
          <w:i/>
        </w:rPr>
        <w:t>Johnson v. State</w:t>
      </w:r>
      <w:r>
        <w:t xml:space="preserve">, 801 N.W.2d 176, 176 (Minn. 2011) (citing </w:t>
      </w:r>
      <w:r w:rsidRPr="007074B6">
        <w:rPr>
          <w:i/>
        </w:rPr>
        <w:t>State v. Rourke</w:t>
      </w:r>
      <w:r>
        <w:t>, 773 N.W.2d 913, 923 (Minn. 2009)).</w:t>
      </w:r>
    </w:p>
    <w:p w:rsidR="00611E8A" w:rsidRPr="00CA4465" w:rsidRDefault="00D436BB" w:rsidP="00300AEE">
      <w:pPr>
        <w:pStyle w:val="Heading4"/>
      </w:pPr>
      <w:bookmarkStart w:id="34" w:name="_Toc395604442"/>
      <w:r>
        <w:lastRenderedPageBreak/>
        <w:t>c</w:t>
      </w:r>
      <w:r w:rsidR="00611E8A" w:rsidRPr="00CA4465">
        <w:t>.</w:t>
      </w:r>
      <w:r w:rsidR="00611E8A" w:rsidRPr="00CA4465">
        <w:tab/>
        <w:t>Municipal Ordinances</w:t>
      </w:r>
      <w:bookmarkEnd w:id="33"/>
      <w:bookmarkEnd w:id="34"/>
    </w:p>
    <w:p w:rsidR="00611E8A" w:rsidRPr="00D20BD8" w:rsidRDefault="00611E8A" w:rsidP="006921A4">
      <w:pPr>
        <w:pStyle w:val="Heading5"/>
      </w:pPr>
      <w:bookmarkStart w:id="35" w:name="_Toc395604443"/>
      <w:r w:rsidRPr="00CA4465">
        <w:t>(1)</w:t>
      </w:r>
      <w:r w:rsidRPr="00CA4465">
        <w:tab/>
        <w:t>Constitutionality/Reasonableness of an Ordinance</w:t>
      </w:r>
      <w:bookmarkEnd w:id="35"/>
    </w:p>
    <w:p w:rsidR="00354B19" w:rsidRDefault="00354B19" w:rsidP="00326EF4">
      <w:pPr>
        <w:ind w:left="2160"/>
      </w:pPr>
      <w:r>
        <w:t xml:space="preserve">A municipal charter or ordinance is presumed to be constitutional; the burden of proving that it is not is on the party challenging it.  </w:t>
      </w:r>
      <w:r>
        <w:rPr>
          <w:i/>
        </w:rPr>
        <w:t>Minn</w:t>
      </w:r>
      <w:r w:rsidR="00CD28E2">
        <w:rPr>
          <w:i/>
        </w:rPr>
        <w:t xml:space="preserve">. </w:t>
      </w:r>
      <w:r>
        <w:rPr>
          <w:i/>
        </w:rPr>
        <w:t>Voters Alliance v. City of Minneapolis</w:t>
      </w:r>
      <w:r>
        <w:t>, 766 N.W.2d 683, 688 (Minn. 2009).</w:t>
      </w:r>
    </w:p>
    <w:p w:rsidR="00354B19" w:rsidRDefault="00354B19" w:rsidP="00326EF4">
      <w:pPr>
        <w:ind w:left="2160"/>
      </w:pPr>
    </w:p>
    <w:p w:rsidR="00354B19" w:rsidRDefault="00354B19" w:rsidP="00326EF4">
      <w:pPr>
        <w:ind w:left="2160"/>
      </w:pPr>
      <w:r>
        <w:t xml:space="preserve">“A municipal ordinance is presumed constitutional; the burden is on the party attacking the ordinance’s validity to prove an ordinance is unreasonable or that the requisite public interest is not involved, and consequently that the ordinance does not come within the police power of the city.”  </w:t>
      </w:r>
      <w:r>
        <w:rPr>
          <w:i/>
        </w:rPr>
        <w:t>N. States Power Co. v. City of Oakdale</w:t>
      </w:r>
      <w:r>
        <w:t xml:space="preserve">, 588 N.W.2d 534, 541 (Minn. App. 1999) (citing </w:t>
      </w:r>
      <w:r>
        <w:rPr>
          <w:i/>
        </w:rPr>
        <w:t>City of St. Paul v. Dalsin</w:t>
      </w:r>
      <w:r>
        <w:t>, 245 Minn. 325, 329, 71 N.W.2d 855, 858 (1955)).</w:t>
      </w:r>
    </w:p>
    <w:p w:rsidR="00354B19" w:rsidRDefault="00354B19" w:rsidP="006A4E16">
      <w:pPr>
        <w:ind w:left="1980" w:hanging="1980"/>
      </w:pPr>
    </w:p>
    <w:p w:rsidR="00611E8A" w:rsidRDefault="00354B19" w:rsidP="00326EF4">
      <w:pPr>
        <w:ind w:left="2160"/>
      </w:pPr>
      <w:r>
        <w:t xml:space="preserve">“To prove an ordinance is unreasonable, a complaining party must show that it has no substantial relationship to the public health, safety, morals or general welfare.”  </w:t>
      </w:r>
      <w:r>
        <w:rPr>
          <w:i/>
        </w:rPr>
        <w:t>N. States Power Co. v. City of Oakdale</w:t>
      </w:r>
      <w:r>
        <w:t>, 588 N.W.2d 534, 541 (Minn. App. 1999)</w:t>
      </w:r>
      <w:r w:rsidR="00CD28E2">
        <w:t xml:space="preserve"> (quotation omitted)</w:t>
      </w:r>
      <w:r>
        <w:t>.</w:t>
      </w:r>
      <w:r w:rsidR="00611E8A" w:rsidRPr="00CA4465">
        <w:t xml:space="preserve"> </w:t>
      </w:r>
    </w:p>
    <w:p w:rsidR="00CD28E2" w:rsidRPr="00CA4465" w:rsidRDefault="00CD28E2" w:rsidP="00326EF4">
      <w:pPr>
        <w:ind w:left="2160"/>
      </w:pPr>
    </w:p>
    <w:p w:rsidR="00611E8A" w:rsidRPr="00CA4465" w:rsidRDefault="00611E8A" w:rsidP="00D20BD8">
      <w:pPr>
        <w:ind w:left="2160"/>
      </w:pPr>
      <w:r w:rsidRPr="00CA4465">
        <w:t xml:space="preserve">“[I]f the ‘reasonableness of an ordinance is debatable, courts will not interfere with the legislative discretion.’”  </w:t>
      </w:r>
      <w:r w:rsidRPr="00CA4465">
        <w:rPr>
          <w:i/>
          <w:iCs/>
        </w:rPr>
        <w:t>State v. Hyland</w:t>
      </w:r>
      <w:r w:rsidRPr="00CA4465">
        <w:t xml:space="preserve">, 431 N.W.2d 868, 872 (Minn. App. 1988) (quoting </w:t>
      </w:r>
      <w:r w:rsidRPr="00CA4465">
        <w:rPr>
          <w:i/>
          <w:iCs/>
        </w:rPr>
        <w:t>State v. Modern Box Makers, Inc.</w:t>
      </w:r>
      <w:r w:rsidRPr="00CA4465">
        <w:t>, 217 Minn. 41, 47, 13 N.W.2d 731, 734 (1944)).</w:t>
      </w:r>
    </w:p>
    <w:p w:rsidR="00611E8A" w:rsidRPr="00D20BD8" w:rsidRDefault="00611E8A" w:rsidP="006921A4">
      <w:pPr>
        <w:pStyle w:val="Heading5"/>
      </w:pPr>
      <w:bookmarkStart w:id="36" w:name="_Toc395604444"/>
      <w:r w:rsidRPr="00CA4465">
        <w:t>(2)</w:t>
      </w:r>
      <w:r w:rsidRPr="00CA4465">
        <w:tab/>
        <w:t>Interpretation of Municipal Ordinances</w:t>
      </w:r>
      <w:bookmarkEnd w:id="36"/>
    </w:p>
    <w:p w:rsidR="00611E8A" w:rsidRPr="00CA4465" w:rsidRDefault="00611E8A" w:rsidP="00326EF4">
      <w:pPr>
        <w:keepNext/>
        <w:ind w:left="2160" w:hanging="7"/>
      </w:pPr>
      <w:r w:rsidRPr="00CA4465">
        <w:t xml:space="preserve">“The interpretation of an ordinance is a question of law for the court, which we review de novo.”  </w:t>
      </w:r>
      <w:r w:rsidRPr="00CA4465">
        <w:rPr>
          <w:i/>
        </w:rPr>
        <w:t xml:space="preserve">Eagle Lake of Becker </w:t>
      </w:r>
      <w:r w:rsidR="00DC7EC2" w:rsidRPr="00CA4465">
        <w:rPr>
          <w:i/>
        </w:rPr>
        <w:t>Cnty.</w:t>
      </w:r>
      <w:r w:rsidRPr="00CA4465">
        <w:rPr>
          <w:i/>
        </w:rPr>
        <w:t xml:space="preserve"> Lake Ass</w:t>
      </w:r>
      <w:r w:rsidR="0056538A" w:rsidRPr="00CA4465">
        <w:rPr>
          <w:i/>
        </w:rPr>
        <w:t>’</w:t>
      </w:r>
      <w:r w:rsidRPr="00CA4465">
        <w:rPr>
          <w:i/>
        </w:rPr>
        <w:t xml:space="preserve">n v. Becker </w:t>
      </w:r>
      <w:r w:rsidR="00DC7EC2" w:rsidRPr="00CA4465">
        <w:rPr>
          <w:i/>
        </w:rPr>
        <w:t>Cnty.</w:t>
      </w:r>
      <w:r w:rsidRPr="00CA4465">
        <w:rPr>
          <w:i/>
        </w:rPr>
        <w:t xml:space="preserve"> Bd. of Com</w:t>
      </w:r>
      <w:r w:rsidR="00EC34AF" w:rsidRPr="00CA4465">
        <w:rPr>
          <w:i/>
        </w:rPr>
        <w:t>m</w:t>
      </w:r>
      <w:r w:rsidR="0056538A" w:rsidRPr="00CA4465">
        <w:rPr>
          <w:i/>
        </w:rPr>
        <w:t>’</w:t>
      </w:r>
      <w:r w:rsidRPr="00CA4465">
        <w:rPr>
          <w:i/>
        </w:rPr>
        <w:t>rs</w:t>
      </w:r>
      <w:r w:rsidRPr="00CA4465">
        <w:t>, 738 N.W.2d 788, 792 (Minn. App. 2007)</w:t>
      </w:r>
      <w:r w:rsidR="0056538A" w:rsidRPr="00CA4465">
        <w:t xml:space="preserve"> (citing </w:t>
      </w:r>
      <w:r w:rsidR="0056538A" w:rsidRPr="00CA4465">
        <w:rPr>
          <w:i/>
        </w:rPr>
        <w:t>Billy Graham Evangelistic Ass’n v. City of Minneapolis</w:t>
      </w:r>
      <w:r w:rsidR="0056538A" w:rsidRPr="00CA4465">
        <w:t>, 667 N.W.2d 117, 122 (Minn. 2003</w:t>
      </w:r>
      <w:r w:rsidR="009A5C37" w:rsidRPr="00CA4465">
        <w:t>)</w:t>
      </w:r>
      <w:r w:rsidR="0056538A" w:rsidRPr="00CA4465">
        <w:t>).</w:t>
      </w:r>
      <w:r w:rsidRPr="00CA4465">
        <w:t xml:space="preserve">  </w:t>
      </w:r>
    </w:p>
    <w:p w:rsidR="00611E8A" w:rsidRPr="00CA4465" w:rsidRDefault="00611E8A" w:rsidP="00326EF4">
      <w:pPr>
        <w:ind w:left="2160" w:hanging="7"/>
      </w:pPr>
    </w:p>
    <w:p w:rsidR="00611E8A" w:rsidRPr="00CA4465" w:rsidRDefault="00326EF4" w:rsidP="008E2C37">
      <w:pPr>
        <w:ind w:left="2160" w:hanging="7"/>
      </w:pPr>
      <w:r>
        <w:tab/>
      </w:r>
      <w:r w:rsidR="00773511" w:rsidRPr="00CA4465">
        <w:t>“Where</w:t>
      </w:r>
      <w:r w:rsidR="00CD28E2">
        <w:t xml:space="preserve"> . . . </w:t>
      </w:r>
      <w:r w:rsidR="00773511" w:rsidRPr="00CA4465">
        <w:t xml:space="preserve">the parties agree that there are no material issues of fact, this court first conducts a de novo determination of whether the district court has correctly interpreted the ordinance, giving only slight consideration to the interpretation by the governmental authority.”  </w:t>
      </w:r>
      <w:r w:rsidR="00773511" w:rsidRPr="00CA4465">
        <w:rPr>
          <w:i/>
        </w:rPr>
        <w:t>R.L. Hexum &amp; Assocs., Inc. v. Rochester Twp.</w:t>
      </w:r>
      <w:r w:rsidR="004C5D72" w:rsidRPr="00CA4465">
        <w:rPr>
          <w:i/>
        </w:rPr>
        <w:t>,</w:t>
      </w:r>
      <w:r w:rsidR="00773511" w:rsidRPr="00CA4465">
        <w:rPr>
          <w:i/>
        </w:rPr>
        <w:t xml:space="preserve"> Bd. of Supervisors</w:t>
      </w:r>
      <w:r w:rsidR="00773511" w:rsidRPr="00CA4465">
        <w:t>, 609 N.W.2d 271, 274 (Minn. A</w:t>
      </w:r>
      <w:r w:rsidR="00CD28E2">
        <w:t>pp. 2000) (citation</w:t>
      </w:r>
      <w:r w:rsidR="00773511" w:rsidRPr="00CA4465">
        <w:t xml:space="preserve"> omitted).</w:t>
      </w:r>
    </w:p>
    <w:p w:rsidR="00611E8A" w:rsidRPr="008E2C37" w:rsidRDefault="00037B1E" w:rsidP="00300AEE">
      <w:pPr>
        <w:pStyle w:val="Heading4"/>
      </w:pPr>
      <w:bookmarkStart w:id="37" w:name="_Toc395604445"/>
      <w:bookmarkStart w:id="38" w:name="_Toc48979513"/>
      <w:r>
        <w:t>d</w:t>
      </w:r>
      <w:r w:rsidR="00611E8A" w:rsidRPr="00CA4465">
        <w:t>.</w:t>
      </w:r>
      <w:r w:rsidR="00611E8A" w:rsidRPr="00CA4465">
        <w:tab/>
        <w:t>Board of Adjustment Decisions/Municipalities</w:t>
      </w:r>
      <w:bookmarkEnd w:id="37"/>
    </w:p>
    <w:p w:rsidR="00611E8A" w:rsidRPr="008E2C37" w:rsidRDefault="00611E8A" w:rsidP="006921A4">
      <w:pPr>
        <w:pStyle w:val="Heading5"/>
      </w:pPr>
      <w:bookmarkStart w:id="39" w:name="_Toc395604446"/>
      <w:r w:rsidRPr="00CA4465">
        <w:t>(1)</w:t>
      </w:r>
      <w:r w:rsidRPr="00CA4465">
        <w:tab/>
        <w:t>Standard of Review</w:t>
      </w:r>
      <w:bookmarkEnd w:id="39"/>
    </w:p>
    <w:p w:rsidR="00C339D2" w:rsidRPr="00CA4465" w:rsidRDefault="00CD28E2" w:rsidP="008E2C37">
      <w:pPr>
        <w:ind w:left="2160"/>
      </w:pPr>
      <w:r>
        <w:t>“</w:t>
      </w:r>
      <w:r w:rsidR="00611E8A" w:rsidRPr="00CA4465">
        <w:t xml:space="preserve">The standard of review </w:t>
      </w:r>
      <w:r>
        <w:t xml:space="preserve">remains </w:t>
      </w:r>
      <w:r w:rsidR="00611E8A" w:rsidRPr="00CA4465">
        <w:t xml:space="preserve">whether on the evidence before it, the </w:t>
      </w:r>
      <w:r w:rsidR="004C5D72" w:rsidRPr="00CA4465">
        <w:t>[</w:t>
      </w:r>
      <w:r w:rsidR="00611E8A" w:rsidRPr="00CA4465">
        <w:t>B</w:t>
      </w:r>
      <w:r>
        <w:t>oard of Adjustment</w:t>
      </w:r>
      <w:r w:rsidR="004C5D72" w:rsidRPr="00CA4465">
        <w:t>]</w:t>
      </w:r>
      <w:r w:rsidR="00611E8A" w:rsidRPr="00CA4465">
        <w:t xml:space="preserve"> </w:t>
      </w:r>
      <w:r w:rsidR="004C5D72" w:rsidRPr="00CA4465">
        <w:t>reached</w:t>
      </w:r>
      <w:r w:rsidR="00611E8A" w:rsidRPr="00CA4465">
        <w:t xml:space="preserve"> a reasonable decision.</w:t>
      </w:r>
      <w:r w:rsidR="004C5D72" w:rsidRPr="00CA4465">
        <w:t>”</w:t>
      </w:r>
      <w:r w:rsidR="00611E8A" w:rsidRPr="00CA4465">
        <w:t xml:space="preserve">  </w:t>
      </w:r>
      <w:r w:rsidR="00611E8A" w:rsidRPr="00CA4465">
        <w:rPr>
          <w:i/>
        </w:rPr>
        <w:t xml:space="preserve">Town of Grant v. </w:t>
      </w:r>
      <w:r w:rsidR="00611E8A" w:rsidRPr="00CA4465">
        <w:rPr>
          <w:i/>
        </w:rPr>
        <w:lastRenderedPageBreak/>
        <w:t xml:space="preserve">Washington </w:t>
      </w:r>
      <w:r w:rsidR="00DC7EC2" w:rsidRPr="00CA4465">
        <w:rPr>
          <w:i/>
        </w:rPr>
        <w:t>Cnty.</w:t>
      </w:r>
      <w:r w:rsidR="00611E8A" w:rsidRPr="00CA4465">
        <w:t>, 319 N.W.2d 713, 717 (Minn. 1982)</w:t>
      </w:r>
      <w:r w:rsidR="00773511" w:rsidRPr="00CA4465">
        <w:t xml:space="preserve">.  </w:t>
      </w:r>
      <w:r>
        <w:t>“We are required to make an independent review of the Board’s decision.”</w:t>
      </w:r>
      <w:r w:rsidR="00611E8A" w:rsidRPr="00CA4465">
        <w:t xml:space="preserve">  </w:t>
      </w:r>
      <w:r w:rsidR="004C5D72" w:rsidRPr="00CA4465">
        <w:rPr>
          <w:i/>
        </w:rPr>
        <w:t>Id.</w:t>
      </w:r>
    </w:p>
    <w:p w:rsidR="00611E8A" w:rsidRPr="008E2C37" w:rsidRDefault="00611E8A" w:rsidP="006921A4">
      <w:pPr>
        <w:pStyle w:val="Heading5"/>
      </w:pPr>
      <w:bookmarkStart w:id="40" w:name="_Toc395604447"/>
      <w:r w:rsidRPr="00CA4465">
        <w:t>(2)</w:t>
      </w:r>
      <w:r w:rsidRPr="00CA4465">
        <w:tab/>
        <w:t>Scope of Review</w:t>
      </w:r>
      <w:bookmarkEnd w:id="40"/>
    </w:p>
    <w:p w:rsidR="00611E8A" w:rsidRPr="00CA4465" w:rsidRDefault="00611E8A" w:rsidP="008E2C37">
      <w:pPr>
        <w:ind w:left="2160"/>
      </w:pPr>
      <w:r w:rsidRPr="00CA4465">
        <w:t>A</w:t>
      </w:r>
      <w:r w:rsidR="00823329" w:rsidRPr="00CA4465">
        <w:t>n a</w:t>
      </w:r>
      <w:r w:rsidRPr="00CA4465">
        <w:t>ppellate court’</w:t>
      </w:r>
      <w:r w:rsidR="00823329" w:rsidRPr="00CA4465">
        <w:t>s</w:t>
      </w:r>
      <w:r w:rsidRPr="00CA4465">
        <w:t xml:space="preserve"> “authority to interfere in the management of municipal affairs is, and should be, limited and sparingly invoked.”  </w:t>
      </w:r>
      <w:r w:rsidRPr="00CA4465">
        <w:rPr>
          <w:i/>
        </w:rPr>
        <w:t>White Bear Docking &amp; Storage, Inc. v. City of White Bear Lake</w:t>
      </w:r>
      <w:r w:rsidRPr="00CA4465">
        <w:t>, 324 N.W.2d 174, 175 (Minn. 1982)</w:t>
      </w:r>
      <w:r w:rsidR="00354B19">
        <w:t xml:space="preserve">; </w:t>
      </w:r>
      <w:r w:rsidR="00354B19">
        <w:rPr>
          <w:i/>
        </w:rPr>
        <w:t>see Big Lake Ass’n v. St</w:t>
      </w:r>
      <w:r w:rsidR="00CD28E2">
        <w:rPr>
          <w:i/>
        </w:rPr>
        <w:t>.</w:t>
      </w:r>
      <w:r w:rsidR="00354B19">
        <w:rPr>
          <w:i/>
        </w:rPr>
        <w:t xml:space="preserve"> Louis Cnty. Planning Comm’n</w:t>
      </w:r>
      <w:r w:rsidR="00354B19">
        <w:t>, 761 N.W.2d 487, 491 (Minn. 2009)</w:t>
      </w:r>
      <w:r w:rsidR="00CD28E2">
        <w:t xml:space="preserve"> (“Our limited and deferential review of a quasi-judicial decision is rooted in separation of powers principles.”).</w:t>
      </w:r>
    </w:p>
    <w:p w:rsidR="00611E8A" w:rsidRPr="008E2C37" w:rsidRDefault="00037B1E" w:rsidP="00300AEE">
      <w:pPr>
        <w:pStyle w:val="Heading4"/>
      </w:pPr>
      <w:bookmarkStart w:id="41" w:name="_Toc395604448"/>
      <w:r>
        <w:t>e</w:t>
      </w:r>
      <w:r w:rsidR="00611E8A" w:rsidRPr="00CA4465">
        <w:t>.</w:t>
      </w:r>
      <w:r w:rsidR="00611E8A" w:rsidRPr="00CA4465">
        <w:tab/>
        <w:t>Attorney General Opinions</w:t>
      </w:r>
      <w:bookmarkEnd w:id="38"/>
      <w:bookmarkEnd w:id="41"/>
    </w:p>
    <w:p w:rsidR="002C3F1B" w:rsidRPr="00CA4465" w:rsidRDefault="00611E8A" w:rsidP="00AB02EA">
      <w:pPr>
        <w:ind w:left="1440"/>
      </w:pPr>
      <w:r w:rsidRPr="00CA4465">
        <w:t>“Opinions of the Attorney General are not binding on the courts</w:t>
      </w:r>
      <w:r w:rsidR="00CD28E2">
        <w:t xml:space="preserve"> . . . </w:t>
      </w:r>
      <w:r w:rsidRPr="00CA4465">
        <w:t xml:space="preserve">.” </w:t>
      </w:r>
      <w:r w:rsidRPr="00CA4465">
        <w:rPr>
          <w:i/>
        </w:rPr>
        <w:t xml:space="preserve"> Star Tribune Co. v. Bd. of Regents</w:t>
      </w:r>
      <w:r w:rsidRPr="00CA4465">
        <w:t>, 683 N.W.2d 274, 289 (Minn. 2004).  “</w:t>
      </w:r>
      <w:r w:rsidR="00CD28E2">
        <w:t xml:space="preserve">When appropriate, </w:t>
      </w:r>
      <w:r w:rsidRPr="00CA4465">
        <w:t xml:space="preserve">opinions of the </w:t>
      </w:r>
      <w:r w:rsidR="00CD28E2">
        <w:t>A</w:t>
      </w:r>
      <w:r w:rsidRPr="00CA4465">
        <w:t xml:space="preserve">ttorney </w:t>
      </w:r>
      <w:r w:rsidR="00CD28E2">
        <w:t>G</w:t>
      </w:r>
      <w:r w:rsidRPr="00CA4465">
        <w:t>eneral are entitled to careful consideration by appellate courts, particularly whe</w:t>
      </w:r>
      <w:r w:rsidR="00F157EE" w:rsidRPr="00CA4465">
        <w:t>re</w:t>
      </w:r>
      <w:r w:rsidRPr="00CA4465">
        <w:t xml:space="preserve"> </w:t>
      </w:r>
      <w:r w:rsidR="00F157EE" w:rsidRPr="00CA4465">
        <w:t xml:space="preserve">they </w:t>
      </w:r>
      <w:r w:rsidRPr="00CA4465">
        <w:t>are</w:t>
      </w:r>
      <w:r w:rsidR="00F157EE" w:rsidRPr="00CA4465">
        <w:t xml:space="preserve"> of</w:t>
      </w:r>
      <w:r w:rsidRPr="00CA4465">
        <w:t xml:space="preserve"> long standing.</w:t>
      </w:r>
      <w:r w:rsidR="00F157EE" w:rsidRPr="00CA4465">
        <w:t>”</w:t>
      </w:r>
      <w:r w:rsidRPr="00CA4465">
        <w:t xml:space="preserve">  </w:t>
      </w:r>
      <w:r w:rsidRPr="00CA4465">
        <w:rPr>
          <w:i/>
          <w:iCs/>
        </w:rPr>
        <w:t xml:space="preserve">Billigmeier v. </w:t>
      </w:r>
      <w:r w:rsidR="00DC7EC2" w:rsidRPr="00CA4465">
        <w:rPr>
          <w:i/>
          <w:iCs/>
        </w:rPr>
        <w:t>Cnty.</w:t>
      </w:r>
      <w:r w:rsidRPr="00CA4465">
        <w:rPr>
          <w:i/>
          <w:iCs/>
        </w:rPr>
        <w:t xml:space="preserve"> of Hennepin</w:t>
      </w:r>
      <w:r w:rsidRPr="00CA4465">
        <w:t>, 428 N.W.2d 79, 82 (Minn. 1988).</w:t>
      </w:r>
      <w:bookmarkStart w:id="42" w:name="_Toc48979514"/>
    </w:p>
    <w:p w:rsidR="00611E8A" w:rsidRPr="008E2C37" w:rsidRDefault="00037B1E" w:rsidP="00300AEE">
      <w:pPr>
        <w:pStyle w:val="Heading4"/>
      </w:pPr>
      <w:bookmarkStart w:id="43" w:name="_Toc395604449"/>
      <w:r>
        <w:t>f</w:t>
      </w:r>
      <w:r w:rsidR="00611E8A" w:rsidRPr="00CA4465">
        <w:t>.</w:t>
      </w:r>
      <w:r w:rsidR="00611E8A" w:rsidRPr="00CA4465">
        <w:tab/>
        <w:t>Contracts</w:t>
      </w:r>
      <w:bookmarkEnd w:id="42"/>
      <w:bookmarkEnd w:id="43"/>
    </w:p>
    <w:p w:rsidR="00611E8A" w:rsidRPr="008E2C37" w:rsidRDefault="00611E8A" w:rsidP="006921A4">
      <w:pPr>
        <w:pStyle w:val="Heading5"/>
      </w:pPr>
      <w:bookmarkStart w:id="44" w:name="_Toc48979515"/>
      <w:bookmarkStart w:id="45" w:name="_Toc395604450"/>
      <w:r w:rsidRPr="00CA4465">
        <w:t>(1)</w:t>
      </w:r>
      <w:r w:rsidRPr="00CA4465">
        <w:tab/>
        <w:t>In General</w:t>
      </w:r>
      <w:bookmarkEnd w:id="44"/>
      <w:bookmarkEnd w:id="45"/>
    </w:p>
    <w:p w:rsidR="00DC5EA7" w:rsidRPr="00CA4465" w:rsidRDefault="00611E8A" w:rsidP="00237887">
      <w:pPr>
        <w:ind w:left="2160"/>
      </w:pPr>
      <w:r w:rsidRPr="00CA4465">
        <w:t xml:space="preserve">“[T]he existence and terms of a contract are questions for the fact finder.” </w:t>
      </w:r>
      <w:r w:rsidRPr="00CA4465">
        <w:rPr>
          <w:i/>
        </w:rPr>
        <w:t>Morrisette v. Harrison Int’l Corp.</w:t>
      </w:r>
      <w:r w:rsidRPr="00CA4465">
        <w:t>, 486 N.W.2d 424, 427 (Minn. 1992).</w:t>
      </w:r>
      <w:r w:rsidR="00DC5EA7" w:rsidRPr="00CA4465">
        <w:rPr>
          <w:strike/>
        </w:rPr>
        <w:t xml:space="preserve"> </w:t>
      </w:r>
    </w:p>
    <w:p w:rsidR="00DC5EA7" w:rsidRPr="00CA4465" w:rsidRDefault="00DC5EA7" w:rsidP="00237887">
      <w:pPr>
        <w:ind w:left="2160"/>
      </w:pPr>
    </w:p>
    <w:p w:rsidR="00DC5EA7" w:rsidRPr="00354B19" w:rsidRDefault="00354B19" w:rsidP="00237887">
      <w:pPr>
        <w:ind w:left="2160"/>
      </w:pPr>
      <w:r>
        <w:t xml:space="preserve">“Absent ambiguity, the interpretation of a contract is a question of law.”  </w:t>
      </w:r>
      <w:r>
        <w:rPr>
          <w:i/>
        </w:rPr>
        <w:t>Roemhildt v. Kristall Dev., Inc.</w:t>
      </w:r>
      <w:r>
        <w:t xml:space="preserve">, </w:t>
      </w:r>
      <w:r w:rsidR="00F51BB9">
        <w:t>798</w:t>
      </w:r>
      <w:r>
        <w:t xml:space="preserve"> N.W.2d </w:t>
      </w:r>
      <w:r w:rsidR="00F51BB9">
        <w:t>371, 373</w:t>
      </w:r>
      <w:r>
        <w:t xml:space="preserve"> (Minn. App. 2011)</w:t>
      </w:r>
      <w:r w:rsidR="00F51BB9">
        <w:t xml:space="preserve">, </w:t>
      </w:r>
      <w:r w:rsidR="00F51BB9">
        <w:rPr>
          <w:i/>
        </w:rPr>
        <w:t>review denied</w:t>
      </w:r>
      <w:r w:rsidR="00F51BB9">
        <w:t xml:space="preserve"> (Minn. July 19, 2011)</w:t>
      </w:r>
      <w:r>
        <w:t>.</w:t>
      </w:r>
    </w:p>
    <w:p w:rsidR="00BB198F" w:rsidRPr="00CA4465" w:rsidRDefault="00DC5EA7" w:rsidP="00237887">
      <w:pPr>
        <w:ind w:left="2160"/>
      </w:pPr>
      <w:r w:rsidRPr="00CA4465">
        <w:tab/>
      </w:r>
      <w:r w:rsidRPr="00CA4465">
        <w:tab/>
      </w:r>
      <w:r w:rsidRPr="00CA4465">
        <w:tab/>
      </w:r>
      <w:r w:rsidRPr="00CA4465">
        <w:tab/>
      </w:r>
    </w:p>
    <w:p w:rsidR="00611E8A" w:rsidRPr="00CA4465" w:rsidRDefault="00BB198F" w:rsidP="008E2C37">
      <w:pPr>
        <w:ind w:left="2160"/>
      </w:pPr>
      <w:r w:rsidRPr="00CA4465">
        <w:t>“</w:t>
      </w:r>
      <w:r w:rsidR="00A41F69">
        <w:t xml:space="preserve">The plain and ordinary meaning of the contract language controls, unless the language is ambiguous.”  </w:t>
      </w:r>
      <w:r w:rsidR="00A41F69">
        <w:rPr>
          <w:i/>
        </w:rPr>
        <w:t>Bus</w:t>
      </w:r>
      <w:r w:rsidR="00F51BB9">
        <w:rPr>
          <w:i/>
        </w:rPr>
        <w:t xml:space="preserve">. </w:t>
      </w:r>
      <w:r w:rsidR="00A41F69">
        <w:rPr>
          <w:i/>
        </w:rPr>
        <w:t xml:space="preserve">Bank v. </w:t>
      </w:r>
      <w:r w:rsidR="00A41F69" w:rsidRPr="00A41F69">
        <w:rPr>
          <w:i/>
        </w:rPr>
        <w:t>Hanson</w:t>
      </w:r>
      <w:r w:rsidR="00A41F69">
        <w:t>, 769 N.W.2d 285, 288 (Minn. 2009).</w:t>
      </w:r>
    </w:p>
    <w:p w:rsidR="00611E8A" w:rsidRPr="008E2C37" w:rsidRDefault="00611E8A" w:rsidP="008E2C37">
      <w:pPr>
        <w:pStyle w:val="Heading6"/>
      </w:pPr>
      <w:bookmarkStart w:id="46" w:name="_Toc395604451"/>
      <w:r w:rsidRPr="008E3F76">
        <w:t>(a)</w:t>
      </w:r>
      <w:r w:rsidRPr="008E3F76">
        <w:tab/>
        <w:t>Ambiguous Contracts</w:t>
      </w:r>
      <w:bookmarkEnd w:id="46"/>
    </w:p>
    <w:p w:rsidR="00354B19" w:rsidRDefault="00354B19" w:rsidP="00237887">
      <w:pPr>
        <w:keepNext/>
        <w:ind w:left="2880"/>
      </w:pPr>
      <w:r w:rsidRPr="00CA4465">
        <w:t xml:space="preserve">“Whether a contract is ambiguous is a question of law that we review de novo.”  </w:t>
      </w:r>
      <w:r>
        <w:rPr>
          <w:i/>
        </w:rPr>
        <w:t>Dykes v. Sukup Mfg. Co.</w:t>
      </w:r>
      <w:r>
        <w:t xml:space="preserve">, 781 N.W.2d 578, 582 (Minn. 2010).  “The language of a contract is ambiguous if it is susceptible to two or more reasonable interpretations.”  </w:t>
      </w:r>
      <w:r>
        <w:rPr>
          <w:i/>
        </w:rPr>
        <w:t>Id.</w:t>
      </w:r>
    </w:p>
    <w:p w:rsidR="00A41F69" w:rsidRDefault="00A41F69" w:rsidP="00237887">
      <w:pPr>
        <w:ind w:left="2880"/>
      </w:pPr>
    </w:p>
    <w:p w:rsidR="00611E8A" w:rsidRPr="00CA4465" w:rsidRDefault="00A41F69" w:rsidP="008E2C37">
      <w:pPr>
        <w:ind w:left="2880"/>
      </w:pPr>
      <w:r>
        <w:t>“</w:t>
      </w:r>
      <w:r w:rsidR="00F51BB9">
        <w:t>[</w:t>
      </w:r>
      <w:r>
        <w:t>W</w:t>
      </w:r>
      <w:r w:rsidR="00F51BB9">
        <w:t>]</w:t>
      </w:r>
      <w:r>
        <w:t xml:space="preserve">here [contract] language is ambiguous, resort may be had to extrinsic evidence, and construction then becomes a question of fact for the jury, unless such evidence is conclusive.”  </w:t>
      </w:r>
      <w:r>
        <w:rPr>
          <w:i/>
        </w:rPr>
        <w:t>Bari v. Control Data Corp.</w:t>
      </w:r>
      <w:r>
        <w:t xml:space="preserve">, 439 </w:t>
      </w:r>
      <w:r w:rsidR="00F51BB9">
        <w:t xml:space="preserve">N.W.2d </w:t>
      </w:r>
      <w:r>
        <w:t xml:space="preserve">44, 47 (Minn. App. 1989), </w:t>
      </w:r>
      <w:r>
        <w:rPr>
          <w:i/>
        </w:rPr>
        <w:t>review denied</w:t>
      </w:r>
      <w:r>
        <w:t xml:space="preserve"> (Minn. July 12, 1989).</w:t>
      </w:r>
      <w:r w:rsidR="00354B19">
        <w:tab/>
      </w:r>
      <w:r w:rsidR="00354B19">
        <w:tab/>
      </w:r>
      <w:r w:rsidR="00354B19">
        <w:tab/>
      </w:r>
    </w:p>
    <w:p w:rsidR="00611E8A" w:rsidRPr="008E2C37" w:rsidRDefault="00611E8A" w:rsidP="008E2C37">
      <w:pPr>
        <w:pStyle w:val="Heading6"/>
      </w:pPr>
      <w:bookmarkStart w:id="47" w:name="_Toc395604452"/>
      <w:r w:rsidRPr="00CA4465">
        <w:lastRenderedPageBreak/>
        <w:t>(b)</w:t>
      </w:r>
      <w:r w:rsidRPr="00CA4465">
        <w:tab/>
        <w:t>Unambiguous Contracts</w:t>
      </w:r>
      <w:bookmarkEnd w:id="47"/>
    </w:p>
    <w:p w:rsidR="00A41F69" w:rsidRDefault="00A41F69" w:rsidP="00237887">
      <w:pPr>
        <w:ind w:left="2880"/>
      </w:pPr>
      <w:r>
        <w:t xml:space="preserve">“The determination of whether a contract is unambiguous depends on the meaning assigned to the words and phrases in accordance with the apparent purpose of the contract as a whole.”  </w:t>
      </w:r>
      <w:r>
        <w:rPr>
          <w:i/>
        </w:rPr>
        <w:t>Halla Nursery, Inc. v. City of Chanhassen</w:t>
      </w:r>
      <w:r>
        <w:t>, 781 N.W.2d 880, 884 (Minn. 2010).</w:t>
      </w:r>
    </w:p>
    <w:p w:rsidR="00A41F69" w:rsidRPr="00A41F69" w:rsidRDefault="00A41F69" w:rsidP="00237887">
      <w:pPr>
        <w:ind w:left="2880"/>
      </w:pPr>
    </w:p>
    <w:p w:rsidR="00A41F69" w:rsidRDefault="00DC5EA7" w:rsidP="00237887">
      <w:pPr>
        <w:ind w:left="2880"/>
      </w:pPr>
      <w:r w:rsidRPr="00CA4465">
        <w:t>“When the intent of the parties can be determined from the writing of the contract, the construction of the instrument is a question of law for the court to resolve</w:t>
      </w:r>
      <w:r w:rsidR="00F157EE" w:rsidRPr="00CA4465">
        <w:t>,</w:t>
      </w:r>
      <w:r w:rsidRPr="00CA4465">
        <w:t xml:space="preserve"> and this court need not defer to the district court’s findings.”  </w:t>
      </w:r>
      <w:r w:rsidRPr="00CA4465">
        <w:rPr>
          <w:i/>
        </w:rPr>
        <w:t>Alpha Real Estate Co. of Rochester v. Delta Dental Plan of M</w:t>
      </w:r>
      <w:r w:rsidR="00F157EE" w:rsidRPr="00CA4465">
        <w:rPr>
          <w:i/>
        </w:rPr>
        <w:t>inn.</w:t>
      </w:r>
      <w:r w:rsidRPr="00CA4465">
        <w:t>, 671 N.W.2d 213, 221 (Minn. App. 2003)</w:t>
      </w:r>
      <w:r w:rsidR="00F157EE" w:rsidRPr="00CA4465">
        <w:t xml:space="preserve"> (quotation omitted)</w:t>
      </w:r>
      <w:r w:rsidRPr="00CA4465">
        <w:t xml:space="preserve">, </w:t>
      </w:r>
      <w:r w:rsidRPr="00CA4465">
        <w:rPr>
          <w:i/>
        </w:rPr>
        <w:t>review denied</w:t>
      </w:r>
      <w:r w:rsidRPr="00CA4465">
        <w:t xml:space="preserve"> (Minn. Jan. 20, 20</w:t>
      </w:r>
      <w:r w:rsidR="00467710" w:rsidRPr="00CA4465">
        <w:t>0</w:t>
      </w:r>
      <w:r w:rsidRPr="00CA4465">
        <w:t>4)</w:t>
      </w:r>
      <w:r w:rsidR="00611E8A" w:rsidRPr="00CA4465">
        <w:t xml:space="preserve">. </w:t>
      </w:r>
    </w:p>
    <w:p w:rsidR="00611E8A" w:rsidRPr="008E2C37" w:rsidRDefault="00611E8A" w:rsidP="006921A4">
      <w:pPr>
        <w:pStyle w:val="Heading5"/>
      </w:pPr>
      <w:bookmarkStart w:id="48" w:name="_Toc395604453"/>
      <w:r w:rsidRPr="00CA4465">
        <w:t>(2)</w:t>
      </w:r>
      <w:r w:rsidRPr="00CA4465">
        <w:tab/>
        <w:t>Specific Types of Contracts</w:t>
      </w:r>
      <w:bookmarkEnd w:id="48"/>
    </w:p>
    <w:p w:rsidR="00611E8A" w:rsidRPr="008E2C37" w:rsidRDefault="00611E8A" w:rsidP="008E2C37">
      <w:pPr>
        <w:pStyle w:val="Heading6"/>
      </w:pPr>
      <w:bookmarkStart w:id="49" w:name="_Toc395604454"/>
      <w:r w:rsidRPr="00CA4465">
        <w:t>(a)</w:t>
      </w:r>
      <w:r w:rsidRPr="00CA4465">
        <w:tab/>
        <w:t>Employment Contracts</w:t>
      </w:r>
      <w:bookmarkEnd w:id="49"/>
    </w:p>
    <w:p w:rsidR="00611E8A" w:rsidRPr="00CA4465" w:rsidRDefault="00611E8A" w:rsidP="008E2C37">
      <w:pPr>
        <w:keepNext/>
        <w:keepLines/>
        <w:ind w:left="2880"/>
      </w:pPr>
      <w:r w:rsidRPr="00CA4465">
        <w:t xml:space="preserve">Whether statements made by an employer are definite enough to constitute a unilateral contract is a question of law to be resolved by the court and to be reviewed de novo by the appellate courts.  </w:t>
      </w:r>
      <w:r w:rsidRPr="00CA4465">
        <w:rPr>
          <w:i/>
          <w:iCs/>
        </w:rPr>
        <w:t>Martens v. Minn. Mining &amp; Mfg. Co.</w:t>
      </w:r>
      <w:r w:rsidRPr="00CA4465">
        <w:t>, 616 N.W.2d 732, 740 (Minn. 2000)</w:t>
      </w:r>
      <w:r w:rsidR="00A41F69">
        <w:t xml:space="preserve">; </w:t>
      </w:r>
      <w:r w:rsidR="00A41F69">
        <w:rPr>
          <w:i/>
        </w:rPr>
        <w:t>see Alexandria Hous. &amp; Redev. Auth. v. Rost</w:t>
      </w:r>
      <w:r w:rsidR="00A41F69">
        <w:t>, 756 N.W.2d 896, 904 (Minn. App. 2008).</w:t>
      </w:r>
      <w:r w:rsidRPr="00CA4465">
        <w:t xml:space="preserve">  Whether alleged facts “rise to the level of promissory estoppe</w:t>
      </w:r>
      <w:r w:rsidR="00F51BB9">
        <w:t xml:space="preserve">l presents a question of law.” </w:t>
      </w:r>
      <w:r w:rsidRPr="00CA4465">
        <w:t xml:space="preserve"> </w:t>
      </w:r>
      <w:r w:rsidR="00F51BB9" w:rsidRPr="00F51BB9">
        <w:rPr>
          <w:i/>
        </w:rPr>
        <w:t>Martens</w:t>
      </w:r>
      <w:r w:rsidR="00F51BB9">
        <w:t xml:space="preserve">, 616 N.W.2d </w:t>
      </w:r>
      <w:r w:rsidRPr="00F51BB9">
        <w:t>at</w:t>
      </w:r>
      <w:r w:rsidRPr="00CA4465">
        <w:t xml:space="preserve"> 746.</w:t>
      </w:r>
    </w:p>
    <w:p w:rsidR="00611E8A" w:rsidRPr="008E2C37" w:rsidRDefault="00611E8A" w:rsidP="008E2C37">
      <w:pPr>
        <w:pStyle w:val="Heading6"/>
      </w:pPr>
      <w:bookmarkStart w:id="50" w:name="_Toc48979516"/>
      <w:bookmarkStart w:id="51" w:name="_Toc395604455"/>
      <w:r w:rsidRPr="00CA4465">
        <w:t>(b)</w:t>
      </w:r>
      <w:r w:rsidRPr="00CA4465">
        <w:tab/>
        <w:t>Insurance Contracts</w:t>
      </w:r>
      <w:bookmarkEnd w:id="50"/>
      <w:bookmarkEnd w:id="51"/>
    </w:p>
    <w:p w:rsidR="00F739EB" w:rsidRDefault="00F739EB" w:rsidP="00237887">
      <w:pPr>
        <w:ind w:left="2880"/>
      </w:pPr>
      <w:r>
        <w:t xml:space="preserve">“The interpretation of an insurance policy is a question of law as applied to the facts presented.”  </w:t>
      </w:r>
      <w:r>
        <w:rPr>
          <w:i/>
        </w:rPr>
        <w:t>Star Windshield Repair, Inc. v. W</w:t>
      </w:r>
      <w:r w:rsidR="00F51BB9">
        <w:rPr>
          <w:i/>
        </w:rPr>
        <w:t>.</w:t>
      </w:r>
      <w:r>
        <w:rPr>
          <w:i/>
        </w:rPr>
        <w:t xml:space="preserve"> Nat</w:t>
      </w:r>
      <w:r w:rsidR="00F51BB9">
        <w:rPr>
          <w:i/>
        </w:rPr>
        <w:t>’l</w:t>
      </w:r>
      <w:r>
        <w:rPr>
          <w:i/>
        </w:rPr>
        <w:t xml:space="preserve"> Ins. Co.</w:t>
      </w:r>
      <w:r>
        <w:t>, 768 N.W.2d 346, 348 (Minn. 2009).</w:t>
      </w:r>
    </w:p>
    <w:p w:rsidR="00F739EB" w:rsidRDefault="00F739EB" w:rsidP="00237887">
      <w:pPr>
        <w:ind w:left="2880"/>
      </w:pPr>
    </w:p>
    <w:p w:rsidR="00F739EB" w:rsidRDefault="00F739EB" w:rsidP="00237887">
      <w:pPr>
        <w:ind w:left="2880"/>
      </w:pPr>
      <w:r>
        <w:t xml:space="preserve">“[T]he interpretation of insurance-policy language based on undisputed underlying facts, as well as statutory construction, are questions </w:t>
      </w:r>
      <w:r w:rsidR="00F51BB9">
        <w:t>o</w:t>
      </w:r>
      <w:r>
        <w:t>f law, which we review de novo.</w:t>
      </w:r>
      <w:r w:rsidR="00F51BB9">
        <w:t>”</w:t>
      </w:r>
      <w:r>
        <w:t xml:space="preserve">  </w:t>
      </w:r>
      <w:r w:rsidR="00F51BB9">
        <w:rPr>
          <w:i/>
        </w:rPr>
        <w:t>Mitsch v. Am. Nat’l Prop. &amp;</w:t>
      </w:r>
      <w:r w:rsidR="00544FBC">
        <w:rPr>
          <w:i/>
        </w:rPr>
        <w:t xml:space="preserve"> Cas. Co.</w:t>
      </w:r>
      <w:r w:rsidR="00544FBC">
        <w:t xml:space="preserve">, 736 N.W.2d 355, 358 (Minn. App. 2007), </w:t>
      </w:r>
      <w:r w:rsidR="00544FBC">
        <w:rPr>
          <w:i/>
        </w:rPr>
        <w:t>review denied</w:t>
      </w:r>
      <w:r w:rsidR="00544FBC">
        <w:t xml:space="preserve"> (Minn. Oct. 24, 2007).</w:t>
      </w:r>
    </w:p>
    <w:p w:rsidR="00544FBC" w:rsidRDefault="00544FBC" w:rsidP="00237887">
      <w:pPr>
        <w:ind w:left="2880"/>
      </w:pPr>
    </w:p>
    <w:p w:rsidR="00544FBC" w:rsidRPr="00544FBC" w:rsidRDefault="00544FBC" w:rsidP="00237887">
      <w:pPr>
        <w:ind w:left="2880"/>
      </w:pPr>
      <w:r>
        <w:t xml:space="preserve">“The extent of an insurer’s liability is determined by the insurance contract with its insured as long as that insurance policy does not omit coverage required by law and does not violate applicable statutes.”  </w:t>
      </w:r>
      <w:r>
        <w:rPr>
          <w:i/>
        </w:rPr>
        <w:t xml:space="preserve">Mitsch v. Am. Nat’l Prop. </w:t>
      </w:r>
      <w:r w:rsidR="00F51BB9">
        <w:rPr>
          <w:i/>
        </w:rPr>
        <w:t>&amp;</w:t>
      </w:r>
      <w:r>
        <w:rPr>
          <w:i/>
        </w:rPr>
        <w:t xml:space="preserve"> Cas. Co.</w:t>
      </w:r>
      <w:r>
        <w:t xml:space="preserve">, 736 N.W.2d 355, 358 (Minn. App. 2007), </w:t>
      </w:r>
      <w:r>
        <w:rPr>
          <w:i/>
        </w:rPr>
        <w:t>review denied</w:t>
      </w:r>
      <w:r>
        <w:t xml:space="preserve"> (Minn. Oct. 24, 2007).  “This court must construe an insurance policy as a whole and must give unambiguous language its plain and ordinary meaning.  But </w:t>
      </w:r>
      <w:r>
        <w:lastRenderedPageBreak/>
        <w:t xml:space="preserve">when language in an insurance contract is ambiguous, such that it is reasonably subject to more than one interpretation, we will construe it in favor of the insured.”  </w:t>
      </w:r>
      <w:r>
        <w:rPr>
          <w:i/>
        </w:rPr>
        <w:t>Id.</w:t>
      </w:r>
      <w:r>
        <w:t xml:space="preserve"> (citations omitted).  </w:t>
      </w:r>
    </w:p>
    <w:p w:rsidR="00611E8A" w:rsidRPr="00CA4465" w:rsidRDefault="00611E8A" w:rsidP="00237887">
      <w:pPr>
        <w:ind w:left="2880"/>
      </w:pPr>
    </w:p>
    <w:p w:rsidR="00F51BB9" w:rsidRDefault="00611E8A" w:rsidP="008E2C37">
      <w:pPr>
        <w:ind w:left="2880"/>
      </w:pPr>
      <w:r w:rsidRPr="00CA4465">
        <w:t xml:space="preserve">“Interpretation of insurance policy provisions required by statute involves questions of law, to be reviewed de novo.” </w:t>
      </w:r>
      <w:r w:rsidRPr="00CA4465">
        <w:rPr>
          <w:i/>
        </w:rPr>
        <w:t>Britamco Underwriters, Inc. v. A &amp; A Liquors of St. Cloud</w:t>
      </w:r>
      <w:r w:rsidRPr="00CA4465">
        <w:t xml:space="preserve">, 649 N.W.2d 867, 871 (Minn. App. 2002) (citing </w:t>
      </w:r>
      <w:r w:rsidRPr="00CA4465">
        <w:rPr>
          <w:i/>
          <w:iCs/>
        </w:rPr>
        <w:t>Nathe Bros., Inc. v. Am. Nat’l Fire Ins. Co.</w:t>
      </w:r>
      <w:r w:rsidRPr="00CA4465">
        <w:t xml:space="preserve">, 615 N.W.2d 341, 344 (Minn. 2000)). </w:t>
      </w:r>
    </w:p>
    <w:p w:rsidR="00F51BB9" w:rsidRDefault="00F51BB9" w:rsidP="008E2C37">
      <w:pPr>
        <w:pStyle w:val="Heading6"/>
      </w:pPr>
      <w:bookmarkStart w:id="52" w:name="_Toc395604456"/>
      <w:r>
        <w:t>(c)</w:t>
      </w:r>
      <w:r>
        <w:tab/>
        <w:t>Settlement Agreements</w:t>
      </w:r>
      <w:bookmarkEnd w:id="52"/>
    </w:p>
    <w:p w:rsidR="00F51BB9" w:rsidRPr="00F51BB9" w:rsidRDefault="00F51BB9" w:rsidP="00237887">
      <w:pPr>
        <w:ind w:left="2880"/>
      </w:pPr>
      <w:r>
        <w:t xml:space="preserve">“A settlement agreement is a contract, and we review the language of the contract to determine the intent of the parties.  When the language is clear and unambiguous, we enforce the agreement of the parties as expressed in the language of the contract.  But if the language is ambiguous, parol evidence may be considered to determine intent.  Whether a contract is ambiguous is a question of law that we review de novo.  The language of a contract is ambiguous if it is susceptible to two or more reasonable interpretations.”  </w:t>
      </w:r>
      <w:r>
        <w:rPr>
          <w:i/>
        </w:rPr>
        <w:t>Dykes v. Sukup Mfg. Co.</w:t>
      </w:r>
      <w:r>
        <w:t>, 781 N.W.2d 578, 581-82 (Minn. 2010) (citations omitted).</w:t>
      </w:r>
    </w:p>
    <w:p w:rsidR="00611E8A" w:rsidRPr="008E2C37" w:rsidRDefault="00611E8A" w:rsidP="00604DD4">
      <w:pPr>
        <w:pStyle w:val="Heading2"/>
      </w:pPr>
      <w:bookmarkStart w:id="53" w:name="_Toc48979517"/>
      <w:bookmarkStart w:id="54" w:name="_Toc357064656"/>
      <w:bookmarkStart w:id="55" w:name="_Toc395604457"/>
      <w:r w:rsidRPr="00CA4465">
        <w:t>B.</w:t>
      </w:r>
      <w:r w:rsidRPr="00CA4465">
        <w:tab/>
        <w:t>PRETRIAL MATTERS</w:t>
      </w:r>
      <w:bookmarkEnd w:id="53"/>
      <w:bookmarkEnd w:id="54"/>
      <w:bookmarkEnd w:id="55"/>
    </w:p>
    <w:p w:rsidR="00611E8A" w:rsidRPr="008E2C37" w:rsidRDefault="00611E8A" w:rsidP="00337FFA">
      <w:pPr>
        <w:pStyle w:val="Heading3"/>
      </w:pPr>
      <w:bookmarkStart w:id="56" w:name="_Toc48979518"/>
      <w:bookmarkStart w:id="57" w:name="_Toc357064657"/>
      <w:bookmarkStart w:id="58" w:name="_Toc395604458"/>
      <w:r w:rsidRPr="00CA4465">
        <w:t>1.</w:t>
      </w:r>
      <w:r w:rsidRPr="00CA4465">
        <w:tab/>
        <w:t>Service of Process</w:t>
      </w:r>
      <w:bookmarkEnd w:id="56"/>
      <w:bookmarkEnd w:id="57"/>
      <w:bookmarkEnd w:id="58"/>
    </w:p>
    <w:p w:rsidR="00611E8A" w:rsidRPr="00CA4465" w:rsidRDefault="00031A4B" w:rsidP="008E2C37">
      <w:pPr>
        <w:ind w:left="720"/>
      </w:pPr>
      <w:r w:rsidRPr="00CA4465">
        <w:t>“</w:t>
      </w:r>
      <w:r w:rsidR="00DC5EA7" w:rsidRPr="00CA4465">
        <w:t xml:space="preserve">Whether service of process was effective, and personal jurisdiction therefore exists, is a question of law that we review de novo.”  </w:t>
      </w:r>
      <w:r w:rsidR="00DC5EA7" w:rsidRPr="00CA4465">
        <w:rPr>
          <w:i/>
        </w:rPr>
        <w:t>Shamrock Dev., Inc. v. Smith</w:t>
      </w:r>
      <w:r w:rsidR="00DC5EA7" w:rsidRPr="00CA4465">
        <w:t xml:space="preserve">, 754 N.W.2d </w:t>
      </w:r>
      <w:r w:rsidR="000917CD" w:rsidRPr="00CA4465">
        <w:t>377, 382 (Minn. 2008).</w:t>
      </w:r>
    </w:p>
    <w:p w:rsidR="00611E8A" w:rsidRPr="008E2C37" w:rsidRDefault="00611E8A" w:rsidP="00337FFA">
      <w:pPr>
        <w:pStyle w:val="Heading3"/>
      </w:pPr>
      <w:bookmarkStart w:id="59" w:name="_Toc48979519"/>
      <w:bookmarkStart w:id="60" w:name="_Toc357064658"/>
      <w:bookmarkStart w:id="61" w:name="_Toc395604459"/>
      <w:r w:rsidRPr="00CA4465">
        <w:t>2.</w:t>
      </w:r>
      <w:r w:rsidRPr="00CA4465">
        <w:tab/>
        <w:t>Amendment of Pleadings</w:t>
      </w:r>
      <w:bookmarkEnd w:id="59"/>
      <w:bookmarkEnd w:id="60"/>
      <w:bookmarkEnd w:id="61"/>
    </w:p>
    <w:p w:rsidR="00611E8A" w:rsidRDefault="00611E8A" w:rsidP="00237887">
      <w:pPr>
        <w:ind w:left="720"/>
      </w:pPr>
      <w:r w:rsidRPr="00CA4465">
        <w:t xml:space="preserve">Whether an amended pleading satisfies the requirements of Minn. R. Civ. P. 15.03 to have the amendment relate back is a question of law, subject to de novo review.  </w:t>
      </w:r>
      <w:r w:rsidRPr="00CA4465">
        <w:rPr>
          <w:i/>
          <w:iCs/>
        </w:rPr>
        <w:t>Bigay v. Garvey</w:t>
      </w:r>
      <w:r w:rsidRPr="00CA4465">
        <w:t>, 5</w:t>
      </w:r>
      <w:r w:rsidR="00BC21FA">
        <w:t xml:space="preserve">75 N.W.2d 107, 109 (Minn. 1998); </w:t>
      </w:r>
      <w:r w:rsidR="00BC21FA">
        <w:rPr>
          <w:i/>
        </w:rPr>
        <w:t>see Metro. Bldg. Cos. v. Ram Bldgs., Inc.</w:t>
      </w:r>
      <w:r w:rsidR="00BC21FA">
        <w:t xml:space="preserve">, 783 N.W.2d 204, 211 (Minn. App. 2010), </w:t>
      </w:r>
      <w:r w:rsidR="00BC21FA">
        <w:rPr>
          <w:i/>
        </w:rPr>
        <w:t>review denied</w:t>
      </w:r>
      <w:r w:rsidR="00BC21FA">
        <w:t xml:space="preserve"> (Minn. Aug. 10, 2010).</w:t>
      </w:r>
    </w:p>
    <w:p w:rsidR="00237887" w:rsidRDefault="00237887" w:rsidP="00237887">
      <w:pPr>
        <w:ind w:left="720"/>
      </w:pPr>
    </w:p>
    <w:p w:rsidR="00BC21FA" w:rsidRPr="00BC21FA" w:rsidRDefault="00BC21FA" w:rsidP="00237887">
      <w:pPr>
        <w:ind w:left="720"/>
      </w:pPr>
      <w:r>
        <w:t xml:space="preserve">“Generally, the decision to permit or deny amendments to pleadings is within the discretion of the district court and will not be reversed absent a clear abuse of discretion.”  </w:t>
      </w:r>
      <w:r>
        <w:rPr>
          <w:i/>
        </w:rPr>
        <w:t>Johns v. Harborage I, Ltd.</w:t>
      </w:r>
      <w:r>
        <w:t>, 664 N.W.2d 291, 295 (Minn. 2003).</w:t>
      </w:r>
    </w:p>
    <w:p w:rsidR="00611E8A" w:rsidRPr="00CA4465" w:rsidRDefault="00611E8A" w:rsidP="00237887">
      <w:pPr>
        <w:ind w:left="720"/>
      </w:pPr>
    </w:p>
    <w:p w:rsidR="00611E8A" w:rsidRPr="00CA4465" w:rsidRDefault="00611E8A" w:rsidP="008E2C37">
      <w:pPr>
        <w:ind w:left="720"/>
      </w:pPr>
      <w:r w:rsidRPr="00CA4465">
        <w:t xml:space="preserve">“Whether the district court has abused its discretion in ruling on a motion to amend may turn on whether it was correct in an underlying legal ruling.”  </w:t>
      </w:r>
      <w:r w:rsidRPr="00CA4465">
        <w:rPr>
          <w:i/>
          <w:iCs/>
        </w:rPr>
        <w:t>Doe v. F.P.</w:t>
      </w:r>
      <w:r w:rsidRPr="00CA4465">
        <w:rPr>
          <w:iCs/>
        </w:rPr>
        <w:t>, 667 N.W.2d 493, 500-01 (Minn. App. 2003)</w:t>
      </w:r>
      <w:r w:rsidR="006F6715" w:rsidRPr="00CA4465">
        <w:rPr>
          <w:iCs/>
        </w:rPr>
        <w:t xml:space="preserve">, </w:t>
      </w:r>
      <w:r w:rsidR="006F6715" w:rsidRPr="00CA4465">
        <w:rPr>
          <w:i/>
          <w:iCs/>
        </w:rPr>
        <w:t>review denied</w:t>
      </w:r>
      <w:r w:rsidR="006F6715" w:rsidRPr="00CA4465">
        <w:rPr>
          <w:iCs/>
        </w:rPr>
        <w:t xml:space="preserve"> (Minn. Oct. 21, 2003)</w:t>
      </w:r>
      <w:r w:rsidRPr="00CA4465">
        <w:rPr>
          <w:iCs/>
        </w:rPr>
        <w:t xml:space="preserve">.  </w:t>
      </w:r>
    </w:p>
    <w:p w:rsidR="00611E8A" w:rsidRPr="008E2C37" w:rsidRDefault="00611E8A" w:rsidP="00337FFA">
      <w:pPr>
        <w:pStyle w:val="Heading3"/>
      </w:pPr>
      <w:bookmarkStart w:id="62" w:name="_Toc48979520"/>
      <w:bookmarkStart w:id="63" w:name="_Toc357064659"/>
      <w:bookmarkStart w:id="64" w:name="_Toc395604460"/>
      <w:r w:rsidRPr="00CA4465">
        <w:lastRenderedPageBreak/>
        <w:t>3.</w:t>
      </w:r>
      <w:r w:rsidRPr="00CA4465">
        <w:tab/>
        <w:t>Discovery Issues</w:t>
      </w:r>
      <w:bookmarkEnd w:id="62"/>
      <w:bookmarkEnd w:id="63"/>
      <w:bookmarkEnd w:id="64"/>
    </w:p>
    <w:p w:rsidR="00611E8A" w:rsidRDefault="00BC21FA" w:rsidP="00237887">
      <w:pPr>
        <w:ind w:left="720"/>
      </w:pPr>
      <w:r>
        <w:t xml:space="preserve">The district court has wide discretion to issue discovery orders and, absent a clear abuse of that discretion, its discovery orders will not be disturbed.  </w:t>
      </w:r>
      <w:r>
        <w:rPr>
          <w:i/>
        </w:rPr>
        <w:t>In re Comm’r of Pub. Safety</w:t>
      </w:r>
      <w:r w:rsidR="009F4268">
        <w:t>, 735 N.W.2d 706, 7</w:t>
      </w:r>
      <w:r>
        <w:t xml:space="preserve">11 (Minn. 2007).  “We review a district court’s order for an abuse of discretion by determining whether the district court made findings unsupported by the evidence or by improperly applying the law.”  </w:t>
      </w:r>
      <w:r>
        <w:rPr>
          <w:i/>
        </w:rPr>
        <w:t>Id.</w:t>
      </w:r>
    </w:p>
    <w:p w:rsidR="00BC21FA" w:rsidRDefault="00BC21FA" w:rsidP="00237887">
      <w:pPr>
        <w:ind w:left="720"/>
      </w:pPr>
    </w:p>
    <w:p w:rsidR="00611E8A" w:rsidRPr="00CA4465" w:rsidRDefault="00BC21FA" w:rsidP="008E2C37">
      <w:pPr>
        <w:ind w:left="720"/>
      </w:pPr>
      <w:r>
        <w:t xml:space="preserve">“A referee has broad discretion to issue discovery orders and will be reversed on appeal only upon an abuse of such discretion.”  </w:t>
      </w:r>
      <w:r>
        <w:rPr>
          <w:i/>
        </w:rPr>
        <w:t>In re Overboe</w:t>
      </w:r>
      <w:r>
        <w:t>, 745 N.W.2d 852, 861 (Minn. 2008) (quotation omitted).</w:t>
      </w:r>
    </w:p>
    <w:p w:rsidR="00611E8A" w:rsidRPr="008E2C37" w:rsidRDefault="00611E8A" w:rsidP="00337FFA">
      <w:pPr>
        <w:pStyle w:val="Heading3"/>
      </w:pPr>
      <w:bookmarkStart w:id="65" w:name="_Toc48979521"/>
      <w:bookmarkStart w:id="66" w:name="_Toc357064660"/>
      <w:bookmarkStart w:id="67" w:name="_Toc395604461"/>
      <w:r w:rsidRPr="00CA4465">
        <w:t>4.</w:t>
      </w:r>
      <w:r w:rsidRPr="00CA4465">
        <w:tab/>
        <w:t>Intervention of Parties</w:t>
      </w:r>
      <w:bookmarkEnd w:id="65"/>
      <w:r w:rsidR="00183968" w:rsidRPr="00CA4465">
        <w:t>/Interpleader</w:t>
      </w:r>
      <w:bookmarkEnd w:id="66"/>
      <w:bookmarkEnd w:id="67"/>
    </w:p>
    <w:p w:rsidR="00611E8A" w:rsidRPr="00CA4465" w:rsidRDefault="00611E8A" w:rsidP="00237887">
      <w:pPr>
        <w:ind w:left="720"/>
      </w:pPr>
      <w:r w:rsidRPr="00CA4465">
        <w:t xml:space="preserve">For cases concerning permissive intervention under Minn. R. Civ. P. 24.02, a “decision concerning intervention is left to the discretion of the </w:t>
      </w:r>
      <w:r w:rsidR="00A14F2D" w:rsidRPr="00CA4465">
        <w:t>[district]</w:t>
      </w:r>
      <w:r w:rsidRPr="00CA4465">
        <w:t xml:space="preserve"> court and will be reversed only when there has been a clear abuse of its discretion.”  </w:t>
      </w:r>
      <w:r w:rsidRPr="00CA4465">
        <w:rPr>
          <w:i/>
          <w:iCs/>
        </w:rPr>
        <w:t>Norman v. Refsland</w:t>
      </w:r>
      <w:r w:rsidRPr="00CA4465">
        <w:t>, 383 N.W.2d 673, 676 (Minn. 1986). “Orders concerning intervention as a matter of right, pursua</w:t>
      </w:r>
      <w:r w:rsidR="009F4268">
        <w:t>nt to Minn. R. Civ. P. 24.01</w:t>
      </w:r>
      <w:r w:rsidRPr="00CA4465">
        <w:t xml:space="preserve">, are subject to de novo review and are independently assessed on appeal.” </w:t>
      </w:r>
      <w:r w:rsidRPr="00CA4465">
        <w:rPr>
          <w:i/>
        </w:rPr>
        <w:t>State Fund Mut. Ins. Co. v. Mead</w:t>
      </w:r>
      <w:r w:rsidRPr="00CA4465">
        <w:t>, 691 N.W.2d 495, 499 (Minn. App. 2005)</w:t>
      </w:r>
      <w:r w:rsidR="00823329" w:rsidRPr="00CA4465">
        <w:t>.</w:t>
      </w:r>
      <w:r w:rsidRPr="00CA4465">
        <w:t xml:space="preserve">  </w:t>
      </w:r>
    </w:p>
    <w:p w:rsidR="00183968" w:rsidRPr="00CA4465" w:rsidRDefault="00183968" w:rsidP="00237887">
      <w:pPr>
        <w:ind w:left="720"/>
      </w:pPr>
    </w:p>
    <w:p w:rsidR="00183968" w:rsidRPr="008E2C37" w:rsidRDefault="00183968" w:rsidP="008E2C37">
      <w:pPr>
        <w:ind w:left="720"/>
      </w:pPr>
      <w:r w:rsidRPr="00CA4465">
        <w:t xml:space="preserve">“Because interpleader actions are equitable in nature, the standard of review is abuse of discretion.”  </w:t>
      </w:r>
      <w:r w:rsidRPr="00CA4465">
        <w:rPr>
          <w:i/>
        </w:rPr>
        <w:t>Faegre &amp; Benson, LLP v. R &amp; R Investors</w:t>
      </w:r>
      <w:r w:rsidRPr="00CA4465">
        <w:t>, 772 N.</w:t>
      </w:r>
      <w:r w:rsidR="004C2174" w:rsidRPr="00CA4465">
        <w:t>W</w:t>
      </w:r>
      <w:r w:rsidRPr="00CA4465">
        <w:t>.2d 846, 852 (Minn. App. 2009)</w:t>
      </w:r>
      <w:r w:rsidR="00B80D3E" w:rsidRPr="00CA4465">
        <w:t xml:space="preserve">, </w:t>
      </w:r>
      <w:r w:rsidR="00B80D3E" w:rsidRPr="00CA4465">
        <w:rPr>
          <w:i/>
        </w:rPr>
        <w:t>review denied</w:t>
      </w:r>
      <w:r w:rsidR="00B80D3E" w:rsidRPr="00CA4465">
        <w:t xml:space="preserve"> (Minn. Dec. 23, 2009).</w:t>
      </w:r>
    </w:p>
    <w:p w:rsidR="00611E8A" w:rsidRPr="008E2C37" w:rsidRDefault="00611E8A" w:rsidP="00337FFA">
      <w:pPr>
        <w:pStyle w:val="Heading3"/>
      </w:pPr>
      <w:bookmarkStart w:id="68" w:name="_Toc48979522"/>
      <w:bookmarkStart w:id="69" w:name="_Toc357064661"/>
      <w:bookmarkStart w:id="70" w:name="_Toc395604462"/>
      <w:r w:rsidRPr="00CA4465">
        <w:t>5.</w:t>
      </w:r>
      <w:r w:rsidRPr="00CA4465">
        <w:tab/>
        <w:t>Recusal and Removal of Judges</w:t>
      </w:r>
      <w:bookmarkEnd w:id="68"/>
      <w:bookmarkEnd w:id="69"/>
      <w:bookmarkEnd w:id="70"/>
    </w:p>
    <w:p w:rsidR="00611E8A" w:rsidRPr="00CA4465" w:rsidRDefault="00611E8A" w:rsidP="00237887">
      <w:pPr>
        <w:ind w:left="720"/>
      </w:pPr>
      <w:r w:rsidRPr="00CA4465">
        <w:t xml:space="preserve">Denial of a recusal motion is within the district court’s discretion and should not be reversed absent a clear abuse of discretion.  </w:t>
      </w:r>
      <w:r w:rsidRPr="00CA4465">
        <w:rPr>
          <w:i/>
          <w:iCs/>
        </w:rPr>
        <w:t>Carlson v. Carlson</w:t>
      </w:r>
      <w:r w:rsidRPr="00CA4465">
        <w:t xml:space="preserve">, 390 N.W.2d 780, 785 (Minn. App. 1986), </w:t>
      </w:r>
      <w:r w:rsidRPr="00CA4465">
        <w:rPr>
          <w:i/>
          <w:iCs/>
        </w:rPr>
        <w:t xml:space="preserve">review denied </w:t>
      </w:r>
      <w:r w:rsidRPr="00CA4465">
        <w:t>(Minn. Aug. 20, 1986).</w:t>
      </w:r>
    </w:p>
    <w:p w:rsidR="00611E8A" w:rsidRPr="00CA4465" w:rsidRDefault="00611E8A" w:rsidP="00237887">
      <w:pPr>
        <w:ind w:left="720"/>
      </w:pPr>
    </w:p>
    <w:p w:rsidR="00611E8A" w:rsidRPr="00CA4465" w:rsidRDefault="00611E8A" w:rsidP="00237887">
      <w:pPr>
        <w:ind w:left="720"/>
      </w:pPr>
      <w:r w:rsidRPr="00CA4465">
        <w:t xml:space="preserve">“Whether to honor a request for removal based on allegations of actual prejudice is a matter for the </w:t>
      </w:r>
      <w:r w:rsidR="00A14F2D" w:rsidRPr="00CA4465">
        <w:t>[district]</w:t>
      </w:r>
      <w:r w:rsidRPr="00CA4465">
        <w:t xml:space="preserve"> court’s discretion.”  </w:t>
      </w:r>
      <w:r w:rsidRPr="00CA4465">
        <w:rPr>
          <w:i/>
          <w:iCs/>
        </w:rPr>
        <w:t>Durell v. Mayo Found.</w:t>
      </w:r>
      <w:r w:rsidRPr="00CA4465">
        <w:t xml:space="preserve">, 429 N.W.2d 704, 705 (Minn. App. 1988) (emphasis omitted), </w:t>
      </w:r>
      <w:r w:rsidRPr="00CA4465">
        <w:rPr>
          <w:i/>
          <w:iCs/>
        </w:rPr>
        <w:t xml:space="preserve">review denied </w:t>
      </w:r>
      <w:r w:rsidRPr="00CA4465">
        <w:t>(Minn. Nov. 16, 1988).</w:t>
      </w:r>
    </w:p>
    <w:p w:rsidR="003A212E" w:rsidRDefault="00611E8A" w:rsidP="00337FFA">
      <w:pPr>
        <w:pStyle w:val="Heading3"/>
      </w:pPr>
      <w:bookmarkStart w:id="71" w:name="_Toc395604463"/>
      <w:bookmarkStart w:id="72" w:name="_Toc48979523"/>
      <w:bookmarkStart w:id="73" w:name="_Toc357064662"/>
      <w:r w:rsidRPr="00CA4465">
        <w:t>6.</w:t>
      </w:r>
      <w:r w:rsidRPr="00CA4465">
        <w:tab/>
      </w:r>
      <w:r w:rsidR="003A212E">
        <w:t>Disqualification of Counsel</w:t>
      </w:r>
      <w:bookmarkEnd w:id="71"/>
    </w:p>
    <w:p w:rsidR="003A212E" w:rsidRDefault="003A212E" w:rsidP="005E55B2">
      <w:pPr>
        <w:ind w:left="720"/>
      </w:pPr>
      <w:r>
        <w:t xml:space="preserve">We review the district court's decision regarding disqualification of counsel for an abuse of discretion. </w:t>
      </w:r>
      <w:r w:rsidRPr="003A212E">
        <w:rPr>
          <w:i/>
        </w:rPr>
        <w:t>State ex rel. Swanson v. 3M Co.</w:t>
      </w:r>
      <w:r>
        <w:t>, 845 N.W.2d 808, 816 (Minn. 2014)</w:t>
      </w:r>
      <w:r w:rsidR="005E55B2">
        <w:t>.</w:t>
      </w:r>
    </w:p>
    <w:p w:rsidR="00611E8A" w:rsidRPr="008E2C37" w:rsidRDefault="003A212E" w:rsidP="00337FFA">
      <w:pPr>
        <w:pStyle w:val="Heading3"/>
      </w:pPr>
      <w:bookmarkStart w:id="74" w:name="_Toc395604464"/>
      <w:r>
        <w:t>7.</w:t>
      </w:r>
      <w:r>
        <w:tab/>
      </w:r>
      <w:r w:rsidR="00611E8A" w:rsidRPr="00CA4465">
        <w:t>Claim Preclusion and Issue Preclusion</w:t>
      </w:r>
      <w:bookmarkEnd w:id="72"/>
      <w:bookmarkEnd w:id="73"/>
      <w:bookmarkEnd w:id="74"/>
    </w:p>
    <w:p w:rsidR="00D97D33" w:rsidRPr="00CA4465" w:rsidRDefault="00D97D33" w:rsidP="00FA6BBD">
      <w:pPr>
        <w:ind w:left="720"/>
      </w:pPr>
      <w:r w:rsidRPr="00CA4465">
        <w:t xml:space="preserve">“Whether collateral estoppel precludes litigation of an issue is a mixed question of law and fact that we review de novo.”  </w:t>
      </w:r>
      <w:r w:rsidRPr="00CA4465">
        <w:rPr>
          <w:i/>
        </w:rPr>
        <w:t>Hauschildt v. Beckingham</w:t>
      </w:r>
      <w:r w:rsidRPr="00CA4465">
        <w:t>, 686 N.W.2d 829, 837 (Minn. 2004).</w:t>
      </w:r>
    </w:p>
    <w:p w:rsidR="00D97D33" w:rsidRPr="00CA4465" w:rsidRDefault="00D97D33" w:rsidP="00FA6BBD">
      <w:pPr>
        <w:ind w:left="720"/>
        <w:rPr>
          <w:strike/>
        </w:rPr>
      </w:pPr>
    </w:p>
    <w:p w:rsidR="00890F78" w:rsidRDefault="00611E8A" w:rsidP="00FA6BBD">
      <w:pPr>
        <w:ind w:left="720"/>
      </w:pPr>
      <w:r w:rsidRPr="00CA4465">
        <w:lastRenderedPageBreak/>
        <w:t xml:space="preserve">“Once </w:t>
      </w:r>
      <w:r w:rsidR="00890F78">
        <w:t>the reviewing court</w:t>
      </w:r>
      <w:r w:rsidRPr="00CA4465">
        <w:t xml:space="preserve"> determine</w:t>
      </w:r>
      <w:r w:rsidR="00890F78">
        <w:t>s</w:t>
      </w:r>
      <w:r w:rsidRPr="00CA4465">
        <w:t xml:space="preserve"> that collateral estoppel is available</w:t>
      </w:r>
      <w:r w:rsidR="009F4268">
        <w:t xml:space="preserve">, the decision to apply </w:t>
      </w:r>
      <w:r w:rsidR="00890F78">
        <w:t xml:space="preserve">collateral estoppel </w:t>
      </w:r>
      <w:r w:rsidRPr="00CA4465">
        <w:t xml:space="preserve">is left to the </w:t>
      </w:r>
      <w:r w:rsidR="00A14F2D" w:rsidRPr="00CA4465">
        <w:t>district</w:t>
      </w:r>
      <w:r w:rsidRPr="00CA4465">
        <w:t xml:space="preserve"> court’s discretion.”  </w:t>
      </w:r>
      <w:r w:rsidR="00D97D33" w:rsidRPr="00CA4465">
        <w:rPr>
          <w:i/>
        </w:rPr>
        <w:t xml:space="preserve">In </w:t>
      </w:r>
      <w:r w:rsidR="00CB36A9" w:rsidRPr="00CA4465">
        <w:rPr>
          <w:i/>
        </w:rPr>
        <w:t>r</w:t>
      </w:r>
      <w:r w:rsidR="00D97D33" w:rsidRPr="00CA4465">
        <w:rPr>
          <w:i/>
        </w:rPr>
        <w:t xml:space="preserve">e </w:t>
      </w:r>
      <w:r w:rsidR="00890F78">
        <w:rPr>
          <w:i/>
        </w:rPr>
        <w:t>Estate of Perrin</w:t>
      </w:r>
      <w:r w:rsidR="00D97D33" w:rsidRPr="00CA4465">
        <w:t xml:space="preserve">, </w:t>
      </w:r>
      <w:r w:rsidR="00890F78">
        <w:t>796</w:t>
      </w:r>
      <w:r w:rsidR="00D97D33" w:rsidRPr="00CA4465">
        <w:t xml:space="preserve"> N.W.2d </w:t>
      </w:r>
      <w:r w:rsidR="00890F78">
        <w:t>175, 179 (Minn. App. 2011) (quotation omitted).</w:t>
      </w:r>
    </w:p>
    <w:p w:rsidR="00890F78" w:rsidRDefault="00890F78" w:rsidP="00FA6BBD">
      <w:pPr>
        <w:ind w:left="720"/>
      </w:pPr>
    </w:p>
    <w:p w:rsidR="00D97D33" w:rsidRPr="00CA4465" w:rsidRDefault="00611E8A" w:rsidP="00FA6BBD">
      <w:pPr>
        <w:ind w:left="720"/>
      </w:pPr>
      <w:r w:rsidRPr="00CA4465">
        <w:t xml:space="preserve">“We review </w:t>
      </w:r>
      <w:r w:rsidR="00890F78">
        <w:t>t</w:t>
      </w:r>
      <w:r w:rsidR="00D97D33" w:rsidRPr="00CA4465">
        <w:t xml:space="preserve">he application of res judicata de novo.”  </w:t>
      </w:r>
      <w:r w:rsidR="00890F78">
        <w:rPr>
          <w:i/>
        </w:rPr>
        <w:t>Rucker v. Schmidt</w:t>
      </w:r>
      <w:r w:rsidR="00D97D33" w:rsidRPr="00CA4465">
        <w:t xml:space="preserve">, </w:t>
      </w:r>
      <w:r w:rsidR="00890F78">
        <w:t>794</w:t>
      </w:r>
      <w:r w:rsidR="00D97D33" w:rsidRPr="00CA4465">
        <w:t xml:space="preserve"> N.W.2d </w:t>
      </w:r>
      <w:r w:rsidR="00890F78">
        <w:t xml:space="preserve">114, 117 </w:t>
      </w:r>
      <w:r w:rsidR="00D97D33" w:rsidRPr="00CA4465">
        <w:t>(Minn. 20</w:t>
      </w:r>
      <w:r w:rsidR="00890F78">
        <w:t>11</w:t>
      </w:r>
      <w:r w:rsidR="00D97D33" w:rsidRPr="00CA4465">
        <w:t>).</w:t>
      </w:r>
    </w:p>
    <w:p w:rsidR="00D97D33" w:rsidRPr="00CA4465" w:rsidRDefault="00D97D33" w:rsidP="00FA6BBD">
      <w:pPr>
        <w:ind w:left="720"/>
      </w:pPr>
    </w:p>
    <w:p w:rsidR="00611E8A" w:rsidRPr="00CA4465" w:rsidRDefault="00611E8A" w:rsidP="008E2C37">
      <w:pPr>
        <w:ind w:left="720"/>
        <w:rPr>
          <w:iCs/>
        </w:rPr>
      </w:pPr>
      <w:r w:rsidRPr="00CA4465">
        <w:t>“The determination of whether collateral estoppel is available presents a mixed question of law and fact also subject to de novo review.”</w:t>
      </w:r>
      <w:r w:rsidR="00D97D33" w:rsidRPr="00CA4465">
        <w:t xml:space="preserve">  </w:t>
      </w:r>
      <w:r w:rsidR="00D97D33" w:rsidRPr="00CA4465">
        <w:rPr>
          <w:i/>
          <w:iCs/>
        </w:rPr>
        <w:t xml:space="preserve">Care Inst., Inc.-Roseville v. </w:t>
      </w:r>
      <w:r w:rsidR="00DC7EC2" w:rsidRPr="00CA4465">
        <w:rPr>
          <w:i/>
          <w:iCs/>
        </w:rPr>
        <w:t>Cnty.</w:t>
      </w:r>
      <w:r w:rsidR="00D97D33" w:rsidRPr="00CA4465">
        <w:rPr>
          <w:i/>
          <w:iCs/>
        </w:rPr>
        <w:t xml:space="preserve"> of Ramsey</w:t>
      </w:r>
      <w:r w:rsidR="00D97D33" w:rsidRPr="00CA4465">
        <w:t>, 612 N.W.2d 443, 446 (Minn. 2000).</w:t>
      </w:r>
    </w:p>
    <w:p w:rsidR="00611E8A" w:rsidRPr="008E2C37" w:rsidRDefault="003A212E" w:rsidP="00337FFA">
      <w:pPr>
        <w:pStyle w:val="Heading3"/>
      </w:pPr>
      <w:bookmarkStart w:id="75" w:name="_Toc357064663"/>
      <w:bookmarkStart w:id="76" w:name="_Toc395604465"/>
      <w:r>
        <w:t>8</w:t>
      </w:r>
      <w:r w:rsidR="00611E8A" w:rsidRPr="00CA4465">
        <w:t>.</w:t>
      </w:r>
      <w:r w:rsidR="00611E8A" w:rsidRPr="00CA4465">
        <w:tab/>
        <w:t>Motion for Continuance</w:t>
      </w:r>
      <w:bookmarkEnd w:id="75"/>
      <w:bookmarkEnd w:id="76"/>
    </w:p>
    <w:p w:rsidR="00890F78" w:rsidRPr="008E2C37" w:rsidRDefault="00611E8A" w:rsidP="008E2C37">
      <w:pPr>
        <w:ind w:left="720"/>
      </w:pPr>
      <w:r w:rsidRPr="00CA4465">
        <w:t xml:space="preserve">“The granting of a continuance is a matter within the discretion of the </w:t>
      </w:r>
      <w:r w:rsidR="00A14F2D" w:rsidRPr="00CA4465">
        <w:t>[district]</w:t>
      </w:r>
      <w:r w:rsidRPr="00CA4465">
        <w:t xml:space="preserve"> court and its ruling will not be reversed absent a showing of clear abuse of discretion.”  </w:t>
      </w:r>
      <w:r w:rsidRPr="00CA4465">
        <w:rPr>
          <w:i/>
        </w:rPr>
        <w:t>Dunshee v. Douglas</w:t>
      </w:r>
      <w:r w:rsidRPr="00CA4465">
        <w:t>, 255 N.W.2d 42, 45 (Minn. 1977).</w:t>
      </w:r>
      <w:r w:rsidR="00890F78">
        <w:t xml:space="preserve">  “We review district court rulings on continuance and new trial motions for abuse of discretion.”  </w:t>
      </w:r>
      <w:r w:rsidR="00890F78">
        <w:rPr>
          <w:i/>
        </w:rPr>
        <w:t>Torchwood Props, LLC v. McKinnon</w:t>
      </w:r>
      <w:r w:rsidR="00890F78">
        <w:t>, 784 N.W.2d 416, 418 (Minn. App. 2010).</w:t>
      </w:r>
    </w:p>
    <w:p w:rsidR="00611E8A" w:rsidRPr="00CA4465" w:rsidRDefault="003A212E" w:rsidP="00337FFA">
      <w:pPr>
        <w:pStyle w:val="Heading3"/>
      </w:pPr>
      <w:bookmarkStart w:id="77" w:name="_Toc48979525"/>
      <w:bookmarkStart w:id="78" w:name="_Toc357064664"/>
      <w:bookmarkStart w:id="79" w:name="_Toc395604466"/>
      <w:r>
        <w:t>9</w:t>
      </w:r>
      <w:r w:rsidR="009D1687">
        <w:t>.</w:t>
      </w:r>
      <w:r w:rsidR="009D1687">
        <w:tab/>
      </w:r>
      <w:r w:rsidR="00611E8A" w:rsidRPr="00CA4465">
        <w:t xml:space="preserve">Temporary </w:t>
      </w:r>
      <w:bookmarkEnd w:id="77"/>
      <w:r w:rsidR="00611E8A" w:rsidRPr="00CA4465">
        <w:t>Injunctions and Restraining Orders</w:t>
      </w:r>
      <w:bookmarkEnd w:id="78"/>
      <w:bookmarkEnd w:id="79"/>
    </w:p>
    <w:p w:rsidR="00611E8A" w:rsidRPr="00DE2236" w:rsidRDefault="00DE2236" w:rsidP="00FA6BBD">
      <w:pPr>
        <w:ind w:left="720"/>
      </w:pPr>
      <w:r>
        <w:t xml:space="preserve">“The district court has broad discretion to grant or deny a temporary injunction, and we will reverse only for abuse of that discretion.”  </w:t>
      </w:r>
      <w:r>
        <w:rPr>
          <w:i/>
        </w:rPr>
        <w:t>U.S. Bank Nat’l Ass’n v. Angeion Corp.</w:t>
      </w:r>
      <w:r>
        <w:t xml:space="preserve">, 615 N.W.2d 425, 434 (Minn. App. 2000), </w:t>
      </w:r>
      <w:r>
        <w:rPr>
          <w:i/>
        </w:rPr>
        <w:t>review denied</w:t>
      </w:r>
      <w:r>
        <w:t xml:space="preserve"> (Minn. Oct. 25, 2000).</w:t>
      </w:r>
    </w:p>
    <w:p w:rsidR="00611E8A" w:rsidRPr="00CA4465" w:rsidRDefault="00611E8A" w:rsidP="00FA6BBD">
      <w:pPr>
        <w:ind w:left="720"/>
      </w:pPr>
    </w:p>
    <w:p w:rsidR="00611E8A" w:rsidRPr="00CA4465" w:rsidRDefault="00611E8A" w:rsidP="00FA6BBD">
      <w:pPr>
        <w:ind w:left="720"/>
      </w:pPr>
      <w:r w:rsidRPr="00CA4465">
        <w:t xml:space="preserve">“A decision on whether to grant a temporary injunction is left to the discretion of the </w:t>
      </w:r>
      <w:r w:rsidR="00A14F2D" w:rsidRPr="00CA4465">
        <w:t xml:space="preserve">[district] </w:t>
      </w:r>
      <w:r w:rsidRPr="00CA4465">
        <w:t xml:space="preserve">court and will not be overturned on review absent a clear abuse of that discretion.”  </w:t>
      </w:r>
      <w:r w:rsidRPr="00CA4465">
        <w:rPr>
          <w:i/>
          <w:iCs/>
        </w:rPr>
        <w:t>Carl Bolander &amp; Sons Co. v. City of Minneapolis</w:t>
      </w:r>
      <w:r w:rsidRPr="00CA4465">
        <w:t>, 502 N.W.2d 203, 209 (Minn. 1993).</w:t>
      </w:r>
    </w:p>
    <w:p w:rsidR="00FA6BBD" w:rsidRDefault="00FA6BBD" w:rsidP="00FA6BBD">
      <w:pPr>
        <w:ind w:left="720"/>
      </w:pPr>
    </w:p>
    <w:p w:rsidR="00611E8A" w:rsidRPr="00CA4465" w:rsidRDefault="00611E8A" w:rsidP="00FA6BBD">
      <w:pPr>
        <w:ind w:left="720"/>
      </w:pPr>
      <w:r w:rsidRPr="00CA4465">
        <w:t>“A district court</w:t>
      </w:r>
      <w:r w:rsidR="006F6715" w:rsidRPr="00CA4465">
        <w:t>’</w:t>
      </w:r>
      <w:r w:rsidRPr="00CA4465">
        <w:t xml:space="preserve">s findings regarding entitlement to injunctive relief will not be set aside unless clearly erroneous.” </w:t>
      </w:r>
      <w:r w:rsidRPr="00CA4465">
        <w:rPr>
          <w:i/>
        </w:rPr>
        <w:t>Haley v. Forcelle</w:t>
      </w:r>
      <w:r w:rsidRPr="00CA4465">
        <w:t xml:space="preserve">, 669 N.W.2d 48, 55 (Minn. App. 2003), </w:t>
      </w:r>
      <w:r w:rsidRPr="00CA4465">
        <w:rPr>
          <w:i/>
        </w:rPr>
        <w:t>review denied</w:t>
      </w:r>
      <w:r w:rsidRPr="00CA4465">
        <w:t xml:space="preserve"> (Minn. Nov. 2</w:t>
      </w:r>
      <w:r w:rsidR="006F6715" w:rsidRPr="00CA4465">
        <w:t>5</w:t>
      </w:r>
      <w:r w:rsidRPr="00CA4465">
        <w:t>, 2003).</w:t>
      </w:r>
    </w:p>
    <w:p w:rsidR="006F6715" w:rsidRPr="00CA4465" w:rsidRDefault="006F6715" w:rsidP="00FA6BBD">
      <w:pPr>
        <w:ind w:left="720"/>
      </w:pPr>
    </w:p>
    <w:p w:rsidR="009A5C37" w:rsidRPr="00CA4465" w:rsidRDefault="00611E8A" w:rsidP="005D596B">
      <w:pPr>
        <w:ind w:left="720"/>
      </w:pPr>
      <w:r w:rsidRPr="00CA4465">
        <w:t xml:space="preserve">“In deciding whether the [temporary injunction] determination made by the district court should be sustained on appeal, we consider the likelihood that one party or the other will prevail on the merits when the fact situation is viewed in light of established precedents fixing the limits of equitable relief.  We also evaluate the relationship between the parties preexisting the dispute and the relative hardships that would result if the temporary restraint were denied or issued.”  </w:t>
      </w:r>
      <w:r w:rsidRPr="00CA4465">
        <w:rPr>
          <w:i/>
          <w:iCs/>
        </w:rPr>
        <w:t>Berggren v. Town of Duluth</w:t>
      </w:r>
      <w:r w:rsidRPr="00CA4465">
        <w:t xml:space="preserve">, 304 N.W.2d 24, 26 (Minn. 1981) </w:t>
      </w:r>
      <w:r w:rsidR="009F4268">
        <w:t xml:space="preserve">(citing </w:t>
      </w:r>
      <w:r w:rsidR="009F4268">
        <w:rPr>
          <w:i/>
        </w:rPr>
        <w:t>Dahlberg Bros. v. Ford Motor Co.</w:t>
      </w:r>
      <w:r w:rsidR="009F4268">
        <w:t xml:space="preserve">, 272 Minn. 264, 274-75, 137 N.W.2d 314, 321 (1965)) </w:t>
      </w:r>
      <w:r w:rsidRPr="00CA4465">
        <w:t>(</w:t>
      </w:r>
      <w:r w:rsidR="009F4268">
        <w:t xml:space="preserve">other </w:t>
      </w:r>
      <w:r w:rsidRPr="00CA4465">
        <w:t xml:space="preserve">citations omitted); </w:t>
      </w:r>
      <w:r w:rsidRPr="00CA4465">
        <w:rPr>
          <w:i/>
          <w:iCs/>
        </w:rPr>
        <w:t>see also</w:t>
      </w:r>
      <w:r w:rsidRPr="00CA4465">
        <w:t xml:space="preserve"> </w:t>
      </w:r>
      <w:r w:rsidR="00DE2236">
        <w:rPr>
          <w:i/>
          <w:iCs/>
        </w:rPr>
        <w:t>Haley v. Forcelle</w:t>
      </w:r>
      <w:r w:rsidR="009F4268">
        <w:rPr>
          <w:iCs/>
        </w:rPr>
        <w:t>, 669 N.W.2d 48, 55-</w:t>
      </w:r>
      <w:r w:rsidR="00DE2236">
        <w:rPr>
          <w:iCs/>
        </w:rPr>
        <w:t xml:space="preserve">56 (Minn. App. 2003) </w:t>
      </w:r>
      <w:r w:rsidRPr="00CA4465">
        <w:t>(listing</w:t>
      </w:r>
      <w:r w:rsidR="00CB36A9" w:rsidRPr="00CA4465">
        <w:t xml:space="preserve"> the five </w:t>
      </w:r>
      <w:r w:rsidR="00CB36A9" w:rsidRPr="00CA4465">
        <w:rPr>
          <w:i/>
        </w:rPr>
        <w:t>Dahlberg</w:t>
      </w:r>
      <w:r w:rsidRPr="00CA4465">
        <w:t xml:space="preserve"> factors to be considered on review)</w:t>
      </w:r>
      <w:r w:rsidR="00F104FB">
        <w:t xml:space="preserve">, </w:t>
      </w:r>
      <w:r w:rsidR="00F104FB">
        <w:rPr>
          <w:i/>
          <w:iCs/>
        </w:rPr>
        <w:t>review denied</w:t>
      </w:r>
      <w:r w:rsidR="00F104FB">
        <w:rPr>
          <w:iCs/>
        </w:rPr>
        <w:t xml:space="preserve"> (Minn. Nov. 25, 2003)</w:t>
      </w:r>
      <w:r w:rsidRPr="00CA4465">
        <w:t>.</w:t>
      </w:r>
    </w:p>
    <w:p w:rsidR="009A5C37" w:rsidRPr="00CA4465" w:rsidRDefault="003A212E" w:rsidP="00337FFA">
      <w:pPr>
        <w:pStyle w:val="Heading3"/>
      </w:pPr>
      <w:bookmarkStart w:id="80" w:name="_Toc357064665"/>
      <w:bookmarkStart w:id="81" w:name="_Toc395604467"/>
      <w:r>
        <w:lastRenderedPageBreak/>
        <w:t>10</w:t>
      </w:r>
      <w:r w:rsidR="009A5C37" w:rsidRPr="00CA4465">
        <w:t>.</w:t>
      </w:r>
      <w:r w:rsidR="009A5C37" w:rsidRPr="00CA4465">
        <w:tab/>
        <w:t>Class Certification</w:t>
      </w:r>
      <w:bookmarkEnd w:id="80"/>
      <w:bookmarkEnd w:id="81"/>
      <w:r w:rsidR="009A5C37" w:rsidRPr="00CA4465">
        <w:t xml:space="preserve"> </w:t>
      </w:r>
    </w:p>
    <w:p w:rsidR="009A5C37" w:rsidRPr="00CA4465" w:rsidRDefault="009A5C37" w:rsidP="005D596B">
      <w:pPr>
        <w:ind w:left="720"/>
      </w:pPr>
      <w:r w:rsidRPr="00CA4465">
        <w:t>This court reviews a district court’s decision granting or denying class certification for abuse of discretion</w:t>
      </w:r>
      <w:r w:rsidR="00964A2F" w:rsidRPr="00CA4465">
        <w:t xml:space="preserve">.  </w:t>
      </w:r>
      <w:r w:rsidR="009F4268" w:rsidRPr="00CA4465">
        <w:rPr>
          <w:i/>
        </w:rPr>
        <w:t>Whitaker v. 3M Co.</w:t>
      </w:r>
      <w:r w:rsidR="009F4268" w:rsidRPr="00CA4465">
        <w:t>, 764 N.W.2d 631, 63</w:t>
      </w:r>
      <w:r w:rsidR="009F4268">
        <w:t>5</w:t>
      </w:r>
      <w:r w:rsidR="009F4268" w:rsidRPr="00CA4465">
        <w:t xml:space="preserve"> (Minn. App. 2009), </w:t>
      </w:r>
      <w:r w:rsidR="009F4268" w:rsidRPr="00CA4465">
        <w:rPr>
          <w:i/>
        </w:rPr>
        <w:t>review denied</w:t>
      </w:r>
      <w:r w:rsidR="009F4268" w:rsidRPr="00CA4465">
        <w:t xml:space="preserve"> (Minn. July 22, 2009).</w:t>
      </w:r>
      <w:r w:rsidR="009F4268">
        <w:t xml:space="preserve">  </w:t>
      </w:r>
      <w:r w:rsidR="00964A2F" w:rsidRPr="00CA4465">
        <w:t>A</w:t>
      </w:r>
      <w:r w:rsidRPr="00CA4465">
        <w:t>n erroneous application of Minn. R. Civ. P. 23 constitutes an abuse of discretion</w:t>
      </w:r>
      <w:r w:rsidR="00964A2F" w:rsidRPr="00CA4465">
        <w:t xml:space="preserve"> by the district court</w:t>
      </w:r>
      <w:r w:rsidRPr="00CA4465">
        <w:t xml:space="preserve">.  </w:t>
      </w:r>
      <w:r w:rsidR="009F4268">
        <w:rPr>
          <w:i/>
        </w:rPr>
        <w:t>Id.</w:t>
      </w:r>
      <w:r w:rsidR="009F4268">
        <w:t xml:space="preserve"> at 636.  </w:t>
      </w:r>
      <w:r w:rsidRPr="00CA4465">
        <w:t xml:space="preserve">    </w:t>
      </w:r>
    </w:p>
    <w:p w:rsidR="004F10A3" w:rsidRPr="005D596B" w:rsidRDefault="004F10A3" w:rsidP="00604DD4">
      <w:pPr>
        <w:pStyle w:val="Heading2"/>
      </w:pPr>
      <w:bookmarkStart w:id="82" w:name="_Toc48979526"/>
      <w:bookmarkStart w:id="83" w:name="_Toc357064666"/>
      <w:bookmarkStart w:id="84" w:name="_Toc395604468"/>
      <w:bookmarkStart w:id="85" w:name="_Toc48979545"/>
      <w:r w:rsidRPr="00CA4465">
        <w:t>C.</w:t>
      </w:r>
      <w:r w:rsidRPr="00CA4465">
        <w:tab/>
        <w:t>PRETRIAL JUDGMENTS</w:t>
      </w:r>
      <w:bookmarkEnd w:id="82"/>
      <w:bookmarkEnd w:id="83"/>
      <w:bookmarkEnd w:id="84"/>
    </w:p>
    <w:p w:rsidR="004F10A3" w:rsidRPr="005D596B" w:rsidRDefault="004F10A3" w:rsidP="00337FFA">
      <w:pPr>
        <w:pStyle w:val="Heading3"/>
      </w:pPr>
      <w:bookmarkStart w:id="86" w:name="_Toc48979527"/>
      <w:bookmarkStart w:id="87" w:name="_Toc357064667"/>
      <w:bookmarkStart w:id="88" w:name="_Toc395604469"/>
      <w:r w:rsidRPr="00CA4465">
        <w:t>1.</w:t>
      </w:r>
      <w:r w:rsidRPr="00CA4465">
        <w:tab/>
        <w:t>Default Judgment</w:t>
      </w:r>
      <w:bookmarkEnd w:id="86"/>
      <w:bookmarkEnd w:id="87"/>
      <w:bookmarkEnd w:id="88"/>
    </w:p>
    <w:p w:rsidR="004F10A3" w:rsidRPr="00C86D30" w:rsidRDefault="00C86D30" w:rsidP="00FA6BBD">
      <w:pPr>
        <w:ind w:left="720"/>
      </w:pPr>
      <w:r w:rsidRPr="000B3584">
        <w:t xml:space="preserve">“This court will not overturn a ruling on a motion to vacate a default judgment unless the district court abused its discretion.”  </w:t>
      </w:r>
      <w:r w:rsidRPr="000B3584">
        <w:rPr>
          <w:i/>
        </w:rPr>
        <w:t>Roehrdanz v. Brill</w:t>
      </w:r>
      <w:r w:rsidRPr="000B3584">
        <w:t>, 682 N.W.2d 626, 631 (Minn. 2004).</w:t>
      </w:r>
    </w:p>
    <w:p w:rsidR="004F10A3" w:rsidRPr="00CA4465" w:rsidRDefault="004F10A3" w:rsidP="00FA6BBD">
      <w:pPr>
        <w:ind w:left="720"/>
      </w:pPr>
    </w:p>
    <w:p w:rsidR="004F10A3" w:rsidRPr="00CA4465" w:rsidRDefault="00C86D30" w:rsidP="00FA6BBD">
      <w:pPr>
        <w:ind w:left="720"/>
      </w:pPr>
      <w:r>
        <w:t xml:space="preserve">“The discretion of the district court in opening a default judgment is particularly broad when the court’s decision is based upon an evaluation of conflicting affidavits.”  </w:t>
      </w:r>
      <w:r>
        <w:rPr>
          <w:i/>
        </w:rPr>
        <w:t>Roehrdanz v. Brill</w:t>
      </w:r>
      <w:r>
        <w:t>, 682 N.W.2d 626, 631</w:t>
      </w:r>
      <w:r w:rsidR="008D2C66">
        <w:t>-32</w:t>
      </w:r>
      <w:r>
        <w:t xml:space="preserve"> (Minn. 2004).  </w:t>
      </w:r>
      <w:r w:rsidR="004F10A3" w:rsidRPr="00CA4465">
        <w:t xml:space="preserve">  </w:t>
      </w:r>
    </w:p>
    <w:p w:rsidR="009A5C37" w:rsidRPr="00CA4465" w:rsidRDefault="009A5C37" w:rsidP="00FA6BBD">
      <w:pPr>
        <w:ind w:left="720"/>
      </w:pPr>
    </w:p>
    <w:p w:rsidR="00286D97" w:rsidRPr="00C96DC7" w:rsidRDefault="00286D97" w:rsidP="005D596B">
      <w:pPr>
        <w:ind w:left="720"/>
      </w:pPr>
      <w:r w:rsidRPr="00A730CD">
        <w:t>“As is the case with motions to v</w:t>
      </w:r>
      <w:r w:rsidR="00C96DC7" w:rsidRPr="00A730CD">
        <w:t xml:space="preserve">acate district court judgments . . . the decision on a motion to vacate a conciliation court judgment is vested in the sound discretion of the district court.”  </w:t>
      </w:r>
      <w:r w:rsidR="00C96DC7" w:rsidRPr="00A730CD">
        <w:rPr>
          <w:i/>
        </w:rPr>
        <w:t>Kern v. Janson</w:t>
      </w:r>
      <w:r w:rsidR="00C96DC7" w:rsidRPr="00A730CD">
        <w:t>, 800 N.W.2d 126, 132 (</w:t>
      </w:r>
      <w:r w:rsidR="00A730CD" w:rsidRPr="00A730CD">
        <w:t xml:space="preserve">Minn. </w:t>
      </w:r>
      <w:r w:rsidR="00C96DC7" w:rsidRPr="00A730CD">
        <w:t>2011).</w:t>
      </w:r>
      <w:r w:rsidR="00C96DC7">
        <w:t xml:space="preserve">  </w:t>
      </w:r>
    </w:p>
    <w:p w:rsidR="00286D97" w:rsidRDefault="00286D97" w:rsidP="005D596B">
      <w:pPr>
        <w:ind w:left="720"/>
      </w:pPr>
    </w:p>
    <w:p w:rsidR="004F10A3" w:rsidRPr="005D596B" w:rsidRDefault="009A5C37" w:rsidP="005D596B">
      <w:pPr>
        <w:ind w:left="720"/>
      </w:pPr>
      <w:r w:rsidRPr="00CA4465">
        <w:t xml:space="preserve">“The district court has broad discretion in deciding whether to grant or deny a rule 60.02 motion.”  </w:t>
      </w:r>
      <w:r w:rsidRPr="00CA4465">
        <w:rPr>
          <w:i/>
        </w:rPr>
        <w:t>Northland Temporaries, Inc. v. Turpin</w:t>
      </w:r>
      <w:r w:rsidRPr="00CA4465">
        <w:t xml:space="preserve">, 744 N.W.2d 398, 402 (Minn. App. 2008) (citing </w:t>
      </w:r>
      <w:r w:rsidRPr="00CA4465">
        <w:rPr>
          <w:i/>
        </w:rPr>
        <w:t>Kosloski v. Jones</w:t>
      </w:r>
      <w:r w:rsidRPr="00CA4465">
        <w:t xml:space="preserve">, 295 Minn. 177, 180, 203 N.W.2d 401, 403 (1973)), </w:t>
      </w:r>
      <w:r w:rsidRPr="00CA4465">
        <w:rPr>
          <w:i/>
        </w:rPr>
        <w:t>review denied</w:t>
      </w:r>
      <w:r w:rsidRPr="00CA4465">
        <w:t xml:space="preserve"> (Minn. April 29, 2008). </w:t>
      </w:r>
      <w:r w:rsidR="00CB36A9" w:rsidRPr="00CA4465">
        <w:t xml:space="preserve"> “</w:t>
      </w:r>
      <w:r w:rsidRPr="00CA4465">
        <w:t>But broad discretion does not mean that the discretion is unlimited.</w:t>
      </w:r>
      <w:r w:rsidR="00CB36A9" w:rsidRPr="00CA4465">
        <w:t>”</w:t>
      </w:r>
      <w:r w:rsidRPr="00CA4465">
        <w:t xml:space="preserve">  </w:t>
      </w:r>
      <w:r w:rsidRPr="00CA4465">
        <w:rPr>
          <w:i/>
        </w:rPr>
        <w:t>Id.</w:t>
      </w:r>
      <w:r w:rsidRPr="00CA4465">
        <w:t xml:space="preserve"> (citing </w:t>
      </w:r>
      <w:r w:rsidRPr="00CA4465">
        <w:rPr>
          <w:i/>
        </w:rPr>
        <w:t>Spicer v. Carefree Vacations, Inc.</w:t>
      </w:r>
      <w:r w:rsidRPr="00CA4465">
        <w:t xml:space="preserve">, 370 N.W.2d 424, 426 (Minn. 1985)).  “[T]he supreme court has held that, ‘if the </w:t>
      </w:r>
      <w:r w:rsidR="00A14F2D" w:rsidRPr="00CA4465">
        <w:t>[district]</w:t>
      </w:r>
      <w:r w:rsidRPr="00CA4465">
        <w:t xml:space="preserve"> court has acted under a misapprehension of the law,’ the decision will be reversed on appeal even though the opening of a default judgment ‘lies almost wholly within the sound discretion of the </w:t>
      </w:r>
      <w:r w:rsidR="00A14F2D" w:rsidRPr="00CA4465">
        <w:t>[district]</w:t>
      </w:r>
      <w:r w:rsidRPr="00CA4465">
        <w:t xml:space="preserve"> court.’” </w:t>
      </w:r>
      <w:r w:rsidRPr="00CA4465">
        <w:rPr>
          <w:i/>
        </w:rPr>
        <w:t>Id.</w:t>
      </w:r>
      <w:r w:rsidRPr="00CA4465">
        <w:t xml:space="preserve"> (</w:t>
      </w:r>
      <w:r w:rsidR="00CB36A9" w:rsidRPr="00CA4465">
        <w:t>quo</w:t>
      </w:r>
      <w:r w:rsidRPr="00CA4465">
        <w:t xml:space="preserve">ting </w:t>
      </w:r>
      <w:r w:rsidRPr="00CA4465">
        <w:rPr>
          <w:i/>
        </w:rPr>
        <w:t>Sommers v. Thomas</w:t>
      </w:r>
      <w:r w:rsidRPr="00CA4465">
        <w:t>, 251 Minn. 461, 469, 88 N.W.2d 191, 196-97 (1958)).  “Similarly, when the district court</w:t>
      </w:r>
      <w:r w:rsidR="00CB36A9" w:rsidRPr="00CA4465">
        <w:t>’</w:t>
      </w:r>
      <w:r w:rsidRPr="00CA4465">
        <w:t>s reasons are based on facts not supported by the record, the determination will not be sustained.</w:t>
      </w:r>
      <w:r w:rsidR="004F1CDF" w:rsidRPr="00CA4465">
        <w:t>”</w:t>
      </w:r>
      <w:r w:rsidRPr="00CA4465">
        <w:t xml:space="preserve"> </w:t>
      </w:r>
      <w:r w:rsidR="004F1CDF" w:rsidRPr="00CA4465">
        <w:t xml:space="preserve"> </w:t>
      </w:r>
      <w:r w:rsidRPr="00CA4465">
        <w:rPr>
          <w:i/>
        </w:rPr>
        <w:t>Id.</w:t>
      </w:r>
      <w:r w:rsidRPr="00CA4465">
        <w:t xml:space="preserve"> at 402-03 (citing </w:t>
      </w:r>
      <w:r w:rsidRPr="00CA4465">
        <w:rPr>
          <w:i/>
        </w:rPr>
        <w:t>Roehrdanz v. Brill</w:t>
      </w:r>
      <w:r w:rsidRPr="00CA4465">
        <w:t xml:space="preserve">, 682 N.W.2d 626, 631-32 (Minn. 2004); </w:t>
      </w:r>
      <w:r w:rsidRPr="00CA4465">
        <w:rPr>
          <w:i/>
        </w:rPr>
        <w:t>Duenow v. Lindeman</w:t>
      </w:r>
      <w:r w:rsidRPr="00CA4465">
        <w:t>, 223 Minn. 505, 518, 27 N.W.2d 421, 429 (1947) (reversing order denying motion to vacate because “plain and decisive facts were entirely ov</w:t>
      </w:r>
      <w:r w:rsidR="005D596B">
        <w:t>erlooked by the trial judge”)).</w:t>
      </w:r>
    </w:p>
    <w:p w:rsidR="004F10A3" w:rsidRPr="005D596B" w:rsidRDefault="004F10A3" w:rsidP="00337FFA">
      <w:pPr>
        <w:pStyle w:val="Heading3"/>
      </w:pPr>
      <w:bookmarkStart w:id="89" w:name="_Toc48979528"/>
      <w:bookmarkStart w:id="90" w:name="_Toc357064668"/>
      <w:bookmarkStart w:id="91" w:name="_Toc395604470"/>
      <w:r w:rsidRPr="00CA4465">
        <w:t>2.</w:t>
      </w:r>
      <w:r w:rsidRPr="00CA4465">
        <w:tab/>
        <w:t>Judgment on the Pleadings and Dismissal of Actions</w:t>
      </w:r>
      <w:bookmarkEnd w:id="89"/>
      <w:bookmarkEnd w:id="90"/>
      <w:bookmarkEnd w:id="91"/>
    </w:p>
    <w:p w:rsidR="006E0A93" w:rsidRPr="00A730CD" w:rsidRDefault="006E0A93" w:rsidP="006E0A93">
      <w:pPr>
        <w:pStyle w:val="Heading4"/>
      </w:pPr>
      <w:bookmarkStart w:id="92" w:name="_Toc395604471"/>
      <w:r w:rsidRPr="00A730CD">
        <w:t>a.</w:t>
      </w:r>
      <w:r w:rsidRPr="00A730CD">
        <w:tab/>
        <w:t>Minn. R. Civ. P. 12.02(e)</w:t>
      </w:r>
      <w:bookmarkEnd w:id="92"/>
    </w:p>
    <w:p w:rsidR="003763E4" w:rsidRDefault="003763E4" w:rsidP="003763E4">
      <w:pPr>
        <w:ind w:left="1440"/>
      </w:pPr>
      <w:r>
        <w:t xml:space="preserve">“[W]e now decline to engraft the plausibility standard from </w:t>
      </w:r>
      <w:r w:rsidRPr="00EE3BCA">
        <w:rPr>
          <w:i/>
        </w:rPr>
        <w:t>Twombly</w:t>
      </w:r>
      <w:r>
        <w:t xml:space="preserve"> and </w:t>
      </w:r>
      <w:r w:rsidRPr="00EE3BCA">
        <w:rPr>
          <w:i/>
        </w:rPr>
        <w:t>Iqbal</w:t>
      </w:r>
      <w:r>
        <w:t xml:space="preserve"> onto our traditional interpret</w:t>
      </w:r>
      <w:r w:rsidR="00EE3BCA">
        <w:t xml:space="preserve">ation of Minn. R. Civ. P. 8.01.”  </w:t>
      </w:r>
      <w:r w:rsidRPr="00EE3BCA">
        <w:rPr>
          <w:i/>
        </w:rPr>
        <w:t>Walsh v. U.S. Bank</w:t>
      </w:r>
      <w:r>
        <w:t>, N.A</w:t>
      </w:r>
      <w:r w:rsidR="00EE3BCA">
        <w:t>, ___ N.W.2d ___</w:t>
      </w:r>
      <w:r>
        <w:t>, 2014 WL 3844201</w:t>
      </w:r>
      <w:r w:rsidR="00EE3BCA">
        <w:t>, at *4</w:t>
      </w:r>
      <w:r>
        <w:t xml:space="preserve"> (Minn. Aug. 6, 2014)</w:t>
      </w:r>
      <w:r w:rsidR="00EE3BCA">
        <w:t>.</w:t>
      </w:r>
    </w:p>
    <w:p w:rsidR="00EE3BCA" w:rsidRDefault="00EE3BCA" w:rsidP="003763E4">
      <w:pPr>
        <w:ind w:left="1440"/>
      </w:pPr>
    </w:p>
    <w:p w:rsidR="00EE3BCA" w:rsidRDefault="00EE3BCA" w:rsidP="00EE3BCA">
      <w:pPr>
        <w:ind w:left="1440"/>
      </w:pPr>
      <w:r>
        <w:t xml:space="preserve">“We review de novo whether a complaint sets forth a legally sufficient claim for relief. We accept the facts alleged in the complaint as true and construe all </w:t>
      </w:r>
      <w:r>
        <w:lastRenderedPageBreak/>
        <w:t xml:space="preserve">reasonable inferences in favor of the nonmoving party. </w:t>
      </w:r>
      <w:r w:rsidRPr="00EE3BCA">
        <w:rPr>
          <w:i/>
        </w:rPr>
        <w:t>Walsh v. U.S. Bank</w:t>
      </w:r>
      <w:r>
        <w:t>, N.A, ___ N.W.2d ___, 2014 WL 3844201</w:t>
      </w:r>
      <w:r w:rsidR="00DA368E">
        <w:t>, at *7</w:t>
      </w:r>
      <w:r>
        <w:t xml:space="preserve"> (Minn. Aug. 6, 2014)</w:t>
      </w:r>
      <w:r w:rsidR="005F75C8">
        <w:t xml:space="preserve"> (citation omitted)</w:t>
      </w:r>
      <w:r>
        <w:t>.</w:t>
      </w:r>
    </w:p>
    <w:p w:rsidR="003763E4" w:rsidRDefault="003763E4" w:rsidP="00D65448">
      <w:pPr>
        <w:ind w:left="1440"/>
      </w:pPr>
    </w:p>
    <w:p w:rsidR="00D65448" w:rsidRDefault="00D65448" w:rsidP="00D65448">
      <w:pPr>
        <w:ind w:left="1440"/>
      </w:pPr>
      <w:r>
        <w:t xml:space="preserve">“When a case is dismissed pursuant to Minn. R. Civ. P. 12.02(e) for failure to state a claim for which relief can be granted, we review the legal sufficiency of the claim de novo to determine whether the complaint sets forth a legally sufficient claim for relief. </w:t>
      </w:r>
      <w:r w:rsidRPr="00D65448">
        <w:rPr>
          <w:i/>
        </w:rPr>
        <w:t>Hebert v. City of Fifty Lakes</w:t>
      </w:r>
      <w:r>
        <w:t xml:space="preserve">, 744 N.W.2d 226, 229 (Minn. 2008). Rule 8.01 provides that a complaint must ‘contain a short and plain statement of the claim showing that the pleader is entitled to relief and a demand for judgment for the relief sought.’ Minn. R. Civ. P. 8.01. We consider only those facts alleged in the complaint, accepting those facts as true and construing all reasonable inferences in favor of the nonmoving party. </w:t>
      </w:r>
      <w:r w:rsidRPr="00D65448">
        <w:rPr>
          <w:i/>
        </w:rPr>
        <w:t>In re Individual 35W Bridge Litig.</w:t>
      </w:r>
      <w:r>
        <w:t xml:space="preserve">, 806 N.W.2d 811, 815 (Minn. 2011). A claim is sufficient to survive a motion to dismiss ‘if it is possible on any evidence which might be produced, consistent with the pleader's theory, to grant the relief demanded.’ </w:t>
      </w:r>
      <w:r w:rsidRPr="00D65448">
        <w:rPr>
          <w:i/>
        </w:rPr>
        <w:t>N. States Power Co. v. Franklin</w:t>
      </w:r>
      <w:r>
        <w:t xml:space="preserve">, 265 Minn. 391, 395, 122 N.W.2d 26, 29 (1963); </w:t>
      </w:r>
      <w:r>
        <w:rPr>
          <w:i/>
        </w:rPr>
        <w:t>accord Ba</w:t>
      </w:r>
      <w:r w:rsidRPr="00D65448">
        <w:rPr>
          <w:i/>
        </w:rPr>
        <w:t>hr v. Capella Univ.</w:t>
      </w:r>
      <w:r>
        <w:t xml:space="preserve">, 788 N.W.2d 76, 80 (Minn. 2010). But a legal conclusion in the complaint does not bind us, and a plaintiff must provide more than mere labels and conclusions. </w:t>
      </w:r>
      <w:r w:rsidRPr="00D65448">
        <w:rPr>
          <w:i/>
        </w:rPr>
        <w:t>Bahr</w:t>
      </w:r>
      <w:r>
        <w:t xml:space="preserve">, 788 N.W.2d at 80.  </w:t>
      </w:r>
      <w:r w:rsidRPr="00D65448">
        <w:rPr>
          <w:i/>
        </w:rPr>
        <w:t>Graphic Commc'ns Local 1B Health &amp; Welfare Fund A v. CVS Caremark Corp.</w:t>
      </w:r>
      <w:r>
        <w:t xml:space="preserve">, __ N.W.2d __, 2014 WL 2965400, at * 7 (Minn. July 2, 2014).  </w:t>
      </w:r>
    </w:p>
    <w:p w:rsidR="00D65448" w:rsidRDefault="00D65448" w:rsidP="00D65448">
      <w:pPr>
        <w:ind w:left="1440"/>
      </w:pPr>
    </w:p>
    <w:p w:rsidR="00057501" w:rsidRPr="00A730CD" w:rsidRDefault="00057501" w:rsidP="00D65448">
      <w:pPr>
        <w:ind w:left="1440"/>
      </w:pPr>
      <w:r w:rsidRPr="00A730CD">
        <w:t xml:space="preserve">“We </w:t>
      </w:r>
      <w:r w:rsidR="00E82595" w:rsidRPr="00A730CD">
        <w:t xml:space="preserve">. . . </w:t>
      </w:r>
      <w:r w:rsidRPr="00A730CD">
        <w:t xml:space="preserve"> review de novo the district court’s grant of a motion to dismiss under Minn. R. Civ. </w:t>
      </w:r>
      <w:r w:rsidR="00097127" w:rsidRPr="00A730CD">
        <w:t xml:space="preserve">P. 12.02(e).  In so doing, we </w:t>
      </w:r>
      <w:r w:rsidRPr="00A730CD">
        <w:t xml:space="preserve">consider only the facts alleged in the complaint, accepting those facts as true.”  </w:t>
      </w:r>
      <w:r w:rsidRPr="00A730CD">
        <w:rPr>
          <w:i/>
        </w:rPr>
        <w:t>Sipe v. STS Mfg, Inc</w:t>
      </w:r>
      <w:r w:rsidRPr="00A730CD">
        <w:t xml:space="preserve">., </w:t>
      </w:r>
      <w:r w:rsidR="00D770C3">
        <w:t>834</w:t>
      </w:r>
      <w:r w:rsidR="00A730CD" w:rsidRPr="00A730CD">
        <w:t xml:space="preserve"> N.W.2d </w:t>
      </w:r>
      <w:r w:rsidR="00D770C3">
        <w:t>683</w:t>
      </w:r>
      <w:r w:rsidRPr="00A730CD">
        <w:t xml:space="preserve">, </w:t>
      </w:r>
      <w:r w:rsidR="00D770C3">
        <w:t xml:space="preserve">686 </w:t>
      </w:r>
      <w:r w:rsidRPr="00A730CD">
        <w:t>(Minn. 2013)</w:t>
      </w:r>
      <w:r w:rsidR="00A730CD" w:rsidRPr="00A730CD">
        <w:t xml:space="preserve"> (quotation and citation omitted)</w:t>
      </w:r>
      <w:r w:rsidRPr="00A730CD">
        <w:t>.</w:t>
      </w:r>
    </w:p>
    <w:p w:rsidR="00097127" w:rsidRPr="00A730CD" w:rsidRDefault="00097127" w:rsidP="006E0A93">
      <w:pPr>
        <w:ind w:left="1440"/>
      </w:pPr>
    </w:p>
    <w:p w:rsidR="00097127" w:rsidRDefault="00097127" w:rsidP="006E0A93">
      <w:pPr>
        <w:ind w:left="1440"/>
      </w:pPr>
      <w:r w:rsidRPr="00A730CD">
        <w:t xml:space="preserve">“We have said that a pleading will be dismissed only if it appears to a certainty that no facts, which could be introduced consistent with the pleading, exist which would support granting the relief requested.”  </w:t>
      </w:r>
      <w:r w:rsidRPr="00A730CD">
        <w:rPr>
          <w:i/>
        </w:rPr>
        <w:t>Bahr v. Capella Univ</w:t>
      </w:r>
      <w:r w:rsidRPr="00A730CD">
        <w:t>., 788 N.W.2d 76, 80 (Minn. 2010)</w:t>
      </w:r>
      <w:r w:rsidR="00A730CD" w:rsidRPr="00A730CD">
        <w:t xml:space="preserve"> (quotation omitted)</w:t>
      </w:r>
      <w:r w:rsidRPr="00A730CD">
        <w:t>.</w:t>
      </w:r>
      <w:r>
        <w:t xml:space="preserve">  </w:t>
      </w:r>
    </w:p>
    <w:p w:rsidR="00057501" w:rsidRDefault="00057501" w:rsidP="006E0A93">
      <w:pPr>
        <w:ind w:left="1440"/>
      </w:pPr>
    </w:p>
    <w:p w:rsidR="002A1947" w:rsidRPr="00CA4465" w:rsidRDefault="002A1947" w:rsidP="006E0A93">
      <w:pPr>
        <w:ind w:left="1440"/>
      </w:pPr>
      <w:r w:rsidRPr="00CA4465">
        <w:t xml:space="preserve">“When reviewing a case dismissed pursuant to Minn. R. Civ. P. 12.02(e) for failure to state a claim on which relief can be granted, the question before this court is whether the complaint sets forth a legally sufficient claim for relief.”  </w:t>
      </w:r>
      <w:r w:rsidRPr="00CA4465">
        <w:rPr>
          <w:i/>
        </w:rPr>
        <w:t>Hebert v. City of Fifty Lakes</w:t>
      </w:r>
      <w:r w:rsidRPr="00CA4465">
        <w:t xml:space="preserve">, 744 N.W.2d 226, 229 (Minn. 2008) (citing </w:t>
      </w:r>
      <w:r w:rsidRPr="00CA4465">
        <w:rPr>
          <w:i/>
        </w:rPr>
        <w:t>Barton v. Moore</w:t>
      </w:r>
      <w:r w:rsidRPr="00CA4465">
        <w:t>, 558 N.W.2d 746, 749 (Minn. 1997)).</w:t>
      </w:r>
    </w:p>
    <w:p w:rsidR="007B0451" w:rsidRPr="00CA4465" w:rsidRDefault="007B0451" w:rsidP="006E0A93">
      <w:pPr>
        <w:ind w:left="1440"/>
      </w:pPr>
    </w:p>
    <w:p w:rsidR="007B0451" w:rsidRPr="00CA4465" w:rsidRDefault="007B0451" w:rsidP="006E0A93">
      <w:pPr>
        <w:ind w:left="1440"/>
      </w:pPr>
      <w:r w:rsidRPr="00CA4465">
        <w:t xml:space="preserve">When reviewing a dismissal under Minn. R. Civ. P. 12.02(e), “[t]he reviewing court must consider only the facts alleged in the complaint, accepting those facts as true and must construe all reasonable inferences in favor of the nonmoving party.”  </w:t>
      </w:r>
      <w:r w:rsidRPr="00CA4465">
        <w:rPr>
          <w:i/>
        </w:rPr>
        <w:t>Bodah v. Lakeville Motor Express, Inc.</w:t>
      </w:r>
      <w:r w:rsidRPr="00CA4465">
        <w:t xml:space="preserve">, 663 N.W.2d 550, 553 (Minn. 2003) (citing </w:t>
      </w:r>
      <w:r w:rsidRPr="00CA4465">
        <w:rPr>
          <w:i/>
        </w:rPr>
        <w:t>Marquette Nat’l Bank v. Norris</w:t>
      </w:r>
      <w:r w:rsidRPr="00CA4465">
        <w:t>, 270 N.W.2d 290, 292 (Minn. 1978)</w:t>
      </w:r>
      <w:r w:rsidR="00CB36A9" w:rsidRPr="00CA4465">
        <w:t>)</w:t>
      </w:r>
      <w:r w:rsidRPr="00CA4465">
        <w:t xml:space="preserve">.  “The standard of review is therefore de novo.”  </w:t>
      </w:r>
      <w:r w:rsidRPr="00CA4465">
        <w:rPr>
          <w:i/>
        </w:rPr>
        <w:t>Id.</w:t>
      </w:r>
      <w:r w:rsidRPr="00CA4465">
        <w:t xml:space="preserve"> </w:t>
      </w:r>
    </w:p>
    <w:p w:rsidR="006E0A93" w:rsidRDefault="006E0A93" w:rsidP="00595FCD">
      <w:pPr>
        <w:pStyle w:val="Heading4"/>
      </w:pPr>
      <w:bookmarkStart w:id="93" w:name="_Toc395604472"/>
      <w:r>
        <w:lastRenderedPageBreak/>
        <w:t>b.</w:t>
      </w:r>
      <w:r>
        <w:tab/>
        <w:t>Minn. R. Civ. P. 41</w:t>
      </w:r>
      <w:r w:rsidR="00595FCD">
        <w:t>.01-.02</w:t>
      </w:r>
      <w:bookmarkEnd w:id="93"/>
    </w:p>
    <w:p w:rsidR="004F10A3" w:rsidRPr="00CA4465" w:rsidRDefault="00C86D30" w:rsidP="00595FCD">
      <w:pPr>
        <w:ind w:left="1440"/>
      </w:pPr>
      <w:r>
        <w:t xml:space="preserve">An appellate court “evaluate[s] the district court’s” dismissal under Minn. R. Civ. P.  41.02 “under an abuse of discretion standard.”  </w:t>
      </w:r>
      <w:r>
        <w:rPr>
          <w:i/>
        </w:rPr>
        <w:t>Modrow v. JP Foodservice, Inc.</w:t>
      </w:r>
      <w:r>
        <w:t xml:space="preserve">, 656 </w:t>
      </w:r>
      <w:r w:rsidR="008D2C66">
        <w:t xml:space="preserve">N.W.2d </w:t>
      </w:r>
      <w:r>
        <w:t>389, 395 (Minn. 2003).</w:t>
      </w:r>
      <w:r w:rsidR="004F10A3" w:rsidRPr="00CA4465">
        <w:t xml:space="preserve"> </w:t>
      </w:r>
    </w:p>
    <w:p w:rsidR="007B0451" w:rsidRPr="00CA4465" w:rsidRDefault="007B0451" w:rsidP="00595FCD">
      <w:pPr>
        <w:ind w:left="1440"/>
      </w:pPr>
    </w:p>
    <w:p w:rsidR="007B0451" w:rsidRPr="00CA4465" w:rsidRDefault="007B0451" w:rsidP="00595FCD">
      <w:pPr>
        <w:ind w:left="1440"/>
      </w:pPr>
      <w:r w:rsidRPr="00CA4465">
        <w:t xml:space="preserve">“A reviewing court will not reverse a district court’s decision on a [Minn. R. Civ. P. 41.01(b)] motion unless the district court abuses its discretion.”  </w:t>
      </w:r>
      <w:r w:rsidRPr="00CA4465">
        <w:rPr>
          <w:i/>
        </w:rPr>
        <w:t>Altimus v. Hyundai Motor Co.</w:t>
      </w:r>
      <w:r w:rsidRPr="00CA4465">
        <w:t>, 578 N.W.2d 409, 411 (Minn. App. 1998).</w:t>
      </w:r>
    </w:p>
    <w:p w:rsidR="007B0451" w:rsidRPr="00CA4465" w:rsidRDefault="00595FCD" w:rsidP="00595FCD">
      <w:pPr>
        <w:pStyle w:val="Heading4"/>
      </w:pPr>
      <w:bookmarkStart w:id="94" w:name="_Toc395604473"/>
      <w:r>
        <w:t>c.</w:t>
      </w:r>
      <w:r>
        <w:tab/>
        <w:t xml:space="preserve">Other </w:t>
      </w:r>
      <w:r w:rsidR="00073496" w:rsidRPr="00073496">
        <w:t>B</w:t>
      </w:r>
      <w:r>
        <w:t xml:space="preserve">ases for </w:t>
      </w:r>
      <w:r w:rsidR="00073496">
        <w:t>D</w:t>
      </w:r>
      <w:r>
        <w:t>ismissal</w:t>
      </w:r>
      <w:bookmarkEnd w:id="94"/>
    </w:p>
    <w:p w:rsidR="00C81163" w:rsidRDefault="00C81163" w:rsidP="00595FCD">
      <w:pPr>
        <w:ind w:left="1440"/>
      </w:pPr>
      <w:r w:rsidRPr="00C81163">
        <w:t>W</w:t>
      </w:r>
      <w:r>
        <w:t>e will reverse a district court’</w:t>
      </w:r>
      <w:r w:rsidRPr="00C81163">
        <w:t>s dismissal of a malpractice claim for noncompliance with expert disclosure only if the district court abused its discretion.</w:t>
      </w:r>
      <w:r>
        <w:t xml:space="preserve">  </w:t>
      </w:r>
      <w:r w:rsidRPr="00C81163">
        <w:rPr>
          <w:i/>
        </w:rPr>
        <w:t>Broehm v. Mayo Clinic Rochester</w:t>
      </w:r>
      <w:r w:rsidRPr="00C81163">
        <w:t>, 690 N.W.2d 721, 725 (Minn. 2005)</w:t>
      </w:r>
      <w:r>
        <w:t xml:space="preserve">.  </w:t>
      </w:r>
    </w:p>
    <w:p w:rsidR="00C81163" w:rsidRDefault="00C81163" w:rsidP="00595FCD">
      <w:pPr>
        <w:ind w:left="1440"/>
      </w:pPr>
    </w:p>
    <w:p w:rsidR="00595FCD" w:rsidRDefault="00595FCD" w:rsidP="00595FCD">
      <w:pPr>
        <w:ind w:left="1440"/>
      </w:pPr>
      <w:r w:rsidRPr="00CA4465">
        <w:t xml:space="preserve">A district court’s “dismissal of an action for procedural irregularities will be reversed on appeal only if it is shown that the [district] court abused its discretion.”  </w:t>
      </w:r>
      <w:r w:rsidRPr="00CA4465">
        <w:rPr>
          <w:i/>
          <w:iCs/>
        </w:rPr>
        <w:t>Sorenson v. St. Paul Ramsey Med. Ctr.</w:t>
      </w:r>
      <w:r w:rsidRPr="00CA4465">
        <w:t>, 457 N.W.2d 188, 190 (Minn. 1990) (reviewing dismissal for failure to comply with statutory requirements)</w:t>
      </w:r>
      <w:r>
        <w:t xml:space="preserve">; </w:t>
      </w:r>
      <w:r>
        <w:rPr>
          <w:i/>
        </w:rPr>
        <w:t>Juetten v. LCA-Vision, Inc.</w:t>
      </w:r>
      <w:r>
        <w:t xml:space="preserve">, 777 N.W.2d 772, 775 (Minn. App. 2010), </w:t>
      </w:r>
      <w:r>
        <w:rPr>
          <w:i/>
        </w:rPr>
        <w:t>review denied</w:t>
      </w:r>
      <w:r>
        <w:t xml:space="preserve"> (Minn. Apr. 28, 2010)</w:t>
      </w:r>
      <w:r w:rsidRPr="00CA4465">
        <w:t>.</w:t>
      </w:r>
    </w:p>
    <w:p w:rsidR="00595FCD" w:rsidRPr="00CA4465" w:rsidRDefault="00595FCD" w:rsidP="00595FCD">
      <w:pPr>
        <w:ind w:left="1440"/>
      </w:pPr>
    </w:p>
    <w:p w:rsidR="00C86D30" w:rsidRPr="00CA4465" w:rsidRDefault="007B0451" w:rsidP="00595FCD">
      <w:pPr>
        <w:ind w:left="1440"/>
      </w:pPr>
      <w:r w:rsidRPr="00CA4465">
        <w:t xml:space="preserve">A district court has </w:t>
      </w:r>
      <w:r w:rsidR="00CB36A9" w:rsidRPr="00CA4465">
        <w:t>“</w:t>
      </w:r>
      <w:r w:rsidRPr="00CA4465">
        <w:t xml:space="preserve">a wide discretion in determining whether dismissals shall be with or without prejudice.”  </w:t>
      </w:r>
      <w:r w:rsidRPr="00CA4465">
        <w:rPr>
          <w:i/>
        </w:rPr>
        <w:t>Falkenstein v. Braufman</w:t>
      </w:r>
      <w:r w:rsidRPr="00CA4465">
        <w:t>, 251 Minn. 444, 452, 88 N.W.2d 884, 889 (1958).</w:t>
      </w:r>
    </w:p>
    <w:p w:rsidR="00CB5B6F" w:rsidRDefault="004F10A3" w:rsidP="00337FFA">
      <w:pPr>
        <w:pStyle w:val="Heading3"/>
      </w:pPr>
      <w:bookmarkStart w:id="95" w:name="_Toc48979529"/>
      <w:bookmarkStart w:id="96" w:name="_Toc357064669"/>
      <w:bookmarkStart w:id="97" w:name="_Toc395604474"/>
      <w:r w:rsidRPr="00CA4465">
        <w:t>3.</w:t>
      </w:r>
      <w:r w:rsidRPr="00CA4465">
        <w:tab/>
        <w:t>Summary Judgmen</w:t>
      </w:r>
      <w:bookmarkEnd w:id="95"/>
      <w:bookmarkEnd w:id="96"/>
      <w:r w:rsidR="005D596B">
        <w:t>t</w:t>
      </w:r>
      <w:bookmarkEnd w:id="97"/>
    </w:p>
    <w:p w:rsidR="002E614D" w:rsidRDefault="002E614D" w:rsidP="00C96DC7">
      <w:pPr>
        <w:pStyle w:val="Heading4"/>
        <w:tabs>
          <w:tab w:val="left" w:pos="720"/>
          <w:tab w:val="left" w:pos="1440"/>
          <w:tab w:val="left" w:pos="2160"/>
          <w:tab w:val="left" w:pos="2880"/>
          <w:tab w:val="left" w:pos="3600"/>
          <w:tab w:val="left" w:pos="4212"/>
        </w:tabs>
      </w:pPr>
      <w:bookmarkStart w:id="98" w:name="_Toc395604475"/>
      <w:r w:rsidRPr="008B2F68">
        <w:t>a.</w:t>
      </w:r>
      <w:r w:rsidRPr="008B2F68">
        <w:tab/>
        <w:t>Scope of Review</w:t>
      </w:r>
      <w:bookmarkEnd w:id="98"/>
      <w:r w:rsidR="00C96DC7">
        <w:tab/>
      </w:r>
    </w:p>
    <w:p w:rsidR="002E614D" w:rsidRDefault="002E614D" w:rsidP="005D596B">
      <w:pPr>
        <w:ind w:left="1440"/>
      </w:pPr>
      <w:r w:rsidRPr="00CA4465">
        <w:t xml:space="preserve">“The district court’s denial of a motion for summary judgment is not within the scope of review on appeal from a judgment entered after a jury verdict.”  </w:t>
      </w:r>
      <w:r w:rsidRPr="00CA4465">
        <w:rPr>
          <w:i/>
        </w:rPr>
        <w:t>Bahr v. Boise Cascade Corp.</w:t>
      </w:r>
      <w:r w:rsidRPr="00CA4465">
        <w:t>, 766 N.W.2d 910, 912</w:t>
      </w:r>
      <w:r>
        <w:t xml:space="preserve"> (Minn. 2009).  But the s</w:t>
      </w:r>
      <w:r w:rsidRPr="00CA4465">
        <w:t xml:space="preserve">upreme </w:t>
      </w:r>
      <w:r>
        <w:t>c</w:t>
      </w:r>
      <w:r w:rsidRPr="00CA4465">
        <w:t xml:space="preserve">ourt has recognized that an exception to this rule may exist if the denial of summary judgment is “based on a legal conclusion on an issue that is not presented to the jury for determination.”  </w:t>
      </w:r>
      <w:r w:rsidRPr="00CA4465">
        <w:rPr>
          <w:i/>
        </w:rPr>
        <w:t>Id.</w:t>
      </w:r>
      <w:r w:rsidRPr="00CA4465">
        <w:t xml:space="preserve"> at 918 n.9.</w:t>
      </w:r>
    </w:p>
    <w:p w:rsidR="00CB5B6F" w:rsidRPr="00CB5B6F" w:rsidRDefault="002E614D" w:rsidP="00300AEE">
      <w:pPr>
        <w:pStyle w:val="Heading4"/>
      </w:pPr>
      <w:bookmarkStart w:id="99" w:name="_Toc395604476"/>
      <w:r w:rsidRPr="008B2F68">
        <w:t>b.</w:t>
      </w:r>
      <w:r w:rsidRPr="008B2F68">
        <w:tab/>
        <w:t>Review of Certification Under Minn. R. Civ. P. 54.02</w:t>
      </w:r>
      <w:bookmarkEnd w:id="99"/>
    </w:p>
    <w:p w:rsidR="002E614D" w:rsidRDefault="002E614D" w:rsidP="005D596B">
      <w:pPr>
        <w:ind w:left="1440"/>
      </w:pPr>
      <w:r w:rsidRPr="00CA4465">
        <w:t xml:space="preserve">“Whether an order can properly be certified under Minn. R. Civ. P. 54.02 raises a legal question that requires construction and application of a procedural rule, which we review de novo.  If an order can properly be certified, we review the district court’s decision whether or not to do so for an abuse of discretion.”  </w:t>
      </w:r>
      <w:r w:rsidRPr="00CA4465">
        <w:rPr>
          <w:i/>
        </w:rPr>
        <w:t>T.A. Schifsky &amp; Sons</w:t>
      </w:r>
      <w:r>
        <w:rPr>
          <w:i/>
        </w:rPr>
        <w:t>, Inc.</w:t>
      </w:r>
      <w:r w:rsidRPr="00CA4465">
        <w:rPr>
          <w:i/>
        </w:rPr>
        <w:t xml:space="preserve"> v. Bahr Constr.</w:t>
      </w:r>
      <w:r>
        <w:rPr>
          <w:i/>
        </w:rPr>
        <w:t xml:space="preserve"> LLC</w:t>
      </w:r>
      <w:r w:rsidRPr="00CA4465">
        <w:t>, 773 N.W.2d 783, 786-87 (Minn. 2009) (citation omitted).</w:t>
      </w:r>
    </w:p>
    <w:p w:rsidR="002E614D" w:rsidRPr="00CA4465" w:rsidRDefault="002E614D" w:rsidP="00300AEE">
      <w:pPr>
        <w:pStyle w:val="Heading4"/>
      </w:pPr>
      <w:bookmarkStart w:id="100" w:name="_Toc395604477"/>
      <w:r>
        <w:lastRenderedPageBreak/>
        <w:t>c.</w:t>
      </w:r>
      <w:r>
        <w:tab/>
        <w:t>Standard of Review</w:t>
      </w:r>
      <w:bookmarkEnd w:id="100"/>
    </w:p>
    <w:p w:rsidR="004F10A3" w:rsidRPr="00CA4465" w:rsidRDefault="00C86D30" w:rsidP="006A4E16">
      <w:pPr>
        <w:ind w:left="1440"/>
      </w:pPr>
      <w:r>
        <w:t xml:space="preserve">“On </w:t>
      </w:r>
      <w:r w:rsidR="004F10A3" w:rsidRPr="00CA4465">
        <w:t xml:space="preserve">appeal from summary judgment, we </w:t>
      </w:r>
      <w:r>
        <w:t xml:space="preserve">must review the record to determine whether </w:t>
      </w:r>
      <w:r w:rsidR="004F10A3" w:rsidRPr="00CA4465">
        <w:t xml:space="preserve">there </w:t>
      </w:r>
      <w:r>
        <w:t>is any genuine issue</w:t>
      </w:r>
      <w:r w:rsidR="004F10A3" w:rsidRPr="00CA4465">
        <w:t xml:space="preserve"> of material fact and </w:t>
      </w:r>
      <w:r>
        <w:t xml:space="preserve">whether the </w:t>
      </w:r>
      <w:r w:rsidR="004F10A3" w:rsidRPr="00CA4465">
        <w:t>district court erred in its application of the law</w:t>
      </w:r>
      <w:r w:rsidR="004F10A3" w:rsidRPr="00CB5B6F">
        <w:t>.</w:t>
      </w:r>
      <w:r w:rsidR="004F10A3" w:rsidRPr="00CA4465">
        <w:t xml:space="preserve">” </w:t>
      </w:r>
      <w:r w:rsidRPr="00CB5B6F">
        <w:t xml:space="preserve"> </w:t>
      </w:r>
      <w:r w:rsidRPr="00CB5B6F">
        <w:rPr>
          <w:i/>
        </w:rPr>
        <w:t>Dahlin v. Kroening</w:t>
      </w:r>
      <w:r w:rsidRPr="00CB5B6F">
        <w:t>, 796 N.W.2d 503, 504-05 (Minn. 2011)</w:t>
      </w:r>
      <w:r w:rsidR="004F10A3" w:rsidRPr="00CA4465">
        <w:t>.</w:t>
      </w:r>
    </w:p>
    <w:p w:rsidR="00F04219" w:rsidRPr="00CA4465" w:rsidRDefault="00F04219" w:rsidP="006A4E16">
      <w:pPr>
        <w:ind w:left="1440"/>
      </w:pPr>
    </w:p>
    <w:p w:rsidR="00596F9E" w:rsidRDefault="00F04219" w:rsidP="006A4E16">
      <w:pPr>
        <w:ind w:left="1440"/>
      </w:pPr>
      <w:r w:rsidRPr="00CA4465">
        <w:t xml:space="preserve">“We </w:t>
      </w:r>
      <w:r w:rsidR="00C86D30">
        <w:t xml:space="preserve">review a </w:t>
      </w:r>
      <w:r w:rsidRPr="00CA4465">
        <w:t>district court</w:t>
      </w:r>
      <w:r w:rsidR="00C86D30">
        <w:t>’s</w:t>
      </w:r>
      <w:r w:rsidRPr="00CA4465">
        <w:t xml:space="preserve"> summary judgment </w:t>
      </w:r>
      <w:r w:rsidR="00C86D30">
        <w:t xml:space="preserve">decision </w:t>
      </w:r>
      <w:r w:rsidRPr="00CA4465">
        <w:t>de novo.</w:t>
      </w:r>
      <w:r w:rsidR="00FD714A">
        <w:t xml:space="preserve">  In doing so, we determine whether the district court properly applied the law and whether there are genuine issues of material fact that preclude summary judgment.</w:t>
      </w:r>
      <w:r w:rsidRPr="00CA4465">
        <w:t>”</w:t>
      </w:r>
      <w:r w:rsidR="00FD714A">
        <w:rPr>
          <w:i/>
        </w:rPr>
        <w:t xml:space="preserve">  Riverview Muir Doran, LLC v. JADT Dev. Grp</w:t>
      </w:r>
      <w:r w:rsidR="008D2C66">
        <w:rPr>
          <w:i/>
        </w:rPr>
        <w:t>.</w:t>
      </w:r>
      <w:r w:rsidR="00FD714A">
        <w:rPr>
          <w:i/>
        </w:rPr>
        <w:t>, LLC</w:t>
      </w:r>
      <w:r w:rsidR="00FD714A">
        <w:t>, 790 N.W.2d 167, 170 (Minn. 2010) (citation omitted).</w:t>
      </w:r>
    </w:p>
    <w:p w:rsidR="00596F9E" w:rsidRDefault="00596F9E" w:rsidP="006A4E16">
      <w:pPr>
        <w:ind w:left="1440"/>
      </w:pPr>
    </w:p>
    <w:p w:rsidR="00306442" w:rsidRDefault="00306442" w:rsidP="006A4E16">
      <w:pPr>
        <w:ind w:left="1440"/>
      </w:pPr>
      <w:r w:rsidRPr="00CA4465">
        <w:t>“</w:t>
      </w:r>
      <w:r w:rsidR="008D2C66">
        <w:t>On appeal, we</w:t>
      </w:r>
      <w:r w:rsidRPr="00CA4465">
        <w:t xml:space="preserve"> review</w:t>
      </w:r>
      <w:r w:rsidR="00FD714A">
        <w:t xml:space="preserve"> a</w:t>
      </w:r>
      <w:r w:rsidR="008D2C66">
        <w:t xml:space="preserve"> grant of summary judgment ‘to </w:t>
      </w:r>
      <w:r w:rsidR="00FD714A">
        <w:t>determine (1) if there are genuine issues of material fact and (2) if the district court erred in its application of the law.</w:t>
      </w:r>
      <w:r w:rsidR="008D2C66">
        <w:t>’</w:t>
      </w:r>
      <w:r w:rsidR="00FD714A">
        <w:t xml:space="preserve">”  </w:t>
      </w:r>
      <w:r w:rsidR="00FD714A">
        <w:rPr>
          <w:i/>
        </w:rPr>
        <w:t>Osborne v. Twin Town Bowl, Inc.</w:t>
      </w:r>
      <w:r w:rsidR="00FD714A">
        <w:t>, 749 N.W.2d 367, 371 (Minn. 2008)</w:t>
      </w:r>
      <w:r w:rsidR="008D2C66">
        <w:t xml:space="preserve"> (quoting </w:t>
      </w:r>
      <w:r w:rsidR="008D2C66">
        <w:rPr>
          <w:i/>
        </w:rPr>
        <w:t>K.R. v. Sanford</w:t>
      </w:r>
      <w:r w:rsidR="008D2C66">
        <w:t>, 605 N.W.2d 387, 389 (Minn. 2000))</w:t>
      </w:r>
      <w:r w:rsidRPr="00CA4465">
        <w:t xml:space="preserve">. </w:t>
      </w:r>
    </w:p>
    <w:p w:rsidR="00CB5B6F" w:rsidRDefault="00CB5B6F" w:rsidP="006A4E16">
      <w:pPr>
        <w:ind w:left="1440"/>
      </w:pPr>
    </w:p>
    <w:p w:rsidR="00CB5B6F" w:rsidRDefault="00CB5B6F" w:rsidP="006A4E16">
      <w:pPr>
        <w:ind w:left="1440"/>
      </w:pPr>
      <w:r>
        <w:t xml:space="preserve">“On appeal from summary judgment, we review whether there are any genuine issues of material fact and whether the district court erred in its application of the law.   We view the evidence in the light most favorable to the party against whom summary judgment was granted.  We review de novo whether a genuine issue of material fact exists.  We also review de novo whether the district court erred in its application of the law.”  </w:t>
      </w:r>
      <w:r w:rsidRPr="0076031F">
        <w:rPr>
          <w:i/>
        </w:rPr>
        <w:t>STAR Centers, Inc. v. Faegre &amp; Benson, L.L.P.</w:t>
      </w:r>
      <w:r>
        <w:t>, 644 N.W.2d 72, 76 (Minn. 2002) (citations omitted).</w:t>
      </w:r>
    </w:p>
    <w:p w:rsidR="004F10A3" w:rsidRPr="00CA4465" w:rsidRDefault="004F10A3" w:rsidP="006A4E16">
      <w:pPr>
        <w:ind w:left="1440"/>
      </w:pPr>
    </w:p>
    <w:p w:rsidR="004F10A3" w:rsidRPr="00CA4465" w:rsidRDefault="004F10A3" w:rsidP="006A4E16">
      <w:pPr>
        <w:ind w:left="1440"/>
      </w:pPr>
      <w:r w:rsidRPr="00CA4465">
        <w:t xml:space="preserve">“A motion for summary judgment shall be granted when the pleadings, depositions, answers to interrogatories, and admissions on file, together with the affidavits, if any, show that there is no genuine issue of material fact and that either party is entitled to a judgment as a matter of law.  On appeal, the reviewing court must view the evidence in the light most favorable to the party against whom judgment was granted.”  </w:t>
      </w:r>
      <w:r w:rsidRPr="00CA4465">
        <w:rPr>
          <w:i/>
          <w:iCs/>
        </w:rPr>
        <w:t>Fabio v. Bellomo</w:t>
      </w:r>
      <w:r w:rsidRPr="00CA4465">
        <w:t>, 504 N.W.2d 758, 761 (Minn. 1993) (citation omitted)</w:t>
      </w:r>
      <w:r w:rsidR="00A17F9A">
        <w:t xml:space="preserve">; </w:t>
      </w:r>
      <w:r w:rsidR="00A17F9A">
        <w:rPr>
          <w:i/>
        </w:rPr>
        <w:t>see</w:t>
      </w:r>
      <w:r w:rsidR="00A17F9A">
        <w:t xml:space="preserve"> Minn. R. Civ. P.  56.03</w:t>
      </w:r>
      <w:r w:rsidRPr="00CA4465">
        <w:t>.</w:t>
      </w:r>
    </w:p>
    <w:p w:rsidR="004F10A3" w:rsidRPr="00CA4465" w:rsidRDefault="004F10A3" w:rsidP="006A4E16">
      <w:pPr>
        <w:ind w:left="1440"/>
      </w:pPr>
    </w:p>
    <w:p w:rsidR="004F10A3" w:rsidRPr="00CA4465" w:rsidRDefault="004F10A3" w:rsidP="006A4E16">
      <w:pPr>
        <w:ind w:left="1440"/>
      </w:pPr>
      <w:r w:rsidRPr="00CA4465">
        <w:t xml:space="preserve">“[T]here is no genuine issue of material fact for trial when the nonmoving party presents evidence which merely creates a metaphysical doubt as to a factual issue and which is not sufficiently probative with respect to an essential element of the nonmoving party’s case to permit reasonable persons to draw different conclusions.”  </w:t>
      </w:r>
      <w:r w:rsidRPr="00CA4465">
        <w:rPr>
          <w:i/>
          <w:iCs/>
        </w:rPr>
        <w:t>DLH, Inc. v. Russ</w:t>
      </w:r>
      <w:r w:rsidRPr="00CA4465">
        <w:t>, 566 N.W.2d 60, 71 (Minn. 1997).</w:t>
      </w:r>
      <w:r w:rsidR="006A0613" w:rsidRPr="00CA4465">
        <w:t xml:space="preserve">  “[T]he party resisting summary judgment must do more than rest on mere averments.”  </w:t>
      </w:r>
      <w:r w:rsidR="006A0613" w:rsidRPr="00CA4465">
        <w:rPr>
          <w:i/>
        </w:rPr>
        <w:t>Id.</w:t>
      </w:r>
      <w:r w:rsidR="006A0613" w:rsidRPr="00CA4465">
        <w:t xml:space="preserve"> </w:t>
      </w:r>
    </w:p>
    <w:p w:rsidR="004F10A3" w:rsidRPr="00CA4465" w:rsidRDefault="004F10A3" w:rsidP="006A4E16">
      <w:pPr>
        <w:ind w:left="1440"/>
      </w:pPr>
    </w:p>
    <w:p w:rsidR="009A5C37" w:rsidRDefault="004F10A3" w:rsidP="005D596B">
      <w:pPr>
        <w:ind w:left="1440"/>
      </w:pPr>
      <w:r w:rsidRPr="00CA4465">
        <w:t xml:space="preserve">No genuine issue for trial exists “[w]here the record taken as a whole could not lead a rational trier of fact to find for the nonmoving party.”  </w:t>
      </w:r>
      <w:r w:rsidRPr="00CA4465">
        <w:rPr>
          <w:i/>
          <w:iCs/>
        </w:rPr>
        <w:t>DLH, Inc. v. Russ</w:t>
      </w:r>
      <w:r w:rsidRPr="00CA4465">
        <w:rPr>
          <w:iCs/>
        </w:rPr>
        <w:t>, 566 N.W.2d 60,</w:t>
      </w:r>
      <w:r w:rsidRPr="00CA4465">
        <w:t xml:space="preserve"> 69 (Minn. 1997) (alteration in original) (quoting </w:t>
      </w:r>
      <w:r w:rsidRPr="00CA4465">
        <w:rPr>
          <w:i/>
          <w:iCs/>
        </w:rPr>
        <w:t>Matsushita Elec. Indus. Co. v. Zenith Radio Corp.</w:t>
      </w:r>
      <w:r w:rsidRPr="00CA4465">
        <w:t xml:space="preserve">, 475 U.S. 574, 587, 106 S. Ct. 1348, 1356 (1986)).  </w:t>
      </w:r>
      <w:r w:rsidR="00813BA2" w:rsidRPr="00CA4465">
        <w:t>“</w:t>
      </w:r>
      <w:r w:rsidR="00522ECF" w:rsidRPr="00CA4465">
        <w:t>[</w:t>
      </w:r>
      <w:r w:rsidR="00813BA2" w:rsidRPr="00CA4465">
        <w:t>W</w:t>
      </w:r>
      <w:r w:rsidR="00522ECF" w:rsidRPr="00CA4465">
        <w:t>]</w:t>
      </w:r>
      <w:r w:rsidR="00813BA2" w:rsidRPr="00CA4465">
        <w:t>hen the nonmoving party bears the burden of proof on an element essential to the nonmoving party</w:t>
      </w:r>
      <w:r w:rsidR="00DC584C" w:rsidRPr="00CA4465">
        <w:t>’</w:t>
      </w:r>
      <w:r w:rsidR="00813BA2" w:rsidRPr="00CA4465">
        <w:t xml:space="preserve">s case, the nonmoving party must make a </w:t>
      </w:r>
      <w:r w:rsidR="00813BA2" w:rsidRPr="00CA4465">
        <w:lastRenderedPageBreak/>
        <w:t xml:space="preserve">showing sufficient to establish that essential element.”  </w:t>
      </w:r>
      <w:r w:rsidR="00813BA2" w:rsidRPr="00CA4465">
        <w:rPr>
          <w:i/>
        </w:rPr>
        <w:t>Id.</w:t>
      </w:r>
      <w:r w:rsidR="00B20B06" w:rsidRPr="00CA4465">
        <w:t xml:space="preserve"> at 71</w:t>
      </w:r>
      <w:r w:rsidR="00813BA2" w:rsidRPr="00CA4465">
        <w:t xml:space="preserve">; </w:t>
      </w:r>
      <w:r w:rsidR="00813BA2" w:rsidRPr="00CA4465">
        <w:rPr>
          <w:i/>
        </w:rPr>
        <w:t>see also</w:t>
      </w:r>
      <w:r w:rsidR="00813BA2" w:rsidRPr="00CA4465">
        <w:t xml:space="preserve"> </w:t>
      </w:r>
      <w:r w:rsidR="00813BA2" w:rsidRPr="00CA4465">
        <w:rPr>
          <w:i/>
        </w:rPr>
        <w:t xml:space="preserve">Schroeder v. St. Louis </w:t>
      </w:r>
      <w:r w:rsidR="00DC7EC2" w:rsidRPr="00CA4465">
        <w:rPr>
          <w:i/>
        </w:rPr>
        <w:t>Cnty.</w:t>
      </w:r>
      <w:r w:rsidR="00813BA2" w:rsidRPr="00CA4465">
        <w:t xml:space="preserve">, 708 N.W.2d 497, 507 (Minn. 2006) </w:t>
      </w:r>
      <w:r w:rsidR="00823329" w:rsidRPr="00CA4465">
        <w:t xml:space="preserve">(describing </w:t>
      </w:r>
      <w:r w:rsidR="00823329" w:rsidRPr="00CA4465">
        <w:rPr>
          <w:i/>
        </w:rPr>
        <w:t>substantial evidence</w:t>
      </w:r>
      <w:r w:rsidR="00823329" w:rsidRPr="00CA4465">
        <w:t xml:space="preserve"> as “incorrect legal standard” and clarifying that “summary judgment is inappropriate if the nonmoving party has the burden of proof on an issue and presents </w:t>
      </w:r>
      <w:r w:rsidR="007C21FA" w:rsidRPr="00CA4465">
        <w:rPr>
          <w:i/>
        </w:rPr>
        <w:t xml:space="preserve">sufficient </w:t>
      </w:r>
      <w:r w:rsidR="00823329" w:rsidRPr="00CA4465">
        <w:rPr>
          <w:i/>
        </w:rPr>
        <w:t xml:space="preserve">evidence </w:t>
      </w:r>
      <w:r w:rsidR="00823329" w:rsidRPr="00CA4465">
        <w:t>to permit reasonable persons to draw different conclusions”).</w:t>
      </w:r>
    </w:p>
    <w:p w:rsidR="0030278C" w:rsidRDefault="0030278C" w:rsidP="0030278C">
      <w:pPr>
        <w:pStyle w:val="Heading4"/>
      </w:pPr>
      <w:bookmarkStart w:id="101" w:name="_Toc395604478"/>
      <w:r>
        <w:t>d.</w:t>
      </w:r>
      <w:r>
        <w:tab/>
        <w:t xml:space="preserve">Equitable </w:t>
      </w:r>
      <w:r w:rsidR="005E7289">
        <w:t>I</w:t>
      </w:r>
      <w:r>
        <w:t>ssues</w:t>
      </w:r>
      <w:bookmarkEnd w:id="101"/>
    </w:p>
    <w:p w:rsidR="0030278C" w:rsidRPr="00523126" w:rsidRDefault="0030278C" w:rsidP="00523126">
      <w:pPr>
        <w:ind w:left="1440"/>
      </w:pPr>
      <w:r w:rsidRPr="008B2F68">
        <w:t>The Minnesota Supreme Court has “discussed the standard of review on appeal from a grant of summary judgment involving claims for equitable relief” and “concluded that when the relevant facts are undisputed the standard of review is de novo, but a more deferential</w:t>
      </w:r>
      <w:r w:rsidR="008B2F68" w:rsidRPr="008B2F68">
        <w:t xml:space="preserve"> abuse of discretion</w:t>
      </w:r>
      <w:r w:rsidRPr="008B2F68">
        <w:t xml:space="preserve"> standard of review might be applicable </w:t>
      </w:r>
      <w:r w:rsidR="00523126" w:rsidRPr="008B2F68">
        <w:t xml:space="preserve">where the district court, after balancing the equities, determines not to award equitable relief.”  </w:t>
      </w:r>
      <w:r w:rsidR="00523126" w:rsidRPr="008B2F68">
        <w:rPr>
          <w:i/>
        </w:rPr>
        <w:t>Caldas v. Affordable Granite &amp; Stone, Inc.</w:t>
      </w:r>
      <w:r w:rsidR="00523126" w:rsidRPr="008B2F68">
        <w:t>, 820 N.W.2d 826, 837-38 (Minn. 2012) (citation omitted).</w:t>
      </w:r>
      <w:r w:rsidR="00523126">
        <w:t xml:space="preserve">  </w:t>
      </w:r>
    </w:p>
    <w:p w:rsidR="00F73CA9" w:rsidRPr="008B2F68" w:rsidRDefault="0030278C" w:rsidP="00300AEE">
      <w:pPr>
        <w:pStyle w:val="Heading4"/>
      </w:pPr>
      <w:bookmarkStart w:id="102" w:name="_Toc395604479"/>
      <w:r w:rsidRPr="008B2F68">
        <w:t>e</w:t>
      </w:r>
      <w:r w:rsidR="00F73CA9" w:rsidRPr="008B2F68">
        <w:t>.</w:t>
      </w:r>
      <w:r w:rsidR="00F73CA9" w:rsidRPr="008B2F68">
        <w:tab/>
        <w:t>Affirmance on Other Grounds</w:t>
      </w:r>
      <w:bookmarkEnd w:id="102"/>
    </w:p>
    <w:p w:rsidR="00F73CA9" w:rsidRPr="008B2F68" w:rsidRDefault="00F73CA9" w:rsidP="006A4E16">
      <w:pPr>
        <w:ind w:left="1440"/>
      </w:pPr>
      <w:r w:rsidRPr="008B2F68">
        <w:t xml:space="preserve">“[W]e may affirm a grant of summary judgment if it can be sustained on any grounds.”  </w:t>
      </w:r>
      <w:r w:rsidRPr="008B2F68">
        <w:rPr>
          <w:i/>
        </w:rPr>
        <w:t>Doe 76C v. Archdiocese of St. Paul</w:t>
      </w:r>
      <w:r w:rsidRPr="008B2F68">
        <w:t xml:space="preserve">, 817 N.W.2d 150, </w:t>
      </w:r>
      <w:r w:rsidR="008641B1" w:rsidRPr="008B2F68">
        <w:t>16</w:t>
      </w:r>
      <w:r w:rsidR="008B2F68" w:rsidRPr="008B2F68">
        <w:t>3</w:t>
      </w:r>
      <w:r w:rsidRPr="008B2F68">
        <w:t xml:space="preserve"> (Minn. 2012)</w:t>
      </w:r>
      <w:r w:rsidR="008641B1" w:rsidRPr="008B2F68">
        <w:t>.</w:t>
      </w:r>
    </w:p>
    <w:p w:rsidR="008641B1" w:rsidRPr="008B2F68" w:rsidRDefault="008641B1" w:rsidP="006A4E16">
      <w:pPr>
        <w:ind w:left="1440"/>
      </w:pPr>
    </w:p>
    <w:p w:rsidR="00596F9E" w:rsidRDefault="008641B1" w:rsidP="005D596B">
      <w:pPr>
        <w:ind w:left="1440"/>
      </w:pPr>
      <w:r w:rsidRPr="008B2F68">
        <w:t xml:space="preserve">“[W]e may affirm a summary judgment if there are no genuine issues of material fact and if the decision is correct on other grounds.”  </w:t>
      </w:r>
      <w:r w:rsidRPr="008B2F68">
        <w:rPr>
          <w:i/>
        </w:rPr>
        <w:t>Winkler v. Magnuson</w:t>
      </w:r>
      <w:r w:rsidRPr="008B2F68">
        <w:t>, 539 N.W.2d 821, 827 (Minn. App. 1995) (quotation omitted).</w:t>
      </w:r>
      <w:r>
        <w:t xml:space="preserve">  </w:t>
      </w:r>
    </w:p>
    <w:p w:rsidR="004F10A3" w:rsidRPr="005D596B" w:rsidRDefault="004F10A3" w:rsidP="00604DD4">
      <w:pPr>
        <w:pStyle w:val="Heading2"/>
      </w:pPr>
      <w:bookmarkStart w:id="103" w:name="_Toc48979530"/>
      <w:bookmarkStart w:id="104" w:name="_Toc357064670"/>
      <w:bookmarkStart w:id="105" w:name="_Toc395604480"/>
      <w:r w:rsidRPr="00CA4465">
        <w:t>D.</w:t>
      </w:r>
      <w:r w:rsidRPr="00CA4465">
        <w:tab/>
        <w:t>TRIAL MATTERS</w:t>
      </w:r>
      <w:bookmarkEnd w:id="103"/>
      <w:bookmarkEnd w:id="104"/>
      <w:bookmarkEnd w:id="105"/>
    </w:p>
    <w:p w:rsidR="004F10A3" w:rsidRPr="005D596B" w:rsidRDefault="004F10A3" w:rsidP="00337FFA">
      <w:pPr>
        <w:pStyle w:val="Heading3"/>
      </w:pPr>
      <w:bookmarkStart w:id="106" w:name="_Toc48979531"/>
      <w:bookmarkStart w:id="107" w:name="_Toc357064671"/>
      <w:bookmarkStart w:id="108" w:name="_Toc395604481"/>
      <w:r w:rsidRPr="00CA4465">
        <w:t>1.</w:t>
      </w:r>
      <w:r w:rsidRPr="00CA4465">
        <w:tab/>
        <w:t>Evidentiary Issues</w:t>
      </w:r>
      <w:bookmarkEnd w:id="106"/>
      <w:bookmarkEnd w:id="107"/>
      <w:bookmarkEnd w:id="108"/>
    </w:p>
    <w:p w:rsidR="004F10A3" w:rsidRPr="005D596B" w:rsidRDefault="004F10A3" w:rsidP="00300AEE">
      <w:pPr>
        <w:pStyle w:val="Heading4"/>
      </w:pPr>
      <w:bookmarkStart w:id="109" w:name="_Toc48979532"/>
      <w:bookmarkStart w:id="110" w:name="_Toc395604482"/>
      <w:r w:rsidRPr="00CA4465">
        <w:t>a.</w:t>
      </w:r>
      <w:r w:rsidRPr="00CA4465">
        <w:tab/>
        <w:t>Admission and Exclusion of Evidence</w:t>
      </w:r>
      <w:bookmarkEnd w:id="109"/>
      <w:bookmarkEnd w:id="110"/>
    </w:p>
    <w:p w:rsidR="008926C9" w:rsidRPr="00CA4465" w:rsidRDefault="00823329" w:rsidP="00D01BFC">
      <w:pPr>
        <w:ind w:left="1440"/>
        <w:rPr>
          <w:strike/>
        </w:rPr>
      </w:pPr>
      <w:r w:rsidRPr="00CA4465">
        <w:t xml:space="preserve">“The admission of evidence rests within the broad discretion of the </w:t>
      </w:r>
      <w:r w:rsidR="00A14F2D" w:rsidRPr="00CA4465">
        <w:t>[district]</w:t>
      </w:r>
      <w:r w:rsidRPr="00CA4465">
        <w:t xml:space="preserve"> court and its ruling will not be disturbed unless it is based on an erroneous view of the law or constitutes an abuse of discretion.</w:t>
      </w:r>
      <w:r w:rsidR="008926C9" w:rsidRPr="00CA4465">
        <w:t>”</w:t>
      </w:r>
      <w:r w:rsidRPr="00CA4465">
        <w:t xml:space="preserve"> </w:t>
      </w:r>
      <w:r w:rsidR="00A14F2D" w:rsidRPr="00CA4465">
        <w:t xml:space="preserve"> </w:t>
      </w:r>
      <w:r w:rsidR="008926C9" w:rsidRPr="00CA4465">
        <w:rPr>
          <w:i/>
        </w:rPr>
        <w:t>Kroning v. State Farm Auto. Ins. Co.</w:t>
      </w:r>
      <w:r w:rsidR="008926C9" w:rsidRPr="00CA4465">
        <w:t>, 567 N.W.2d 42, 45-46 (Minn. 1997) (quotation omitted).</w:t>
      </w:r>
    </w:p>
    <w:p w:rsidR="008926C9" w:rsidRPr="00CA4465" w:rsidRDefault="008926C9" w:rsidP="00D01BFC">
      <w:pPr>
        <w:ind w:left="1440"/>
        <w:rPr>
          <w:strike/>
        </w:rPr>
      </w:pPr>
    </w:p>
    <w:p w:rsidR="00823329" w:rsidRPr="00CA4465" w:rsidRDefault="001C7797" w:rsidP="00D01BFC">
      <w:pPr>
        <w:ind w:left="1440"/>
      </w:pPr>
      <w:r w:rsidRPr="00CA4465">
        <w:t>“</w:t>
      </w:r>
      <w:r w:rsidR="00823329" w:rsidRPr="00CA4465">
        <w:t xml:space="preserve">In the absence of some indication that the </w:t>
      </w:r>
      <w:r w:rsidRPr="00CA4465">
        <w:t>[</w:t>
      </w:r>
      <w:r w:rsidR="00A14F2D" w:rsidRPr="00CA4465">
        <w:t>district</w:t>
      </w:r>
      <w:r w:rsidRPr="00CA4465">
        <w:t>]</w:t>
      </w:r>
      <w:r w:rsidR="00823329" w:rsidRPr="00CA4465">
        <w:t xml:space="preserve"> court exercised its discretion arbitrarily, capriciously, or contrary to legal usage, the appellate court is bound by the result.”  </w:t>
      </w:r>
      <w:r w:rsidR="00823329" w:rsidRPr="00CA4465">
        <w:rPr>
          <w:i/>
        </w:rPr>
        <w:t>Kroning v. State Farm Auto. Ins. Co.</w:t>
      </w:r>
      <w:r w:rsidR="00823329" w:rsidRPr="00CA4465">
        <w:t>, 567 N.W.2d 42, 46 (Minn. 1997).</w:t>
      </w:r>
    </w:p>
    <w:p w:rsidR="004F10A3" w:rsidRPr="00CA4465" w:rsidRDefault="004F10A3" w:rsidP="00D01BFC">
      <w:pPr>
        <w:ind w:left="1440"/>
      </w:pPr>
    </w:p>
    <w:p w:rsidR="004F10A3" w:rsidRPr="00CA4465" w:rsidRDefault="004F10A3" w:rsidP="00D01BFC">
      <w:pPr>
        <w:ind w:left="1440"/>
      </w:pPr>
      <w:r w:rsidRPr="00CA4465">
        <w:t xml:space="preserve">“Entitlement to a new trial on the grounds of improper evidentiary rulings rests upon the complaining party’s ability to demonstrate prejudicial error.”  </w:t>
      </w:r>
      <w:r w:rsidR="008926C9" w:rsidRPr="00CA4465">
        <w:rPr>
          <w:i/>
          <w:iCs/>
        </w:rPr>
        <w:t>Kroning v. State Farm Auto. Ins. Co.</w:t>
      </w:r>
      <w:r w:rsidR="008926C9" w:rsidRPr="00CA4465">
        <w:t xml:space="preserve">, 567 N.W.2d 42, 46 (Minn. 1997) </w:t>
      </w:r>
      <w:r w:rsidRPr="00CA4465">
        <w:t>(quotation omitted).</w:t>
      </w:r>
    </w:p>
    <w:p w:rsidR="004F10A3" w:rsidRPr="00CA4465" w:rsidRDefault="004F10A3" w:rsidP="00D01BFC">
      <w:pPr>
        <w:ind w:left="1440"/>
      </w:pPr>
    </w:p>
    <w:p w:rsidR="004F10A3" w:rsidRPr="00CA4465" w:rsidRDefault="004F10A3" w:rsidP="00D01BFC">
      <w:pPr>
        <w:ind w:left="1440"/>
      </w:pPr>
      <w:r w:rsidRPr="00CA4465">
        <w:lastRenderedPageBreak/>
        <w:t xml:space="preserve">“[T]he </w:t>
      </w:r>
      <w:r w:rsidR="008926C9" w:rsidRPr="00CA4465">
        <w:t>[district]</w:t>
      </w:r>
      <w:r w:rsidRPr="00CA4465">
        <w:t xml:space="preserve"> court has the discretion to refuse to receive inadmissible evidence offered without objection.”  </w:t>
      </w:r>
      <w:r w:rsidRPr="00CA4465">
        <w:rPr>
          <w:i/>
          <w:iCs/>
        </w:rPr>
        <w:t>St. Croix Eng’g Corp. v. McLay</w:t>
      </w:r>
      <w:r w:rsidRPr="00CA4465">
        <w:t>, 304 N.W.2d 912, 914 (Minn. 1981).</w:t>
      </w:r>
    </w:p>
    <w:p w:rsidR="004F10A3" w:rsidRPr="00CA4465" w:rsidRDefault="004F10A3" w:rsidP="00D01BFC">
      <w:pPr>
        <w:ind w:left="1440"/>
      </w:pPr>
    </w:p>
    <w:p w:rsidR="004F10A3" w:rsidRPr="00CA4465" w:rsidRDefault="004F10A3" w:rsidP="00D01BFC">
      <w:pPr>
        <w:ind w:left="1440"/>
      </w:pPr>
      <w:r w:rsidRPr="00CA4465">
        <w:t xml:space="preserve">“Evidentiary rulings concerning materiality, foundation, remoteness, relevancy, or the cumulative nature of the evidence are within the </w:t>
      </w:r>
      <w:r w:rsidR="008926C9" w:rsidRPr="00CA4465">
        <w:t>[district]</w:t>
      </w:r>
      <w:r w:rsidRPr="00CA4465">
        <w:t xml:space="preserve"> court’s sound discretion and will only be reversed when that discretion has been clearly abused.”  </w:t>
      </w:r>
      <w:r w:rsidRPr="00CA4465">
        <w:rPr>
          <w:i/>
          <w:iCs/>
        </w:rPr>
        <w:t>Johnson v. Wash</w:t>
      </w:r>
      <w:r w:rsidR="005231B7" w:rsidRPr="00CA4465">
        <w:rPr>
          <w:i/>
          <w:iCs/>
        </w:rPr>
        <w:t>.</w:t>
      </w:r>
      <w:r w:rsidRPr="00CA4465">
        <w:rPr>
          <w:i/>
          <w:iCs/>
        </w:rPr>
        <w:t xml:space="preserve"> </w:t>
      </w:r>
      <w:r w:rsidR="00DC7EC2" w:rsidRPr="00CA4465">
        <w:rPr>
          <w:i/>
          <w:iCs/>
        </w:rPr>
        <w:t>Cnty.</w:t>
      </w:r>
      <w:r w:rsidRPr="00CA4465">
        <w:t>, 518 N.W.2d 594, 601 (Minn. 1994) (quotation omitted).</w:t>
      </w:r>
    </w:p>
    <w:p w:rsidR="003B344F" w:rsidRPr="00CA4465" w:rsidRDefault="003B344F" w:rsidP="00D01BFC">
      <w:pPr>
        <w:ind w:left="1440"/>
      </w:pPr>
    </w:p>
    <w:p w:rsidR="004F10A3" w:rsidRPr="00CA4465" w:rsidRDefault="003B344F" w:rsidP="005D596B">
      <w:pPr>
        <w:ind w:left="1440"/>
      </w:pPr>
      <w:r w:rsidRPr="00CA4465">
        <w:t xml:space="preserve">“The application of the parol evidence rule is a question of law subject to de novo review.”  </w:t>
      </w:r>
      <w:r w:rsidRPr="00CA4465">
        <w:rPr>
          <w:i/>
        </w:rPr>
        <w:t>Mollico v. Mollico</w:t>
      </w:r>
      <w:r w:rsidRPr="00CA4465">
        <w:t>, 628 N.W.2d 637, 640 (Minn. App. 2001)</w:t>
      </w:r>
      <w:r w:rsidR="00A17F9A">
        <w:t xml:space="preserve">; </w:t>
      </w:r>
      <w:r w:rsidR="00A17F9A">
        <w:rPr>
          <w:i/>
        </w:rPr>
        <w:t>see Borgersen v. Cardiovascular Sys., Inc.</w:t>
      </w:r>
      <w:r w:rsidR="00A17F9A">
        <w:t>, 729 N.W.2d 619, 625 (Minn. App. 2007) (“Whether an agreement is completely integrated and therefore not subject to variance by parol evidence is an issue of law.”)</w:t>
      </w:r>
      <w:r w:rsidRPr="00CA4465">
        <w:t>.</w:t>
      </w:r>
    </w:p>
    <w:p w:rsidR="00A17F9A" w:rsidRPr="005D596B" w:rsidRDefault="004F10A3" w:rsidP="00300AEE">
      <w:pPr>
        <w:pStyle w:val="Heading4"/>
      </w:pPr>
      <w:bookmarkStart w:id="111" w:name="_Toc48979533"/>
      <w:bookmarkStart w:id="112" w:name="_Toc395604483"/>
      <w:r w:rsidRPr="00CA4465">
        <w:t>b.</w:t>
      </w:r>
      <w:r w:rsidRPr="00CA4465">
        <w:tab/>
        <w:t>Foundation for Evidence</w:t>
      </w:r>
      <w:bookmarkEnd w:id="111"/>
      <w:bookmarkEnd w:id="112"/>
    </w:p>
    <w:p w:rsidR="00254224" w:rsidRPr="00254224" w:rsidRDefault="00254224" w:rsidP="005D596B">
      <w:pPr>
        <w:ind w:left="1440"/>
      </w:pPr>
      <w:r w:rsidRPr="008B2F68">
        <w:t xml:space="preserve">“We review a district court’s evidentiary rulings, including rulings on foundational reliability, for an abuse of discretion.”  </w:t>
      </w:r>
      <w:r w:rsidRPr="008B2F68">
        <w:rPr>
          <w:i/>
        </w:rPr>
        <w:t>Doe</w:t>
      </w:r>
      <w:r w:rsidR="008B2F68" w:rsidRPr="008B2F68">
        <w:rPr>
          <w:i/>
        </w:rPr>
        <w:t xml:space="preserve"> 76C</w:t>
      </w:r>
      <w:r w:rsidRPr="008B2F68">
        <w:rPr>
          <w:i/>
        </w:rPr>
        <w:t xml:space="preserve"> v. Archdiocese of St. Paul</w:t>
      </w:r>
      <w:r w:rsidRPr="008B2F68">
        <w:t>, 817 N.W.2d 150, 164 (Minn. 2012).</w:t>
      </w:r>
      <w:r>
        <w:t xml:space="preserve">  </w:t>
      </w:r>
    </w:p>
    <w:p w:rsidR="00254224" w:rsidRDefault="00254224" w:rsidP="005D596B">
      <w:pPr>
        <w:ind w:left="1440"/>
      </w:pPr>
    </w:p>
    <w:p w:rsidR="004F10A3" w:rsidRPr="00CA4465" w:rsidRDefault="00467710" w:rsidP="005D596B">
      <w:pPr>
        <w:ind w:left="1440"/>
      </w:pPr>
      <w:r w:rsidRPr="00CA4465">
        <w:t>“[</w:t>
      </w:r>
      <w:r w:rsidR="004F10A3" w:rsidRPr="00CA4465">
        <w:t>A</w:t>
      </w:r>
      <w:r w:rsidRPr="00CA4465">
        <w:t>]</w:t>
      </w:r>
      <w:r w:rsidR="004F10A3" w:rsidRPr="00CA4465">
        <w:t xml:space="preserve"> decision on sufficiency of foundation is within the discretion of the </w:t>
      </w:r>
      <w:r w:rsidRPr="00CA4465">
        <w:t>[</w:t>
      </w:r>
      <w:r w:rsidR="004F10A3" w:rsidRPr="00CA4465">
        <w:t>district</w:t>
      </w:r>
      <w:r w:rsidRPr="00CA4465">
        <w:t>]</w:t>
      </w:r>
      <w:r w:rsidR="004F10A3" w:rsidRPr="00CA4465">
        <w:t xml:space="preserve"> court.</w:t>
      </w:r>
      <w:r w:rsidR="009A5C37" w:rsidRPr="00CA4465">
        <w:t>”</w:t>
      </w:r>
      <w:r w:rsidR="004F10A3" w:rsidRPr="00CA4465">
        <w:t xml:space="preserve">  </w:t>
      </w:r>
      <w:r w:rsidR="004F10A3" w:rsidRPr="00CA4465">
        <w:rPr>
          <w:i/>
          <w:iCs/>
        </w:rPr>
        <w:t>McKay’s Family Dodge v. Hardrives, Inc.</w:t>
      </w:r>
      <w:r w:rsidR="004F10A3" w:rsidRPr="00CA4465">
        <w:t>, 480 N.W.2d 141, 147 (Minn. App. 1992)</w:t>
      </w:r>
      <w:r w:rsidRPr="00CA4465">
        <w:t xml:space="preserve"> (quotation omitted)</w:t>
      </w:r>
      <w:r w:rsidR="004F10A3" w:rsidRPr="00CA4465">
        <w:t xml:space="preserve">, </w:t>
      </w:r>
      <w:r w:rsidR="004F10A3" w:rsidRPr="00CA4465">
        <w:rPr>
          <w:i/>
          <w:iCs/>
        </w:rPr>
        <w:t xml:space="preserve">review denied </w:t>
      </w:r>
      <w:r w:rsidR="004F10A3" w:rsidRPr="00CA4465">
        <w:t>(Minn. Mar. 26, 1992).</w:t>
      </w:r>
    </w:p>
    <w:p w:rsidR="004F10A3" w:rsidRPr="00CA4465" w:rsidRDefault="004F10A3" w:rsidP="00AB02EA">
      <w:pPr>
        <w:pStyle w:val="Heading4"/>
      </w:pPr>
      <w:bookmarkStart w:id="113" w:name="_Toc48979534"/>
      <w:bookmarkStart w:id="114" w:name="_Toc395604484"/>
      <w:r w:rsidRPr="00CA4465">
        <w:t>c.</w:t>
      </w:r>
      <w:r w:rsidRPr="00CA4465">
        <w:tab/>
        <w:t>Novel Scientific Evidence</w:t>
      </w:r>
      <w:bookmarkEnd w:id="113"/>
      <w:bookmarkEnd w:id="114"/>
    </w:p>
    <w:p w:rsidR="004F10A3" w:rsidRPr="00CA4465" w:rsidRDefault="004F10A3" w:rsidP="00D01BFC">
      <w:pPr>
        <w:ind w:left="1440"/>
      </w:pPr>
      <w:r w:rsidRPr="00CA4465">
        <w:t xml:space="preserve">“The standard of review of admissibility determinations under </w:t>
      </w:r>
      <w:r w:rsidRPr="00CA4465">
        <w:rPr>
          <w:i/>
          <w:iCs/>
        </w:rPr>
        <w:t xml:space="preserve">Frye-Mack </w:t>
      </w:r>
      <w:r w:rsidRPr="00CA4465">
        <w:t xml:space="preserve">is two-pronged.  Whether a particular principle or technique satisfies the first prong, general acceptance in the relevant scientific field, is a question of law that [appellate courts] review de novo.  District court determinations under the second prong, foundational reliability, are reviewed under an abuse of discretion standard, as are determinations of expert witness qualifications and helpfulness.”  </w:t>
      </w:r>
      <w:r w:rsidRPr="00CA4465">
        <w:rPr>
          <w:i/>
          <w:iCs/>
        </w:rPr>
        <w:t>Goeb v. Tharaldson</w:t>
      </w:r>
      <w:r w:rsidRPr="00CA4465">
        <w:t>, 615 N.W.2d 800, 815 (Minn. 2000) (citation omitted).</w:t>
      </w:r>
    </w:p>
    <w:p w:rsidR="004F10A3" w:rsidRPr="00CA4465" w:rsidRDefault="004F10A3" w:rsidP="00D01BFC">
      <w:pPr>
        <w:ind w:left="1440"/>
      </w:pPr>
    </w:p>
    <w:p w:rsidR="004F10A3" w:rsidRPr="00CA4465" w:rsidRDefault="004F10A3" w:rsidP="005D596B">
      <w:pPr>
        <w:ind w:left="1440"/>
      </w:pPr>
      <w:r w:rsidRPr="00CA4465">
        <w:rPr>
          <w:b/>
        </w:rPr>
        <w:t>Note:</w:t>
      </w:r>
      <w:r w:rsidRPr="00CA4465">
        <w:tab/>
        <w:t xml:space="preserve">  Minnesota has not adopted the </w:t>
      </w:r>
      <w:r w:rsidRPr="00CA4465">
        <w:rPr>
          <w:i/>
        </w:rPr>
        <w:t>Daubert</w:t>
      </w:r>
      <w:r w:rsidRPr="00CA4465">
        <w:t xml:space="preserve"> standard, which our supreme court has characterized as “less rigorous.”  </w:t>
      </w:r>
      <w:r w:rsidRPr="00CA4465">
        <w:rPr>
          <w:i/>
        </w:rPr>
        <w:t>State v. Traylor</w:t>
      </w:r>
      <w:r w:rsidRPr="00CA4465">
        <w:t>, 656 N.W.2d 885, 893 (Minn. 2003).</w:t>
      </w:r>
    </w:p>
    <w:p w:rsidR="004F10A3" w:rsidRPr="005D596B" w:rsidRDefault="004F10A3" w:rsidP="00337FFA">
      <w:pPr>
        <w:pStyle w:val="Heading3"/>
      </w:pPr>
      <w:bookmarkStart w:id="115" w:name="_Toc48979535"/>
      <w:bookmarkStart w:id="116" w:name="_Toc357064672"/>
      <w:bookmarkStart w:id="117" w:name="_Toc395604485"/>
      <w:r w:rsidRPr="00CA4465">
        <w:t>2.</w:t>
      </w:r>
      <w:r w:rsidRPr="00CA4465">
        <w:tab/>
        <w:t>Witnesses</w:t>
      </w:r>
      <w:bookmarkEnd w:id="115"/>
      <w:bookmarkEnd w:id="116"/>
      <w:bookmarkEnd w:id="117"/>
    </w:p>
    <w:p w:rsidR="003A2149" w:rsidRPr="005D596B" w:rsidRDefault="009D1687" w:rsidP="00300AEE">
      <w:pPr>
        <w:pStyle w:val="Heading4"/>
      </w:pPr>
      <w:bookmarkStart w:id="118" w:name="_Toc395604486"/>
      <w:bookmarkStart w:id="119" w:name="_Toc48979536"/>
      <w:r>
        <w:t xml:space="preserve">a. </w:t>
      </w:r>
      <w:r>
        <w:tab/>
      </w:r>
      <w:r w:rsidR="003A2149" w:rsidRPr="00CA4465">
        <w:t>Examination of Witnesses</w:t>
      </w:r>
      <w:bookmarkEnd w:id="118"/>
    </w:p>
    <w:p w:rsidR="003A2149" w:rsidRPr="00CA4465" w:rsidRDefault="003A2149" w:rsidP="00D01BFC">
      <w:pPr>
        <w:ind w:left="1440"/>
      </w:pPr>
      <w:r w:rsidRPr="00CA4465">
        <w:t xml:space="preserve">“The [district] court’s decisions with respect to when leading questions will be permitted will not be reversed in the absence of a clear abuse of discretion.”  </w:t>
      </w:r>
      <w:r w:rsidRPr="00CA4465">
        <w:rPr>
          <w:i/>
          <w:iCs/>
        </w:rPr>
        <w:lastRenderedPageBreak/>
        <w:t>Ossenfort v. Associated Milk Producers, Inc.</w:t>
      </w:r>
      <w:r w:rsidRPr="00CA4465">
        <w:t>, 254 N.W.2d 672, 679 n.7 (Minn. 1977).</w:t>
      </w:r>
    </w:p>
    <w:p w:rsidR="00306442" w:rsidRPr="00CA4465" w:rsidRDefault="00306442" w:rsidP="00D01BFC">
      <w:pPr>
        <w:ind w:left="1440"/>
      </w:pPr>
    </w:p>
    <w:p w:rsidR="00BB133A" w:rsidRPr="005D596B" w:rsidRDefault="00306442" w:rsidP="005D596B">
      <w:pPr>
        <w:ind w:left="1440"/>
      </w:pPr>
      <w:r w:rsidRPr="00CA4465">
        <w:t>“</w:t>
      </w:r>
      <w:r w:rsidR="008D2C66">
        <w:t>[</w:t>
      </w:r>
      <w:r w:rsidRPr="00CA4465">
        <w:t>W</w:t>
      </w:r>
      <w:r w:rsidR="008D2C66">
        <w:t>]</w:t>
      </w:r>
      <w:r w:rsidRPr="00CA4465">
        <w:t xml:space="preserve">hat is proper rebuttal evidence rests almost wholly in the discretion of the [district] court.”  </w:t>
      </w:r>
      <w:r w:rsidR="00A17F9A">
        <w:rPr>
          <w:i/>
        </w:rPr>
        <w:t>Riley Bros. Constr., Inc. v. Shuck</w:t>
      </w:r>
      <w:r w:rsidRPr="00CA4465">
        <w:t xml:space="preserve">, </w:t>
      </w:r>
      <w:r w:rsidR="00A17F9A">
        <w:t>704 N.W.2d 197, 205 (Minn. App. 2005)</w:t>
      </w:r>
      <w:r w:rsidR="008D2C66">
        <w:t xml:space="preserve"> (quotation omitted)</w:t>
      </w:r>
      <w:r w:rsidRPr="00CA4465">
        <w:t>.</w:t>
      </w:r>
    </w:p>
    <w:p w:rsidR="004F10A3" w:rsidRPr="005D596B" w:rsidRDefault="003A2149" w:rsidP="00300AEE">
      <w:pPr>
        <w:pStyle w:val="Heading4"/>
      </w:pPr>
      <w:bookmarkStart w:id="120" w:name="_Toc395604487"/>
      <w:r w:rsidRPr="00CA4465">
        <w:t>b</w:t>
      </w:r>
      <w:r w:rsidR="004F10A3" w:rsidRPr="00CA4465">
        <w:t>.</w:t>
      </w:r>
      <w:r w:rsidR="004F10A3" w:rsidRPr="00CA4465">
        <w:tab/>
      </w:r>
      <w:bookmarkEnd w:id="119"/>
      <w:r w:rsidRPr="00CA4465">
        <w:t>Lay Witnesses</w:t>
      </w:r>
      <w:bookmarkEnd w:id="120"/>
    </w:p>
    <w:p w:rsidR="004F10A3" w:rsidRPr="00CA4465" w:rsidRDefault="004F10A3" w:rsidP="005D596B">
      <w:pPr>
        <w:ind w:left="1440"/>
      </w:pPr>
      <w:r w:rsidRPr="00CA4465">
        <w:t>The competenc</w:t>
      </w:r>
      <w:r w:rsidR="009A5C37" w:rsidRPr="00CA4465">
        <w:t>e</w:t>
      </w:r>
      <w:r w:rsidRPr="00CA4465">
        <w:t xml:space="preserve"> of a lay witness to give opinion evidence “</w:t>
      </w:r>
      <w:r w:rsidR="003A2149" w:rsidRPr="00CA4465">
        <w:t xml:space="preserve">is </w:t>
      </w:r>
      <w:r w:rsidRPr="00CA4465">
        <w:t xml:space="preserve">peculiarly within the province of the </w:t>
      </w:r>
      <w:r w:rsidR="003A2149" w:rsidRPr="00CA4465">
        <w:t>[district court]</w:t>
      </w:r>
      <w:r w:rsidRPr="00CA4465">
        <w:t xml:space="preserve">, whose ruling will not be reversed unless it is based on an erroneous view of the law or clearly not justified by the evidence.”  </w:t>
      </w:r>
      <w:r w:rsidRPr="00CA4465">
        <w:rPr>
          <w:i/>
          <w:iCs/>
        </w:rPr>
        <w:t>Muehlhauser v. Erickson</w:t>
      </w:r>
      <w:r w:rsidRPr="00CA4465">
        <w:t>, 621 N.W.2d 24, 29 (Minn. App. 2000) (quotation omitted).</w:t>
      </w:r>
    </w:p>
    <w:p w:rsidR="004F10A3" w:rsidRPr="005D596B" w:rsidRDefault="004F10A3" w:rsidP="00300AEE">
      <w:pPr>
        <w:pStyle w:val="Heading4"/>
      </w:pPr>
      <w:bookmarkStart w:id="121" w:name="_Toc48979538"/>
      <w:bookmarkStart w:id="122" w:name="_Toc395604488"/>
      <w:r w:rsidRPr="00CA4465">
        <w:t>c.</w:t>
      </w:r>
      <w:r w:rsidRPr="00CA4465">
        <w:tab/>
        <w:t>Expert</w:t>
      </w:r>
      <w:r w:rsidR="003C032B">
        <w:t>-</w:t>
      </w:r>
      <w:r w:rsidRPr="00CA4465">
        <w:t>Witness Testimony</w:t>
      </w:r>
      <w:bookmarkEnd w:id="121"/>
      <w:bookmarkEnd w:id="122"/>
    </w:p>
    <w:p w:rsidR="004F10A3" w:rsidRPr="00CA4465" w:rsidRDefault="004F10A3" w:rsidP="00D01BFC">
      <w:pPr>
        <w:ind w:left="1440"/>
      </w:pPr>
      <w:r w:rsidRPr="00CA4465">
        <w:t xml:space="preserve">Whether expert testimony is required to establish a prima facie case is a question of law.  </w:t>
      </w:r>
      <w:r w:rsidRPr="00CA4465">
        <w:rPr>
          <w:i/>
          <w:iCs/>
        </w:rPr>
        <w:t xml:space="preserve">Tousignant v. St. Louis </w:t>
      </w:r>
      <w:r w:rsidR="00DC7EC2" w:rsidRPr="00CA4465">
        <w:rPr>
          <w:i/>
          <w:iCs/>
        </w:rPr>
        <w:t>Cnty.</w:t>
      </w:r>
      <w:r w:rsidRPr="00CA4465">
        <w:t>, 615 N.W.2d 53, 58 (Minn. 2000).</w:t>
      </w:r>
    </w:p>
    <w:p w:rsidR="00306442" w:rsidRPr="00CA4465" w:rsidRDefault="004F10A3" w:rsidP="00D01BFC">
      <w:pPr>
        <w:ind w:left="1440"/>
      </w:pPr>
      <w:r w:rsidRPr="00CA4465">
        <w:tab/>
      </w:r>
      <w:r w:rsidRPr="00CA4465">
        <w:tab/>
      </w:r>
      <w:r w:rsidRPr="00CA4465">
        <w:tab/>
      </w:r>
    </w:p>
    <w:p w:rsidR="004F10A3" w:rsidRPr="00CA4465" w:rsidRDefault="00306442" w:rsidP="005D596B">
      <w:pPr>
        <w:ind w:left="1440"/>
      </w:pPr>
      <w:r w:rsidRPr="00CA4465">
        <w:t xml:space="preserve">“A district court’s evidentiary ruling on the admissibility of an expert opinion rests within the sound discretion of the [district] court and will not be reversed unless it is based on an erroneous view of the law or it is an abuse of discretion.  The district court has considerable discretion in determining the sufficiency of foundation laid for expert opinion.  Even if evidence has probative value, it is still within the district court’s discretion to exclude the testimony.  This is a very deferential standard.  In fact, we have stated that even if this court would have reached a different conclusion as to the sufficiency of the foundation, the decision of the district court judge will not be reversed absent clear abuse of discretion.”  </w:t>
      </w:r>
      <w:r w:rsidRPr="00CA4465">
        <w:rPr>
          <w:i/>
        </w:rPr>
        <w:t>Gross v. Victoria Station Farms, Inc.</w:t>
      </w:r>
      <w:r w:rsidRPr="00CA4465">
        <w:t>, 578 N.W.2d 757, 760-61 (Minn. 1998) (quotation</w:t>
      </w:r>
      <w:r w:rsidR="001C7797" w:rsidRPr="00CA4465">
        <w:t>s</w:t>
      </w:r>
      <w:r w:rsidRPr="00CA4465">
        <w:t xml:space="preserve"> and citation omitted).</w:t>
      </w:r>
    </w:p>
    <w:p w:rsidR="004F10A3" w:rsidRPr="005D596B" w:rsidRDefault="00EF4CA4" w:rsidP="006C2BC7">
      <w:pPr>
        <w:pStyle w:val="Heading3"/>
      </w:pPr>
      <w:bookmarkStart w:id="123" w:name="_Toc48979539"/>
      <w:bookmarkStart w:id="124" w:name="_Toc357064673"/>
      <w:bookmarkStart w:id="125" w:name="_Toc395604489"/>
      <w:r w:rsidRPr="00CA4465">
        <w:t>3.</w:t>
      </w:r>
      <w:r w:rsidRPr="00CA4465">
        <w:tab/>
      </w:r>
      <w:bookmarkEnd w:id="123"/>
      <w:bookmarkEnd w:id="124"/>
      <w:r w:rsidRPr="00EA232C">
        <w:t xml:space="preserve">Presenting Questions </w:t>
      </w:r>
      <w:r>
        <w:t>t</w:t>
      </w:r>
      <w:r w:rsidRPr="00EA232C">
        <w:t xml:space="preserve">o </w:t>
      </w:r>
      <w:r>
        <w:t>t</w:t>
      </w:r>
      <w:r w:rsidRPr="00EA232C">
        <w:t>he Jury</w:t>
      </w:r>
      <w:bookmarkEnd w:id="125"/>
    </w:p>
    <w:p w:rsidR="00306442" w:rsidRPr="00CA4465" w:rsidRDefault="004F10A3" w:rsidP="00300AEE">
      <w:pPr>
        <w:pStyle w:val="Heading4"/>
      </w:pPr>
      <w:bookmarkStart w:id="126" w:name="_Toc48979540"/>
      <w:bookmarkStart w:id="127" w:name="_Toc395604490"/>
      <w:r w:rsidRPr="00CA4465">
        <w:t>a.</w:t>
      </w:r>
      <w:r w:rsidRPr="00CA4465">
        <w:tab/>
      </w:r>
      <w:bookmarkStart w:id="128" w:name="_Toc48979541"/>
      <w:bookmarkEnd w:id="126"/>
      <w:r w:rsidRPr="00CA4465">
        <w:t>Framing Special-Verdict Questions</w:t>
      </w:r>
      <w:bookmarkEnd w:id="128"/>
      <w:bookmarkEnd w:id="127"/>
      <w:r w:rsidRPr="00CA4465">
        <w:tab/>
      </w:r>
    </w:p>
    <w:p w:rsidR="002376E2" w:rsidRDefault="00100F86" w:rsidP="002376E2">
      <w:pPr>
        <w:ind w:left="1440"/>
        <w:jc w:val="left"/>
      </w:pPr>
      <w:r>
        <w:t>“</w:t>
      </w:r>
      <w:r w:rsidRPr="00100F86">
        <w:t>District courts have broad discretion to decide whether to use special verdicts and what for</w:t>
      </w:r>
      <w:r>
        <w:t xml:space="preserve">m special verdicts are to take.”  </w:t>
      </w:r>
      <w:r w:rsidRPr="00100F86">
        <w:rPr>
          <w:i/>
        </w:rPr>
        <w:t>Poppler v. Wright Hennepin Co-op. Elec. Ass’n</w:t>
      </w:r>
      <w:r w:rsidRPr="00100F86">
        <w:t>, 845 N.W.2d 168, 171 (Minn. 2014)</w:t>
      </w:r>
      <w:r>
        <w:t>.</w:t>
      </w:r>
    </w:p>
    <w:p w:rsidR="002376E2" w:rsidRDefault="002376E2" w:rsidP="002376E2">
      <w:pPr>
        <w:ind w:left="1440"/>
        <w:jc w:val="left"/>
      </w:pPr>
    </w:p>
    <w:p w:rsidR="004F10A3" w:rsidRPr="00CA4465" w:rsidRDefault="00306442" w:rsidP="002376E2">
      <w:pPr>
        <w:ind w:left="1440"/>
        <w:jc w:val="left"/>
      </w:pPr>
      <w:r w:rsidRPr="00CA4465">
        <w:t xml:space="preserve">The district court “has broad discretion regarding the form and substance of special verdict questions.”  </w:t>
      </w:r>
      <w:r w:rsidRPr="00CA4465">
        <w:rPr>
          <w:i/>
        </w:rPr>
        <w:t>SCSC Corp. v. Allied Mut. Ins. Co.</w:t>
      </w:r>
      <w:r w:rsidRPr="00CA4465">
        <w:t>, 536 N.W.2d 305, 313 (Minn. 1995).</w:t>
      </w:r>
    </w:p>
    <w:p w:rsidR="004F10A3" w:rsidRPr="005D596B" w:rsidRDefault="004F10A3" w:rsidP="00300AEE">
      <w:pPr>
        <w:pStyle w:val="Heading4"/>
      </w:pPr>
      <w:bookmarkStart w:id="129" w:name="_Toc48979542"/>
      <w:bookmarkStart w:id="130" w:name="_Toc395604491"/>
      <w:r w:rsidRPr="00CA4465">
        <w:lastRenderedPageBreak/>
        <w:t>b.</w:t>
      </w:r>
      <w:r w:rsidRPr="00CA4465">
        <w:tab/>
        <w:t>Submission of Equitable Claims</w:t>
      </w:r>
      <w:bookmarkEnd w:id="129"/>
      <w:bookmarkEnd w:id="130"/>
    </w:p>
    <w:p w:rsidR="004F10A3" w:rsidRPr="00CA4465" w:rsidRDefault="004F10A3" w:rsidP="00D01BFC">
      <w:pPr>
        <w:ind w:left="1440"/>
      </w:pPr>
      <w:r w:rsidRPr="00CA4465">
        <w:t xml:space="preserve">“Whether an action is of an equitable nature so as to require determination by a court without a jury rests largely in the sound discretion of the </w:t>
      </w:r>
      <w:r w:rsidR="00A14F2D" w:rsidRPr="00CA4465">
        <w:t>[district]</w:t>
      </w:r>
      <w:r w:rsidRPr="00CA4465">
        <w:t xml:space="preserve"> court.”  </w:t>
      </w:r>
      <w:r w:rsidRPr="00CA4465">
        <w:rPr>
          <w:i/>
          <w:iCs/>
        </w:rPr>
        <w:t>Johnson v. Johnson</w:t>
      </w:r>
      <w:r w:rsidRPr="00CA4465">
        <w:t>, 272 Minn. 284, 298, 137 N.W.2d 840, 850 (1965).</w:t>
      </w:r>
    </w:p>
    <w:p w:rsidR="00AB68F3" w:rsidRPr="00CA4465" w:rsidRDefault="00AB68F3" w:rsidP="00D01BFC">
      <w:pPr>
        <w:ind w:left="1440"/>
      </w:pPr>
    </w:p>
    <w:p w:rsidR="00AB68F3" w:rsidRPr="00CA4465" w:rsidRDefault="00AB68F3" w:rsidP="00D01BFC">
      <w:pPr>
        <w:ind w:left="1440"/>
      </w:pPr>
      <w:r w:rsidRPr="00CA4465">
        <w:t xml:space="preserve">When reviewing an equitable remedy, “we have not interfered unless the [district] court clearly abuses its discretion.”  </w:t>
      </w:r>
      <w:r w:rsidRPr="00CA4465">
        <w:rPr>
          <w:i/>
        </w:rPr>
        <w:t>Lilyerd v. Carlson</w:t>
      </w:r>
      <w:r w:rsidRPr="00CA4465">
        <w:t>, 499 N.W.2d 803, 811 (Minn. 1993)</w:t>
      </w:r>
      <w:r w:rsidR="00467710" w:rsidRPr="00CA4465">
        <w:t>.</w:t>
      </w:r>
    </w:p>
    <w:p w:rsidR="004F10A3" w:rsidRPr="005D596B" w:rsidRDefault="004F10A3" w:rsidP="00337FFA">
      <w:pPr>
        <w:pStyle w:val="Heading3"/>
      </w:pPr>
      <w:bookmarkStart w:id="131" w:name="_Toc48979543"/>
      <w:bookmarkStart w:id="132" w:name="_Toc357064674"/>
      <w:bookmarkStart w:id="133" w:name="_Toc395604492"/>
      <w:r w:rsidRPr="00CA4465">
        <w:t>4.</w:t>
      </w:r>
      <w:r w:rsidRPr="00CA4465">
        <w:tab/>
        <w:t>Directed Verdict</w:t>
      </w:r>
      <w:bookmarkEnd w:id="131"/>
      <w:r w:rsidR="005F60C3" w:rsidRPr="00CA4465">
        <w:t>, now known as Motion for Judgment as a Matter of Law (JMOL)</w:t>
      </w:r>
      <w:r w:rsidR="00F104FB">
        <w:t>.</w:t>
      </w:r>
      <w:r w:rsidR="009A5C37" w:rsidRPr="00CA4465">
        <w:t xml:space="preserve">  See Section F.2</w:t>
      </w:r>
      <w:r w:rsidR="004F1CDF" w:rsidRPr="00CA4465">
        <w:t>, at page</w:t>
      </w:r>
      <w:r w:rsidR="000B2DC7">
        <w:t xml:space="preserve"> </w:t>
      </w:r>
      <w:r w:rsidR="000A329D">
        <w:fldChar w:fldCharType="begin"/>
      </w:r>
      <w:r w:rsidR="000A329D">
        <w:instrText xml:space="preserve"> PAGEREF _Ref363716261 \h </w:instrText>
      </w:r>
      <w:r w:rsidR="000A329D">
        <w:fldChar w:fldCharType="separate"/>
      </w:r>
      <w:r w:rsidR="00042677">
        <w:rPr>
          <w:noProof/>
        </w:rPr>
        <w:t>25</w:t>
      </w:r>
      <w:r w:rsidR="000A329D">
        <w:fldChar w:fldCharType="end"/>
      </w:r>
      <w:r w:rsidR="009A5C37" w:rsidRPr="00CA4465">
        <w:t>.</w:t>
      </w:r>
      <w:bookmarkEnd w:id="132"/>
      <w:bookmarkEnd w:id="133"/>
    </w:p>
    <w:p w:rsidR="004F10A3" w:rsidRPr="005D596B" w:rsidRDefault="009D1687" w:rsidP="00337FFA">
      <w:pPr>
        <w:pStyle w:val="Heading3"/>
      </w:pPr>
      <w:bookmarkStart w:id="134" w:name="_Toc48979544"/>
      <w:bookmarkStart w:id="135" w:name="_Toc357064675"/>
      <w:bookmarkStart w:id="136" w:name="_Toc395604493"/>
      <w:r>
        <w:t>5.</w:t>
      </w:r>
      <w:r>
        <w:tab/>
      </w:r>
      <w:r w:rsidR="004F10A3" w:rsidRPr="00CA4465">
        <w:t>Jury Instructions</w:t>
      </w:r>
      <w:bookmarkEnd w:id="134"/>
      <w:bookmarkEnd w:id="135"/>
      <w:bookmarkEnd w:id="136"/>
    </w:p>
    <w:p w:rsidR="003D16D6" w:rsidRPr="00CA4465" w:rsidRDefault="003D16D6" w:rsidP="00C3560C">
      <w:pPr>
        <w:ind w:left="720"/>
        <w:rPr>
          <w:i/>
        </w:rPr>
      </w:pPr>
      <w:r w:rsidRPr="00CA4465">
        <w:t xml:space="preserve">“The district court has broad discretion in determining jury instructions and we will not reverse in the absence of abuse of discretion.”  </w:t>
      </w:r>
      <w:r w:rsidRPr="00CA4465">
        <w:rPr>
          <w:i/>
        </w:rPr>
        <w:t>H</w:t>
      </w:r>
      <w:r w:rsidR="001C7797" w:rsidRPr="00CA4465">
        <w:rPr>
          <w:i/>
        </w:rPr>
        <w:t>i</w:t>
      </w:r>
      <w:r w:rsidRPr="00CA4465">
        <w:rPr>
          <w:i/>
        </w:rPr>
        <w:t>lligoss v. Cargill</w:t>
      </w:r>
      <w:r w:rsidR="001C7797" w:rsidRPr="00CA4465">
        <w:rPr>
          <w:i/>
        </w:rPr>
        <w:t>, Inc.</w:t>
      </w:r>
      <w:r w:rsidRPr="00CA4465">
        <w:t>, 649 N.W.2d 142, 147 (Minn. 2002).</w:t>
      </w:r>
      <w:r w:rsidRPr="00CA4465">
        <w:rPr>
          <w:i/>
        </w:rPr>
        <w:tab/>
      </w:r>
      <w:r w:rsidRPr="00CA4465">
        <w:rPr>
          <w:i/>
        </w:rPr>
        <w:tab/>
      </w:r>
    </w:p>
    <w:p w:rsidR="003D16D6" w:rsidRPr="00CA4465" w:rsidRDefault="003D16D6" w:rsidP="00C3560C">
      <w:pPr>
        <w:ind w:left="720"/>
        <w:rPr>
          <w:i/>
        </w:rPr>
      </w:pPr>
    </w:p>
    <w:p w:rsidR="00FB5204" w:rsidRDefault="00FB5204" w:rsidP="00C3560C">
      <w:pPr>
        <w:ind w:left="720"/>
      </w:pPr>
      <w:r w:rsidRPr="00CA4465">
        <w:t xml:space="preserve">“District courts are allowed considerable latitude in selecting language used in the jury charge and determining the propriety of a specific instruction.”  </w:t>
      </w:r>
      <w:r w:rsidRPr="00CA4465">
        <w:rPr>
          <w:i/>
        </w:rPr>
        <w:t>Morlock v. St. Paul Guardian Ins. Co.</w:t>
      </w:r>
      <w:r w:rsidRPr="00CA4465">
        <w:t>, 650 N.W.2d 154, 159 (Minn. 2002)</w:t>
      </w:r>
      <w:r w:rsidR="00A17F9A">
        <w:t xml:space="preserve">; </w:t>
      </w:r>
      <w:r w:rsidR="00A17F9A">
        <w:rPr>
          <w:i/>
        </w:rPr>
        <w:t>RAM Mut. Ins. Co. v. Meyer</w:t>
      </w:r>
      <w:r w:rsidR="00A17F9A">
        <w:t>, 7</w:t>
      </w:r>
      <w:r w:rsidR="008D2C66">
        <w:t>68 N.W.2d 399, 406 (Minn. App. 2</w:t>
      </w:r>
      <w:r w:rsidR="00A17F9A">
        <w:t>009) (“</w:t>
      </w:r>
      <w:r w:rsidR="008D2C66">
        <w:t>D</w:t>
      </w:r>
      <w:r w:rsidR="00A17F9A">
        <w:t>istrict courts are allowed considerable latitude in selecting language used in the jury charge and determining the propriety of a specific instruction”)</w:t>
      </w:r>
      <w:r w:rsidR="008D2C66">
        <w:t xml:space="preserve">, </w:t>
      </w:r>
      <w:r w:rsidR="008D2C66">
        <w:rPr>
          <w:i/>
        </w:rPr>
        <w:t>review denied</w:t>
      </w:r>
      <w:r w:rsidR="008D2C66">
        <w:t xml:space="preserve"> (Minn. Oct. 20, 2009)</w:t>
      </w:r>
      <w:r w:rsidRPr="00CA4465">
        <w:t>.</w:t>
      </w:r>
    </w:p>
    <w:p w:rsidR="008D2C66" w:rsidRPr="00CA4465" w:rsidRDefault="008D2C66" w:rsidP="00C3560C">
      <w:pPr>
        <w:ind w:left="720"/>
      </w:pPr>
    </w:p>
    <w:p w:rsidR="003D16D6" w:rsidRPr="00CA4465" w:rsidRDefault="003D16D6" w:rsidP="00C3560C">
      <w:pPr>
        <w:ind w:left="720"/>
      </w:pPr>
      <w:r w:rsidRPr="00CA4465">
        <w:t>“An instruction that is so misleading that it renders incorrect the instruction as</w:t>
      </w:r>
      <w:r w:rsidR="00467710" w:rsidRPr="00CA4465">
        <w:t xml:space="preserve"> a</w:t>
      </w:r>
      <w:r w:rsidRPr="00CA4465">
        <w:t xml:space="preserve"> whole will be reversible error, but a jury instruction may not be attacked successfully by lifting a single sentence or word from its context.  Where instructions overall fairly and correctly state the applicable law, appellant is not entitled to a new trial.”  </w:t>
      </w:r>
      <w:r w:rsidRPr="00CA4465">
        <w:rPr>
          <w:i/>
        </w:rPr>
        <w:t>H</w:t>
      </w:r>
      <w:r w:rsidR="001C7797" w:rsidRPr="00CA4465">
        <w:rPr>
          <w:i/>
        </w:rPr>
        <w:t>i</w:t>
      </w:r>
      <w:r w:rsidRPr="00CA4465">
        <w:rPr>
          <w:i/>
        </w:rPr>
        <w:t>lligoss v. Cargill</w:t>
      </w:r>
      <w:r w:rsidR="001C7797" w:rsidRPr="00CA4465">
        <w:rPr>
          <w:i/>
        </w:rPr>
        <w:t>, Inc.</w:t>
      </w:r>
      <w:r w:rsidRPr="00CA4465">
        <w:t>, 649 N.W.2d 142, 147 (Minn. 2002) (</w:t>
      </w:r>
      <w:r w:rsidR="0024186D">
        <w:t xml:space="preserve">citation and </w:t>
      </w:r>
      <w:r w:rsidRPr="00CA4465">
        <w:t>quotation</w:t>
      </w:r>
      <w:r w:rsidR="0024186D">
        <w:t>s</w:t>
      </w:r>
      <w:r w:rsidRPr="00CA4465">
        <w:t xml:space="preserve"> omitted).</w:t>
      </w:r>
    </w:p>
    <w:p w:rsidR="00C3560C" w:rsidRDefault="00C3560C" w:rsidP="00C3560C">
      <w:pPr>
        <w:ind w:left="720"/>
      </w:pPr>
    </w:p>
    <w:p w:rsidR="004F10A3" w:rsidRPr="00CA4465" w:rsidRDefault="00467710" w:rsidP="00C3560C">
      <w:pPr>
        <w:ind w:left="720"/>
      </w:pPr>
      <w:r w:rsidRPr="00CA4465">
        <w:t>“</w:t>
      </w:r>
      <w:r w:rsidR="004F10A3" w:rsidRPr="00CA4465">
        <w:t>Error</w:t>
      </w:r>
      <w:r w:rsidRPr="00CA4465">
        <w:t>s</w:t>
      </w:r>
      <w:r w:rsidR="004F10A3" w:rsidRPr="00CA4465">
        <w:t xml:space="preserve"> </w:t>
      </w:r>
      <w:r w:rsidRPr="00CA4465">
        <w:t>[</w:t>
      </w:r>
      <w:r w:rsidR="004F10A3" w:rsidRPr="00CA4465">
        <w:t>in a jury instruction</w:t>
      </w:r>
      <w:r w:rsidRPr="00CA4465">
        <w:t>]</w:t>
      </w:r>
      <w:r w:rsidR="004F10A3" w:rsidRPr="00CA4465">
        <w:t xml:space="preserve"> </w:t>
      </w:r>
      <w:r w:rsidRPr="00CA4465">
        <w:t xml:space="preserve">are </w:t>
      </w:r>
      <w:r w:rsidR="004F10A3" w:rsidRPr="00CA4465">
        <w:t>likely to be considered fundamental</w:t>
      </w:r>
      <w:r w:rsidRPr="00CA4465">
        <w:t xml:space="preserve"> or controlling</w:t>
      </w:r>
      <w:r w:rsidR="004F10A3" w:rsidRPr="00CA4465">
        <w:t xml:space="preserve"> if the</w:t>
      </w:r>
      <w:r w:rsidRPr="00CA4465">
        <w:t>y</w:t>
      </w:r>
      <w:r w:rsidR="004F10A3" w:rsidRPr="00CA4465">
        <w:t xml:space="preserve"> destroy the substantial correctness of the charge</w:t>
      </w:r>
      <w:r w:rsidRPr="00CA4465">
        <w:t xml:space="preserve"> as a whole</w:t>
      </w:r>
      <w:r w:rsidR="004F10A3" w:rsidRPr="00CA4465">
        <w:t xml:space="preserve">, </w:t>
      </w:r>
      <w:r w:rsidRPr="00CA4465">
        <w:t xml:space="preserve">cause </w:t>
      </w:r>
      <w:r w:rsidR="004F10A3" w:rsidRPr="00CA4465">
        <w:t xml:space="preserve">miscarriage of justice, or </w:t>
      </w:r>
      <w:r w:rsidRPr="00CA4465">
        <w:t xml:space="preserve">result in </w:t>
      </w:r>
      <w:r w:rsidR="004F10A3" w:rsidRPr="00CA4465">
        <w:t>substantial prejudice.</w:t>
      </w:r>
      <w:r w:rsidR="00692384" w:rsidRPr="00CA4465">
        <w:t>”</w:t>
      </w:r>
      <w:r w:rsidR="004F10A3" w:rsidRPr="00CA4465">
        <w:t xml:space="preserve">  </w:t>
      </w:r>
      <w:r w:rsidR="004F10A3" w:rsidRPr="00CA4465">
        <w:rPr>
          <w:i/>
          <w:iCs/>
        </w:rPr>
        <w:t>Lindstrom v. Yellow Taxi Co.</w:t>
      </w:r>
      <w:r w:rsidR="007C3379" w:rsidRPr="00CA4465">
        <w:rPr>
          <w:i/>
          <w:iCs/>
        </w:rPr>
        <w:t xml:space="preserve"> of Minneapolis</w:t>
      </w:r>
      <w:r w:rsidR="004F10A3" w:rsidRPr="00CA4465">
        <w:t>, 298 Minn. 224, 229, 214 N.W.2d 672, 676 (1974)</w:t>
      </w:r>
      <w:r w:rsidR="00692384" w:rsidRPr="00CA4465">
        <w:t xml:space="preserve"> (quotation and citations omitted)</w:t>
      </w:r>
      <w:r w:rsidR="004F10A3" w:rsidRPr="00CA4465">
        <w:t>.</w:t>
      </w:r>
    </w:p>
    <w:p w:rsidR="004F10A3" w:rsidRPr="00C3560C" w:rsidRDefault="004F10A3" w:rsidP="00337FFA">
      <w:pPr>
        <w:pStyle w:val="Heading3"/>
      </w:pPr>
      <w:bookmarkStart w:id="137" w:name="_Toc357064676"/>
      <w:bookmarkStart w:id="138" w:name="_Toc395604494"/>
      <w:r w:rsidRPr="00CA4465">
        <w:t>6.</w:t>
      </w:r>
      <w:r w:rsidRPr="00CA4465">
        <w:tab/>
        <w:t>Findings of Fact</w:t>
      </w:r>
      <w:bookmarkEnd w:id="85"/>
      <w:bookmarkEnd w:id="137"/>
      <w:bookmarkEnd w:id="138"/>
    </w:p>
    <w:p w:rsidR="004F10A3" w:rsidRPr="00C3560C" w:rsidRDefault="004F10A3" w:rsidP="00300AEE">
      <w:pPr>
        <w:pStyle w:val="Heading4"/>
      </w:pPr>
      <w:bookmarkStart w:id="139" w:name="_Toc48979546"/>
      <w:bookmarkStart w:id="140" w:name="_Toc395604495"/>
      <w:r w:rsidRPr="00CA4465">
        <w:t>a.</w:t>
      </w:r>
      <w:r w:rsidRPr="00CA4465">
        <w:tab/>
        <w:t>Jury Findings</w:t>
      </w:r>
      <w:bookmarkEnd w:id="139"/>
      <w:bookmarkEnd w:id="140"/>
    </w:p>
    <w:p w:rsidR="004F10A3" w:rsidRPr="00C3560C" w:rsidRDefault="004F10A3" w:rsidP="006921A4">
      <w:pPr>
        <w:pStyle w:val="Heading5"/>
      </w:pPr>
      <w:bookmarkStart w:id="141" w:name="_Toc48979547"/>
      <w:bookmarkStart w:id="142" w:name="_Toc395604496"/>
      <w:r w:rsidRPr="00CA4465">
        <w:t>(1)</w:t>
      </w:r>
      <w:r w:rsidRPr="00CA4465">
        <w:tab/>
        <w:t>General Verdicts</w:t>
      </w:r>
      <w:bookmarkEnd w:id="141"/>
      <w:bookmarkEnd w:id="142"/>
    </w:p>
    <w:p w:rsidR="004F10A3" w:rsidRPr="00CA4465" w:rsidRDefault="004F10A3" w:rsidP="002845DD">
      <w:pPr>
        <w:ind w:left="2160"/>
      </w:pPr>
      <w:r w:rsidRPr="00CA4465">
        <w:t>“First, the evidence must be reviewed in the light most favorable to the verdict.  Second, an appellate court will overturn a jury verdict only if no reasonable mind could find as the jury did.</w:t>
      </w:r>
      <w:r w:rsidR="00530B36" w:rsidRPr="00CA4465">
        <w:t>”</w:t>
      </w:r>
      <w:r w:rsidRPr="00CA4465">
        <w:t xml:space="preserve">  </w:t>
      </w:r>
      <w:r w:rsidRPr="00CA4465">
        <w:rPr>
          <w:i/>
          <w:iCs/>
        </w:rPr>
        <w:t>Reedon of Faribault, Inc. v. Fid</w:t>
      </w:r>
      <w:r w:rsidR="005231B7" w:rsidRPr="00CA4465">
        <w:rPr>
          <w:i/>
          <w:iCs/>
        </w:rPr>
        <w:t>.</w:t>
      </w:r>
      <w:r w:rsidRPr="00CA4465">
        <w:rPr>
          <w:i/>
          <w:iCs/>
        </w:rPr>
        <w:t xml:space="preserve"> &amp; Guar. Ins. Underwriters, Inc.</w:t>
      </w:r>
      <w:r w:rsidRPr="00CA4465">
        <w:t>, 418 N.W.2d 488, 491 (Minn. 1988) (citation</w:t>
      </w:r>
      <w:r w:rsidR="0024186D">
        <w:t>s</w:t>
      </w:r>
      <w:r w:rsidRPr="00CA4465">
        <w:t xml:space="preserve"> omitted).</w:t>
      </w:r>
    </w:p>
    <w:p w:rsidR="004F10A3" w:rsidRPr="00CA4465" w:rsidRDefault="004F10A3" w:rsidP="002845DD">
      <w:pPr>
        <w:ind w:left="2160"/>
      </w:pPr>
    </w:p>
    <w:p w:rsidR="004F10A3" w:rsidRPr="00CA4465" w:rsidRDefault="003D16D6" w:rsidP="00C3560C">
      <w:pPr>
        <w:ind w:left="2160"/>
      </w:pPr>
      <w:r w:rsidRPr="00CA4465">
        <w:t xml:space="preserve">“[J]ury verdicts are to be set aside only if manifestly contrary to the evidence viewed in a light most favorable to the verdict.  </w:t>
      </w:r>
      <w:r w:rsidR="004F10A3" w:rsidRPr="00CA4465">
        <w:t xml:space="preserve">A verdict will not be set aside unless the evidence against it is practically conclusive.”  </w:t>
      </w:r>
      <w:r w:rsidR="004F10A3" w:rsidRPr="00CA4465">
        <w:rPr>
          <w:i/>
          <w:iCs/>
        </w:rPr>
        <w:t>Ouellette by Ouellette v. Subak</w:t>
      </w:r>
      <w:r w:rsidR="004F10A3" w:rsidRPr="00CA4465">
        <w:t>, 391 N.W.2d 810, 817 (Minn. 1986)</w:t>
      </w:r>
      <w:r w:rsidR="00D134DB" w:rsidRPr="00CA4465">
        <w:t xml:space="preserve"> (citation</w:t>
      </w:r>
      <w:r w:rsidR="0024186D">
        <w:t>s</w:t>
      </w:r>
      <w:r w:rsidR="00D134DB" w:rsidRPr="00CA4465">
        <w:t xml:space="preserve"> omitted)</w:t>
      </w:r>
      <w:r w:rsidR="004F10A3" w:rsidRPr="00CA4465">
        <w:t>.</w:t>
      </w:r>
    </w:p>
    <w:p w:rsidR="004F10A3" w:rsidRPr="00C3560C" w:rsidRDefault="004F10A3" w:rsidP="006921A4">
      <w:pPr>
        <w:pStyle w:val="Heading5"/>
      </w:pPr>
      <w:bookmarkStart w:id="143" w:name="_Toc48979548"/>
      <w:bookmarkStart w:id="144" w:name="_Toc395604497"/>
      <w:r w:rsidRPr="00CA4465">
        <w:t>(2)</w:t>
      </w:r>
      <w:r w:rsidRPr="00CA4465">
        <w:tab/>
        <w:t>Special Verdicts</w:t>
      </w:r>
      <w:bookmarkEnd w:id="143"/>
      <w:bookmarkEnd w:id="144"/>
    </w:p>
    <w:p w:rsidR="00A17F9A" w:rsidRDefault="004F10A3" w:rsidP="002845DD">
      <w:pPr>
        <w:ind w:left="2160"/>
      </w:pPr>
      <w:r w:rsidRPr="00CA4465">
        <w:t>“[A] special verdict form is to be liberally construed to give effect to the intention of the jury and on appellate review it is the court’s responsibility to harmonize all findings if at all possible.</w:t>
      </w:r>
      <w:r w:rsidR="00A17F9A">
        <w:t xml:space="preserve">”  </w:t>
      </w:r>
      <w:r w:rsidR="00A17F9A">
        <w:rPr>
          <w:i/>
        </w:rPr>
        <w:t>Mil</w:t>
      </w:r>
      <w:r w:rsidR="0024186D">
        <w:rPr>
          <w:i/>
        </w:rPr>
        <w:t>n</w:t>
      </w:r>
      <w:r w:rsidR="00A17F9A">
        <w:rPr>
          <w:i/>
        </w:rPr>
        <w:t>er v. Farmers In</w:t>
      </w:r>
      <w:r w:rsidR="0024186D">
        <w:rPr>
          <w:i/>
        </w:rPr>
        <w:t>s</w:t>
      </w:r>
      <w:r w:rsidR="00A17F9A">
        <w:rPr>
          <w:i/>
        </w:rPr>
        <w:t>. Exch.</w:t>
      </w:r>
      <w:r w:rsidR="00A17F9A">
        <w:t xml:space="preserve">, 748 N.W.2d 608, 618 (Minn. 2008) </w:t>
      </w:r>
      <w:r w:rsidR="0024186D">
        <w:t xml:space="preserve">(alteration in original) </w:t>
      </w:r>
      <w:r w:rsidR="00A17F9A">
        <w:t>(quotation omitted).</w:t>
      </w:r>
    </w:p>
    <w:p w:rsidR="00A17F9A" w:rsidRDefault="00A17F9A" w:rsidP="002845DD">
      <w:pPr>
        <w:ind w:left="2160"/>
      </w:pPr>
    </w:p>
    <w:p w:rsidR="00A17F9A" w:rsidRDefault="00A17F9A" w:rsidP="002845DD">
      <w:pPr>
        <w:ind w:left="2160"/>
      </w:pPr>
      <w:r>
        <w:t>“</w:t>
      </w:r>
      <w:r w:rsidR="004F10A3" w:rsidRPr="00CA4465">
        <w:t>An answer to a special verdict question should be set aside only if it is perverse and palpably contrary to the evidence, or where the evidence is so clear as to leave no room for differences among reasonable persons.</w:t>
      </w:r>
      <w:r>
        <w:t xml:space="preserve">”  </w:t>
      </w:r>
      <w:r>
        <w:rPr>
          <w:i/>
        </w:rPr>
        <w:t>Moorhead Econ. Dev. Auth. v. Anda</w:t>
      </w:r>
      <w:r>
        <w:t>, 789 N.W.2d 860, 888 (Minn. 2010) (quotation omitted).</w:t>
      </w:r>
    </w:p>
    <w:p w:rsidR="00A17F9A" w:rsidRDefault="00A17F9A" w:rsidP="002845DD">
      <w:pPr>
        <w:ind w:left="2160"/>
      </w:pPr>
    </w:p>
    <w:p w:rsidR="007D09C0" w:rsidRDefault="00A17F9A" w:rsidP="002845DD">
      <w:pPr>
        <w:ind w:left="2160"/>
      </w:pPr>
      <w:r>
        <w:t>“</w:t>
      </w:r>
      <w:r w:rsidR="007D09C0" w:rsidRPr="00CA4465">
        <w:t xml:space="preserve">Review </w:t>
      </w:r>
      <w:r>
        <w:t xml:space="preserve">[of a special verdict] </w:t>
      </w:r>
      <w:r w:rsidR="007D09C0" w:rsidRPr="00CA4465">
        <w:t xml:space="preserve">is particularly limited when the jury finding turns largely upon an assessment of the relative credibility of witnesses whose testimonial demeanor was observed only by the jury and the [district] court and the latter has approved the findings made.”  </w:t>
      </w:r>
      <w:r w:rsidR="00ED16BD" w:rsidRPr="00CA4465">
        <w:rPr>
          <w:i/>
        </w:rPr>
        <w:t>Kelly v. City of Minneapolis</w:t>
      </w:r>
      <w:r w:rsidR="00ED16BD" w:rsidRPr="00CA4465">
        <w:t>, 598 N.W.2d 657, 662-63 (Minn. 1999)</w:t>
      </w:r>
      <w:r w:rsidR="0024186D">
        <w:t>.</w:t>
      </w:r>
      <w:r w:rsidR="00ED16BD" w:rsidRPr="00CA4465">
        <w:t xml:space="preserve"> </w:t>
      </w:r>
    </w:p>
    <w:p w:rsidR="00A17F9A" w:rsidRPr="00A17F9A" w:rsidRDefault="00A17F9A" w:rsidP="002845DD">
      <w:pPr>
        <w:ind w:left="2160"/>
        <w:rPr>
          <w:iCs/>
        </w:rPr>
      </w:pPr>
    </w:p>
    <w:p w:rsidR="007D09C0" w:rsidRPr="00CA4465" w:rsidRDefault="007D09C0" w:rsidP="002845DD">
      <w:pPr>
        <w:ind w:left="2160"/>
        <w:rPr>
          <w:iCs/>
        </w:rPr>
      </w:pPr>
      <w:r w:rsidRPr="00CA4465">
        <w:rPr>
          <w:iCs/>
        </w:rPr>
        <w:t xml:space="preserve">“The test is whether the special verdict answers can be reconciled in any reasonable manner consistent with the evidence and its fair inferences.  If the answers to special verdict questions can be reconciled on </w:t>
      </w:r>
      <w:r w:rsidRPr="00CA4465">
        <w:rPr>
          <w:i/>
          <w:iCs/>
        </w:rPr>
        <w:t>any</w:t>
      </w:r>
      <w:r w:rsidRPr="00CA4465">
        <w:rPr>
          <w:iCs/>
        </w:rPr>
        <w:t xml:space="preserve"> theory, the verdict will not be disturbed.”  </w:t>
      </w:r>
      <w:r w:rsidRPr="00CA4465">
        <w:rPr>
          <w:i/>
          <w:iCs/>
        </w:rPr>
        <w:t>Dunn v. Nat</w:t>
      </w:r>
      <w:r w:rsidR="00692384" w:rsidRPr="00CA4465">
        <w:rPr>
          <w:i/>
          <w:iCs/>
        </w:rPr>
        <w:t>’</w:t>
      </w:r>
      <w:r w:rsidRPr="00CA4465">
        <w:rPr>
          <w:i/>
          <w:iCs/>
        </w:rPr>
        <w:t>l Beverage Corp.</w:t>
      </w:r>
      <w:r w:rsidRPr="00CA4465">
        <w:rPr>
          <w:iCs/>
        </w:rPr>
        <w:t>, 745 N.W.2d 549, 555 (Minn. 2008) (quotation</w:t>
      </w:r>
      <w:r w:rsidR="0024186D">
        <w:rPr>
          <w:iCs/>
        </w:rPr>
        <w:t>s</w:t>
      </w:r>
      <w:r w:rsidR="00692384" w:rsidRPr="00CA4465">
        <w:rPr>
          <w:iCs/>
        </w:rPr>
        <w:t xml:space="preserve"> and citation</w:t>
      </w:r>
      <w:r w:rsidRPr="00CA4465">
        <w:rPr>
          <w:iCs/>
        </w:rPr>
        <w:t xml:space="preserve"> omitted).</w:t>
      </w:r>
    </w:p>
    <w:p w:rsidR="007D09C0" w:rsidRPr="00CA4465" w:rsidRDefault="007D09C0" w:rsidP="002845DD">
      <w:pPr>
        <w:ind w:left="2160"/>
        <w:rPr>
          <w:iCs/>
        </w:rPr>
      </w:pPr>
    </w:p>
    <w:p w:rsidR="004F10A3" w:rsidRPr="00C3560C" w:rsidRDefault="00D134DB" w:rsidP="00C3560C">
      <w:pPr>
        <w:ind w:left="2160"/>
      </w:pPr>
      <w:r w:rsidRPr="00CA4465">
        <w:rPr>
          <w:iCs/>
        </w:rPr>
        <w:t>“[</w:t>
      </w:r>
      <w:r w:rsidR="005231B7" w:rsidRPr="00CA4465">
        <w:t>A</w:t>
      </w:r>
      <w:r w:rsidRPr="00CA4465">
        <w:t>]</w:t>
      </w:r>
      <w:r w:rsidR="005231B7" w:rsidRPr="00CA4465">
        <w:t xml:space="preserve"> jury’s answer to a special</w:t>
      </w:r>
      <w:r w:rsidRPr="00CA4465">
        <w:t xml:space="preserve"> </w:t>
      </w:r>
      <w:r w:rsidR="005231B7" w:rsidRPr="00CA4465">
        <w:t xml:space="preserve">verdict </w:t>
      </w:r>
      <w:r w:rsidRPr="00CA4465">
        <w:t xml:space="preserve">form </w:t>
      </w:r>
      <w:r w:rsidR="005231B7" w:rsidRPr="00CA4465">
        <w:t xml:space="preserve">can be set aside only if no reasonable mind could find as did the jury.”  </w:t>
      </w:r>
      <w:r w:rsidR="004F10A3" w:rsidRPr="00CA4465">
        <w:rPr>
          <w:i/>
          <w:iCs/>
        </w:rPr>
        <w:t>Domtar, Inc. v. Niagara Fire Ins. Co.</w:t>
      </w:r>
      <w:r w:rsidR="004F10A3" w:rsidRPr="00CA4465">
        <w:t xml:space="preserve">, 563 N.W.2d 724, 734 (Minn. 1997). </w:t>
      </w:r>
    </w:p>
    <w:p w:rsidR="004F10A3" w:rsidRPr="00C3560C" w:rsidRDefault="004F10A3" w:rsidP="00300AEE">
      <w:pPr>
        <w:pStyle w:val="Heading4"/>
      </w:pPr>
      <w:bookmarkStart w:id="145" w:name="_Toc48979549"/>
      <w:bookmarkStart w:id="146" w:name="_Toc395604498"/>
      <w:r w:rsidRPr="00CA4465">
        <w:t>b.</w:t>
      </w:r>
      <w:r w:rsidRPr="00CA4465">
        <w:tab/>
      </w:r>
      <w:r w:rsidR="0014336F" w:rsidRPr="00CA4465">
        <w:t>District</w:t>
      </w:r>
      <w:r w:rsidRPr="00CA4465">
        <w:t xml:space="preserve"> Court Findings</w:t>
      </w:r>
      <w:bookmarkEnd w:id="145"/>
      <w:bookmarkEnd w:id="146"/>
    </w:p>
    <w:p w:rsidR="004F10A3" w:rsidRPr="00CA4465" w:rsidRDefault="004F10A3" w:rsidP="002845DD">
      <w:pPr>
        <w:ind w:left="1440"/>
      </w:pPr>
      <w:r w:rsidRPr="00CA4465">
        <w:t xml:space="preserve">“Findings of fact, whether based on oral or documentary evidence, shall not be set aside unless clearly erroneous, and due regard shall be given to the opportunity of the </w:t>
      </w:r>
      <w:r w:rsidR="00A14F2D" w:rsidRPr="00CA4465">
        <w:t>[district]</w:t>
      </w:r>
      <w:r w:rsidRPr="00CA4465">
        <w:t xml:space="preserve"> court to judge the credibility of the witnesses.  The findings of a referee, to the extent adopted by the court, shall be considered as the findings of the court.”  Minn. R. Civ. P. 52.01.</w:t>
      </w:r>
    </w:p>
    <w:p w:rsidR="004F10A3" w:rsidRPr="00CA4465" w:rsidRDefault="004F10A3" w:rsidP="002845DD">
      <w:pPr>
        <w:ind w:left="1440"/>
      </w:pPr>
    </w:p>
    <w:p w:rsidR="004F10A3" w:rsidRPr="00CA4465" w:rsidRDefault="004F10A3" w:rsidP="002845DD">
      <w:pPr>
        <w:ind w:left="1440"/>
      </w:pPr>
      <w:r w:rsidRPr="00CA4465">
        <w:t xml:space="preserve">In applying Minn. R. Civ. P. 52.01, “we view the record in the light most favorable to the judgment of the district court.”  </w:t>
      </w:r>
      <w:r w:rsidRPr="00CA4465">
        <w:rPr>
          <w:i/>
          <w:iCs/>
        </w:rPr>
        <w:t>Rogers v. Moore</w:t>
      </w:r>
      <w:r w:rsidRPr="00CA4465">
        <w:t xml:space="preserve">, 603 N.W.2d </w:t>
      </w:r>
      <w:r w:rsidRPr="00CA4465">
        <w:lastRenderedPageBreak/>
        <w:t xml:space="preserve">650, 656 (Minn. 1999).  </w:t>
      </w:r>
      <w:r w:rsidR="00D134DB" w:rsidRPr="00CA4465">
        <w:t xml:space="preserve">“The decision of a </w:t>
      </w:r>
      <w:r w:rsidRPr="00CA4465">
        <w:t>district court</w:t>
      </w:r>
      <w:r w:rsidR="00D134DB" w:rsidRPr="00CA4465">
        <w:t xml:space="preserve"> should not be reversed</w:t>
      </w:r>
      <w:r w:rsidRPr="00CA4465">
        <w:t xml:space="preserve"> merely because </w:t>
      </w:r>
      <w:r w:rsidR="00D134DB" w:rsidRPr="00CA4465">
        <w:t>the appellate court</w:t>
      </w:r>
      <w:r w:rsidRPr="00CA4465">
        <w:t xml:space="preserve"> view</w:t>
      </w:r>
      <w:r w:rsidR="00D134DB" w:rsidRPr="00CA4465">
        <w:t>s</w:t>
      </w:r>
      <w:r w:rsidRPr="00CA4465">
        <w:t xml:space="preserve"> the evidence differently.</w:t>
      </w:r>
      <w:r w:rsidR="00D134DB" w:rsidRPr="00CA4465">
        <w:t>”</w:t>
      </w:r>
      <w:r w:rsidRPr="00CA4465">
        <w:t xml:space="preserve">  </w:t>
      </w:r>
      <w:r w:rsidRPr="00CA4465">
        <w:rPr>
          <w:i/>
          <w:iCs/>
        </w:rPr>
        <w:t>Id</w:t>
      </w:r>
      <w:r w:rsidRPr="00CA4465">
        <w:rPr>
          <w:iCs/>
        </w:rPr>
        <w:t>.</w:t>
      </w:r>
      <w:r w:rsidRPr="00CA4465">
        <w:t xml:space="preserve">  </w:t>
      </w:r>
      <w:r w:rsidR="00D134DB" w:rsidRPr="00CA4465">
        <w:t>“</w:t>
      </w:r>
      <w:r w:rsidRPr="00CA4465">
        <w:t>Rather, the findings must be manifestly contrary to the weight of the evidence or not reasonably supported by the evidence as a whole</w:t>
      </w:r>
      <w:r w:rsidR="00D134DB" w:rsidRPr="00CA4465">
        <w:t>.</w:t>
      </w:r>
      <w:r w:rsidRPr="00CA4465">
        <w:t>”</w:t>
      </w:r>
      <w:r w:rsidR="00D134DB" w:rsidRPr="00CA4465">
        <w:t xml:space="preserve"> </w:t>
      </w:r>
      <w:r w:rsidR="006B1289" w:rsidRPr="00CA4465">
        <w:t xml:space="preserve"> </w:t>
      </w:r>
      <w:r w:rsidR="00D134DB" w:rsidRPr="00CA4465">
        <w:rPr>
          <w:i/>
        </w:rPr>
        <w:t>Id.</w:t>
      </w:r>
      <w:r w:rsidR="0088273D" w:rsidRPr="00CA4465">
        <w:t xml:space="preserve"> (quotation omitted).</w:t>
      </w:r>
      <w:r w:rsidRPr="00CA4465">
        <w:t xml:space="preserve">  “Findings of fact are clearly erroneous only if the reviewing court is left with the definite and firm conviction that a mistake has been made.”  </w:t>
      </w:r>
      <w:r w:rsidRPr="00CA4465">
        <w:rPr>
          <w:i/>
          <w:iCs/>
        </w:rPr>
        <w:t>Fletcher v. St. Paul Pioneer Press</w:t>
      </w:r>
      <w:r w:rsidRPr="00CA4465">
        <w:t xml:space="preserve">, 589 N.W.2d 96, 101 (Minn. 1999) (quotation omitted).  And “[i]f there is reasonable evidence to support the district court’s findings, we will not disturb them.”  </w:t>
      </w:r>
      <w:r w:rsidRPr="00CA4465">
        <w:rPr>
          <w:i/>
          <w:iCs/>
        </w:rPr>
        <w:t>Rogers</w:t>
      </w:r>
      <w:r w:rsidRPr="00CA4465">
        <w:t xml:space="preserve">, 603 N.W.2d at 656. </w:t>
      </w:r>
    </w:p>
    <w:p w:rsidR="004F10A3" w:rsidRPr="00CA4465" w:rsidRDefault="004F10A3" w:rsidP="002845DD">
      <w:pPr>
        <w:ind w:left="1440"/>
      </w:pPr>
    </w:p>
    <w:p w:rsidR="00C339D2" w:rsidRPr="00CA4465" w:rsidRDefault="004F10A3" w:rsidP="00C3560C">
      <w:pPr>
        <w:ind w:left="1440"/>
      </w:pPr>
      <w:r w:rsidRPr="00CA4465">
        <w:rPr>
          <w:b/>
        </w:rPr>
        <w:t>Note:</w:t>
      </w:r>
      <w:r w:rsidRPr="00CA4465">
        <w:t xml:space="preserve">  Be careful not to cite pre-1985 cases regarding rule 52.01.  The 1985 amendment </w:t>
      </w:r>
      <w:r w:rsidR="00530B36" w:rsidRPr="00CA4465">
        <w:t>to</w:t>
      </w:r>
      <w:r w:rsidRPr="00CA4465">
        <w:t xml:space="preserve"> rule 52.01</w:t>
      </w:r>
      <w:r w:rsidR="004F1F53" w:rsidRPr="00CA4465">
        <w:t xml:space="preserve"> requires findings of fact “whether based on oral or documentary evidence” to be </w:t>
      </w:r>
      <w:r w:rsidR="00824B03" w:rsidRPr="00CA4465">
        <w:t>reviewed</w:t>
      </w:r>
      <w:r w:rsidR="004F1F53" w:rsidRPr="00CA4465">
        <w:t xml:space="preserve"> for clear error</w:t>
      </w:r>
      <w:r w:rsidRPr="00CA4465">
        <w:t xml:space="preserve">.  </w:t>
      </w:r>
      <w:r w:rsidRPr="00CA4465">
        <w:rPr>
          <w:i/>
          <w:iCs/>
        </w:rPr>
        <w:t>See First Trust Co. v. Union Depot Place Ltd. P’ship</w:t>
      </w:r>
      <w:r w:rsidRPr="00CA4465">
        <w:t xml:space="preserve">, 476 N.W.2d 178, 181-82 (Minn. App. 1991) (addressing 1985 amendment), </w:t>
      </w:r>
      <w:r w:rsidRPr="00CA4465">
        <w:rPr>
          <w:i/>
          <w:iCs/>
        </w:rPr>
        <w:t>review denied</w:t>
      </w:r>
      <w:r w:rsidRPr="00CA4465">
        <w:t xml:space="preserve"> (Minn. Dec. 13, 1991).</w:t>
      </w:r>
    </w:p>
    <w:p w:rsidR="004F10A3" w:rsidRPr="00C3560C" w:rsidRDefault="004F10A3" w:rsidP="00604DD4">
      <w:pPr>
        <w:pStyle w:val="Heading2"/>
      </w:pPr>
      <w:bookmarkStart w:id="147" w:name="_Toc48979550"/>
      <w:bookmarkStart w:id="148" w:name="_Toc395604499"/>
      <w:r w:rsidRPr="00CA4465">
        <w:t>E.</w:t>
      </w:r>
      <w:r w:rsidRPr="00CA4465">
        <w:tab/>
        <w:t>REMEDIES</w:t>
      </w:r>
      <w:bookmarkEnd w:id="147"/>
      <w:bookmarkEnd w:id="148"/>
    </w:p>
    <w:p w:rsidR="004F10A3" w:rsidRPr="00C3560C" w:rsidRDefault="004F10A3" w:rsidP="00337FFA">
      <w:pPr>
        <w:pStyle w:val="Heading3"/>
      </w:pPr>
      <w:bookmarkStart w:id="149" w:name="_Toc48979551"/>
      <w:bookmarkStart w:id="150" w:name="_Toc395604500"/>
      <w:r w:rsidRPr="00CA4465">
        <w:t>1.</w:t>
      </w:r>
      <w:r w:rsidRPr="00CA4465">
        <w:tab/>
        <w:t>Monetary Remedies</w:t>
      </w:r>
      <w:bookmarkEnd w:id="149"/>
      <w:bookmarkEnd w:id="150"/>
    </w:p>
    <w:p w:rsidR="004F10A3" w:rsidRPr="00C3560C" w:rsidRDefault="004F10A3" w:rsidP="00300AEE">
      <w:pPr>
        <w:pStyle w:val="Heading4"/>
      </w:pPr>
      <w:bookmarkStart w:id="151" w:name="_Toc48979552"/>
      <w:bookmarkStart w:id="152" w:name="_Toc395604501"/>
      <w:r w:rsidRPr="00CA4465">
        <w:t>a.</w:t>
      </w:r>
      <w:r w:rsidRPr="00CA4465">
        <w:tab/>
        <w:t>Amount of Award in General</w:t>
      </w:r>
      <w:bookmarkEnd w:id="151"/>
      <w:bookmarkEnd w:id="152"/>
    </w:p>
    <w:p w:rsidR="004F10A3" w:rsidRPr="00CA4465" w:rsidRDefault="00A17F9A" w:rsidP="002845DD">
      <w:pPr>
        <w:ind w:left="1440"/>
      </w:pPr>
      <w:r>
        <w:t xml:space="preserve">“Generally, we will not disturb a damage award unless the ‘failure to do so would be shocking or would result in plain injustice.’”  </w:t>
      </w:r>
      <w:r>
        <w:rPr>
          <w:i/>
        </w:rPr>
        <w:t>Dunn v. Nat’l Beverage Corp.</w:t>
      </w:r>
      <w:r>
        <w:t xml:space="preserve">, 745 N.W.2d 549, 555 (Minn. 2008) </w:t>
      </w:r>
      <w:r w:rsidR="00313ABA">
        <w:t xml:space="preserve">(citing </w:t>
      </w:r>
      <w:r w:rsidR="00313ABA">
        <w:rPr>
          <w:i/>
        </w:rPr>
        <w:t>Hughes v. Sinclair Mkt</w:t>
      </w:r>
      <w:r w:rsidR="0024186D">
        <w:rPr>
          <w:i/>
        </w:rPr>
        <w:t>g</w:t>
      </w:r>
      <w:r w:rsidR="00313ABA">
        <w:rPr>
          <w:i/>
        </w:rPr>
        <w:t>., Inc.</w:t>
      </w:r>
      <w:r w:rsidR="00313ABA">
        <w:t>, 389 N.W.2d 194, 199 (Minn. 1986)).</w:t>
      </w:r>
    </w:p>
    <w:p w:rsidR="004F10A3" w:rsidRPr="00CA4465" w:rsidRDefault="004F10A3" w:rsidP="002845DD">
      <w:pPr>
        <w:ind w:left="1440"/>
      </w:pPr>
    </w:p>
    <w:p w:rsidR="004F10A3" w:rsidRPr="00CA4465" w:rsidRDefault="004F10A3" w:rsidP="002845DD">
      <w:pPr>
        <w:ind w:left="1440"/>
      </w:pPr>
      <w:r w:rsidRPr="00CA4465">
        <w:t xml:space="preserve">The </w:t>
      </w:r>
      <w:r w:rsidR="001B7D6F" w:rsidRPr="00CA4465">
        <w:t>district</w:t>
      </w:r>
      <w:r w:rsidRPr="00CA4465">
        <w:t xml:space="preserve"> court’s determination on whether an award of damages is excessive </w:t>
      </w:r>
      <w:r w:rsidR="0024186D">
        <w:t>“</w:t>
      </w:r>
      <w:r w:rsidRPr="00CA4465">
        <w:t xml:space="preserve">will </w:t>
      </w:r>
      <w:r w:rsidR="0024186D" w:rsidRPr="00CA4465">
        <w:t xml:space="preserve">only </w:t>
      </w:r>
      <w:r w:rsidRPr="00CA4465">
        <w:t>be disturbed for a clear abuse of discretion.</w:t>
      </w:r>
      <w:r w:rsidR="0024186D">
        <w:t>”</w:t>
      </w:r>
      <w:r w:rsidRPr="00CA4465">
        <w:t xml:space="preserve">  </w:t>
      </w:r>
      <w:r w:rsidRPr="00CA4465">
        <w:rPr>
          <w:i/>
        </w:rPr>
        <w:t>Dallum v. Farmers Union Cent. Exch., Inc.</w:t>
      </w:r>
      <w:r w:rsidRPr="00CA4465">
        <w:t>, 462 N.</w:t>
      </w:r>
      <w:r w:rsidR="00724196" w:rsidRPr="00CA4465">
        <w:t>W.2d 608, 614 (Minn. App. 1990)</w:t>
      </w:r>
      <w:r w:rsidR="0024186D">
        <w:t xml:space="preserve"> (quoting </w:t>
      </w:r>
      <w:r w:rsidR="0024186D">
        <w:rPr>
          <w:i/>
        </w:rPr>
        <w:t>Nelson v. Nelson</w:t>
      </w:r>
      <w:r w:rsidR="0024186D">
        <w:t>, 283 N.W.2d 375, 379 (Minn. 1979)),</w:t>
      </w:r>
      <w:r w:rsidRPr="00CA4465">
        <w:t xml:space="preserve"> </w:t>
      </w:r>
      <w:r w:rsidRPr="00CA4465">
        <w:rPr>
          <w:i/>
        </w:rPr>
        <w:t>review denied</w:t>
      </w:r>
      <w:r w:rsidRPr="00CA4465">
        <w:t xml:space="preserve"> (Minn. Jan. 14, 1991)</w:t>
      </w:r>
      <w:r w:rsidR="00313ABA">
        <w:t xml:space="preserve">; </w:t>
      </w:r>
      <w:r w:rsidR="00313ABA">
        <w:rPr>
          <w:i/>
        </w:rPr>
        <w:t>see Myers v</w:t>
      </w:r>
      <w:r w:rsidR="0024186D">
        <w:rPr>
          <w:i/>
        </w:rPr>
        <w:t>. H</w:t>
      </w:r>
      <w:r w:rsidR="00313ABA">
        <w:rPr>
          <w:i/>
        </w:rPr>
        <w:t>earth Techs., Inc.</w:t>
      </w:r>
      <w:r w:rsidR="00313ABA">
        <w:t>, 621 N.W.2d 787, 79</w:t>
      </w:r>
      <w:r w:rsidR="0024186D">
        <w:t>2</w:t>
      </w:r>
      <w:r w:rsidR="00313ABA">
        <w:t xml:space="preserve"> (Minn. App. 2001), </w:t>
      </w:r>
      <w:r w:rsidR="00313ABA">
        <w:rPr>
          <w:i/>
        </w:rPr>
        <w:t>review denied</w:t>
      </w:r>
      <w:r w:rsidR="00313ABA">
        <w:t xml:space="preserve"> (Minn. Mar. 13, 2001)</w:t>
      </w:r>
      <w:r w:rsidRPr="00CA4465">
        <w:t xml:space="preserve">.  </w:t>
      </w:r>
    </w:p>
    <w:p w:rsidR="004F10A3" w:rsidRPr="00CA4465" w:rsidRDefault="004F10A3" w:rsidP="002845DD">
      <w:pPr>
        <w:ind w:left="1440"/>
      </w:pPr>
    </w:p>
    <w:p w:rsidR="004F10A3" w:rsidRPr="00CA4465" w:rsidRDefault="004F10A3" w:rsidP="00C3560C">
      <w:pPr>
        <w:ind w:left="1440"/>
      </w:pPr>
      <w:r w:rsidRPr="00CA4465">
        <w:t xml:space="preserve">A reviewing court should not set aside a jury </w:t>
      </w:r>
      <w:bookmarkStart w:id="153" w:name="SearchTerm"/>
      <w:r w:rsidRPr="00CA4465">
        <w:rPr>
          <w:rStyle w:val="searchterm"/>
        </w:rPr>
        <w:t>verdict</w:t>
      </w:r>
      <w:bookmarkStart w:id="154" w:name="SR;2262"/>
      <w:bookmarkEnd w:id="154"/>
      <w:r w:rsidRPr="00CA4465">
        <w:t xml:space="preserve"> on damages “unless it is manifestly and palpably contrary to the evidence viewed as a whole and in the </w:t>
      </w:r>
      <w:r w:rsidRPr="00CA4465">
        <w:rPr>
          <w:rStyle w:val="searchterm"/>
        </w:rPr>
        <w:t>light</w:t>
      </w:r>
      <w:bookmarkStart w:id="155" w:name="SR;2280"/>
      <w:bookmarkEnd w:id="155"/>
      <w:r w:rsidRPr="00CA4465">
        <w:t xml:space="preserve"> most </w:t>
      </w:r>
      <w:r w:rsidRPr="00CA4465">
        <w:rPr>
          <w:rStyle w:val="searchterm"/>
        </w:rPr>
        <w:t>favorable</w:t>
      </w:r>
      <w:bookmarkStart w:id="156" w:name="SR;2282"/>
      <w:bookmarkEnd w:id="156"/>
      <w:r w:rsidRPr="00CA4465">
        <w:t xml:space="preserve"> to the </w:t>
      </w:r>
      <w:bookmarkEnd w:id="153"/>
      <w:r w:rsidRPr="00CA4465">
        <w:rPr>
          <w:rStyle w:val="searchterm"/>
        </w:rPr>
        <w:t>verdict</w:t>
      </w:r>
      <w:bookmarkStart w:id="157" w:name="SR;2285"/>
      <w:bookmarkEnd w:id="157"/>
      <w:r w:rsidRPr="00CA4465">
        <w:t xml:space="preserve">.”  </w:t>
      </w:r>
      <w:r w:rsidRPr="00CA4465">
        <w:rPr>
          <w:i/>
        </w:rPr>
        <w:t>Raze v. Mueller</w:t>
      </w:r>
      <w:r w:rsidRPr="00CA4465">
        <w:t>, 587 N.W.2d 645, 648 (Minn. 1999) (</w:t>
      </w:r>
      <w:r w:rsidR="0024186D">
        <w:t xml:space="preserve">internal </w:t>
      </w:r>
      <w:r w:rsidRPr="00CA4465">
        <w:t>quotation omitted).</w:t>
      </w:r>
    </w:p>
    <w:p w:rsidR="004F10A3" w:rsidRPr="00CA4465" w:rsidRDefault="004F10A3" w:rsidP="00300AEE">
      <w:pPr>
        <w:pStyle w:val="Heading4"/>
      </w:pPr>
      <w:bookmarkStart w:id="158" w:name="_Toc48979553"/>
      <w:bookmarkStart w:id="159" w:name="_Toc395604502"/>
      <w:r w:rsidRPr="00CA4465">
        <w:t>b.</w:t>
      </w:r>
      <w:r w:rsidRPr="00CA4465">
        <w:tab/>
        <w:t>Additur and Remittitur</w:t>
      </w:r>
      <w:bookmarkEnd w:id="158"/>
      <w:bookmarkEnd w:id="159"/>
    </w:p>
    <w:p w:rsidR="004F10A3" w:rsidRPr="00CA4465" w:rsidRDefault="004F10A3" w:rsidP="002845DD">
      <w:pPr>
        <w:ind w:left="1440"/>
      </w:pPr>
      <w:r w:rsidRPr="00CA4465">
        <w:t xml:space="preserve">The district court exercises discretion in granting or denying remittitur, and appellate courts will not reverse unless there was a clear abuse of discretion.  </w:t>
      </w:r>
      <w:r w:rsidRPr="00CA4465">
        <w:rPr>
          <w:i/>
          <w:iCs/>
        </w:rPr>
        <w:t>Myers v. Hearth Techs., Inc.</w:t>
      </w:r>
      <w:r w:rsidRPr="00CA4465">
        <w:t xml:space="preserve">, 621 N.W.2d 787, 792 (Minn. App. 2001), </w:t>
      </w:r>
      <w:r w:rsidRPr="00CA4465">
        <w:rPr>
          <w:i/>
          <w:iCs/>
        </w:rPr>
        <w:t>review denied</w:t>
      </w:r>
      <w:r w:rsidRPr="00CA4465">
        <w:t xml:space="preserve"> (Minn. Mar. 13, 2001).</w:t>
      </w:r>
    </w:p>
    <w:p w:rsidR="004F10A3" w:rsidRPr="00CA4465" w:rsidRDefault="004F10A3" w:rsidP="002845DD">
      <w:pPr>
        <w:ind w:left="1440"/>
      </w:pPr>
    </w:p>
    <w:p w:rsidR="004F10A3" w:rsidRPr="00CA4465" w:rsidRDefault="004F10A3" w:rsidP="002845DD">
      <w:pPr>
        <w:ind w:left="1440"/>
      </w:pPr>
      <w:r w:rsidRPr="00CA4465">
        <w:lastRenderedPageBreak/>
        <w:t xml:space="preserve">When a </w:t>
      </w:r>
      <w:r w:rsidR="001B7D6F" w:rsidRPr="00CA4465">
        <w:t>district</w:t>
      </w:r>
      <w:r w:rsidRPr="00CA4465">
        <w:t xml:space="preserve"> court has examined the jury’s verdict and outlined the reasons for its decision on a motion for remittitur, an appellate court is unlikely to tamper with that decision absent an abuse of discretion.  </w:t>
      </w:r>
      <w:r w:rsidRPr="00CA4465">
        <w:rPr>
          <w:i/>
          <w:iCs/>
        </w:rPr>
        <w:t>Sorenson v. Kruse</w:t>
      </w:r>
      <w:r w:rsidRPr="00CA4465">
        <w:t>, 293 N.W.2d 56, 63 (Minn. 1980).</w:t>
      </w:r>
    </w:p>
    <w:p w:rsidR="00D7506B" w:rsidRPr="00CA4465" w:rsidRDefault="00D7506B" w:rsidP="002845DD">
      <w:pPr>
        <w:ind w:left="1440"/>
      </w:pPr>
    </w:p>
    <w:p w:rsidR="00D7506B" w:rsidRPr="008B6724" w:rsidRDefault="008B6724" w:rsidP="002845DD">
      <w:pPr>
        <w:ind w:left="1440"/>
      </w:pPr>
      <w:r>
        <w:t xml:space="preserve">It is within the district court’s discretion to determine whether damages are excessive and whether the cure therefor is remittitur or a new trial.  </w:t>
      </w:r>
      <w:r>
        <w:rPr>
          <w:i/>
        </w:rPr>
        <w:t>Ray v. Miller Meester Adver., Inc.</w:t>
      </w:r>
      <w:r>
        <w:t xml:space="preserve">, 664 N.W.2d 355, 368 (Minn. App. 2003), </w:t>
      </w:r>
      <w:r>
        <w:rPr>
          <w:i/>
        </w:rPr>
        <w:t>aff’d</w:t>
      </w:r>
      <w:r>
        <w:t xml:space="preserve"> 684 N.W.2d 404 (Minn. 2004).</w:t>
      </w:r>
    </w:p>
    <w:p w:rsidR="004F10A3" w:rsidRPr="00CA4465" w:rsidRDefault="004F10A3" w:rsidP="002845DD">
      <w:pPr>
        <w:ind w:left="1440"/>
      </w:pPr>
    </w:p>
    <w:p w:rsidR="00015793" w:rsidRPr="00CA4465" w:rsidRDefault="008B6724" w:rsidP="00C3560C">
      <w:pPr>
        <w:ind w:left="1440"/>
      </w:pPr>
      <w:r>
        <w:t xml:space="preserve">The decision of </w:t>
      </w:r>
      <w:r w:rsidR="004F10A3" w:rsidRPr="00CA4465">
        <w:t xml:space="preserve">whether to grant additur rests within the </w:t>
      </w:r>
      <w:r w:rsidR="00A14F2D" w:rsidRPr="00CA4465">
        <w:t>district</w:t>
      </w:r>
      <w:r w:rsidR="004F10A3" w:rsidRPr="00CA4465">
        <w:t xml:space="preserve"> court’s discretion.  </w:t>
      </w:r>
      <w:r>
        <w:rPr>
          <w:i/>
          <w:iCs/>
        </w:rPr>
        <w:t xml:space="preserve">Rush v. </w:t>
      </w:r>
      <w:r w:rsidRPr="008B6724">
        <w:rPr>
          <w:i/>
          <w:iCs/>
        </w:rPr>
        <w:t>Jostock</w:t>
      </w:r>
      <w:r>
        <w:rPr>
          <w:iCs/>
        </w:rPr>
        <w:t xml:space="preserve">, 710 N.W.2d 570, 577 (Minn. App. 2006), </w:t>
      </w:r>
      <w:r w:rsidR="004F10A3" w:rsidRPr="00CA4465">
        <w:rPr>
          <w:i/>
          <w:iCs/>
        </w:rPr>
        <w:t>review denied</w:t>
      </w:r>
      <w:r w:rsidR="004F10A3" w:rsidRPr="00CA4465">
        <w:t xml:space="preserve"> (Minn. May </w:t>
      </w:r>
      <w:r>
        <w:t>2</w:t>
      </w:r>
      <w:r w:rsidR="004F10A3" w:rsidRPr="00CA4465">
        <w:t xml:space="preserve">4, </w:t>
      </w:r>
      <w:r>
        <w:t>2006</w:t>
      </w:r>
      <w:r w:rsidR="004F10A3" w:rsidRPr="00CA4465">
        <w:t>).</w:t>
      </w:r>
      <w:r w:rsidR="005231B7" w:rsidRPr="00CA4465">
        <w:t xml:space="preserve"> </w:t>
      </w:r>
    </w:p>
    <w:p w:rsidR="004F10A3" w:rsidRPr="00CA4465" w:rsidRDefault="004F10A3" w:rsidP="00300AEE">
      <w:pPr>
        <w:pStyle w:val="Heading4"/>
      </w:pPr>
      <w:bookmarkStart w:id="160" w:name="_Toc48979554"/>
      <w:bookmarkStart w:id="161" w:name="_Toc395604503"/>
      <w:r w:rsidRPr="00CA4465">
        <w:t>c.</w:t>
      </w:r>
      <w:r w:rsidRPr="00CA4465">
        <w:tab/>
        <w:t>Special and Punitive Damages</w:t>
      </w:r>
      <w:bookmarkEnd w:id="160"/>
      <w:bookmarkEnd w:id="161"/>
    </w:p>
    <w:p w:rsidR="004F10A3" w:rsidRPr="00CA4465" w:rsidRDefault="004F10A3" w:rsidP="002845DD">
      <w:pPr>
        <w:ind w:left="1440"/>
      </w:pPr>
      <w:r w:rsidRPr="00CA4465">
        <w:t xml:space="preserve">Whether a particular type of claimed damage may be recovered as “special damages” is a question of law reviewed de novo.  </w:t>
      </w:r>
      <w:r w:rsidRPr="00CA4465">
        <w:rPr>
          <w:i/>
          <w:iCs/>
        </w:rPr>
        <w:t>Paidar v. Hughes</w:t>
      </w:r>
      <w:r w:rsidRPr="00CA4465">
        <w:t>, 615 N.W.2d 276, 279 (Minn. 2000).</w:t>
      </w:r>
    </w:p>
    <w:p w:rsidR="00D7506B" w:rsidRPr="00CA4465" w:rsidRDefault="00D7506B" w:rsidP="002845DD">
      <w:pPr>
        <w:ind w:left="1440"/>
      </w:pPr>
    </w:p>
    <w:p w:rsidR="00D7506B" w:rsidRDefault="00D7506B" w:rsidP="002845DD">
      <w:pPr>
        <w:ind w:left="1440"/>
      </w:pPr>
      <w:r w:rsidRPr="00CA4465">
        <w:t xml:space="preserve">We review an order denying a motion to amend a complaint to add punitive damages for abuse of discretion.  </w:t>
      </w:r>
      <w:r w:rsidRPr="00CA4465">
        <w:rPr>
          <w:i/>
        </w:rPr>
        <w:t>Bjerke v. Johnson</w:t>
      </w:r>
      <w:r w:rsidR="00EC5175" w:rsidRPr="00CA4465">
        <w:t>, 727 N.W.2d 183, 196 (Minn. A</w:t>
      </w:r>
      <w:r w:rsidRPr="00CA4465">
        <w:t xml:space="preserve">pp. 2007), </w:t>
      </w:r>
      <w:r w:rsidRPr="00CA4465">
        <w:rPr>
          <w:i/>
        </w:rPr>
        <w:t>aff’d</w:t>
      </w:r>
      <w:r w:rsidRPr="00CA4465">
        <w:t xml:space="preserve"> 742 N.W.2d 660 (Minn. 2007).</w:t>
      </w:r>
    </w:p>
    <w:p w:rsidR="0024186D" w:rsidRPr="00CA4465" w:rsidRDefault="0024186D" w:rsidP="002845DD">
      <w:pPr>
        <w:ind w:left="1440"/>
      </w:pPr>
    </w:p>
    <w:p w:rsidR="008B6724" w:rsidRDefault="00D7506B" w:rsidP="00C3560C">
      <w:pPr>
        <w:ind w:left="1440"/>
      </w:pPr>
      <w:r w:rsidRPr="00CA4465">
        <w:t>“[T]he amount of punitive damages to award is a decision that is almost exclusively within the province of the jury</w:t>
      </w:r>
      <w:r w:rsidR="00DD53A4" w:rsidRPr="00CA4465">
        <w:t>[;]</w:t>
      </w:r>
      <w:r w:rsidRPr="00CA4465">
        <w:t xml:space="preserve"> we will not disturb the award on appeal unless it is so excessive as to be unreasonable.”  </w:t>
      </w:r>
      <w:r w:rsidRPr="00CA4465">
        <w:rPr>
          <w:i/>
        </w:rPr>
        <w:t>Stuempges v. Parke, Davis &amp; Co.</w:t>
      </w:r>
      <w:r w:rsidRPr="00CA4465">
        <w:t>, 297 N.W.2d 252, 259 (Minn. 1980)</w:t>
      </w:r>
      <w:r w:rsidR="008B6724">
        <w:t xml:space="preserve">; </w:t>
      </w:r>
      <w:r w:rsidR="008B6724">
        <w:rPr>
          <w:i/>
        </w:rPr>
        <w:t>see Ray v. Miller Meester Adver., Inc.</w:t>
      </w:r>
      <w:r w:rsidR="008B6724">
        <w:t xml:space="preserve">, 664 N.W.2d 355, 371 (Minn. App. 2003), </w:t>
      </w:r>
      <w:r w:rsidR="008B6724">
        <w:rPr>
          <w:i/>
        </w:rPr>
        <w:t>aff’d</w:t>
      </w:r>
      <w:r w:rsidR="008B6724">
        <w:t xml:space="preserve"> 684 N.W.2d 404 (Minn. 2004)</w:t>
      </w:r>
      <w:r w:rsidRPr="00CA4465">
        <w:t>.</w:t>
      </w:r>
    </w:p>
    <w:p w:rsidR="004F10A3" w:rsidRPr="00C3560C" w:rsidRDefault="004F10A3" w:rsidP="00337FFA">
      <w:pPr>
        <w:pStyle w:val="Heading3"/>
      </w:pPr>
      <w:bookmarkStart w:id="162" w:name="_Toc48979555"/>
      <w:bookmarkStart w:id="163" w:name="_Toc395604504"/>
      <w:r w:rsidRPr="00CA4465">
        <w:t>2.</w:t>
      </w:r>
      <w:r w:rsidRPr="00CA4465">
        <w:tab/>
        <w:t>Equitable Remedies</w:t>
      </w:r>
      <w:bookmarkEnd w:id="162"/>
      <w:bookmarkEnd w:id="163"/>
    </w:p>
    <w:p w:rsidR="002845DD" w:rsidRDefault="004F10A3" w:rsidP="00300AEE">
      <w:pPr>
        <w:pStyle w:val="Heading4"/>
      </w:pPr>
      <w:bookmarkStart w:id="164" w:name="_Toc48979556"/>
      <w:bookmarkStart w:id="165" w:name="_Toc395604505"/>
      <w:r w:rsidRPr="00CA4465">
        <w:t>a.</w:t>
      </w:r>
      <w:r w:rsidRPr="00CA4465">
        <w:tab/>
        <w:t>In General</w:t>
      </w:r>
      <w:bookmarkEnd w:id="164"/>
      <w:bookmarkEnd w:id="165"/>
    </w:p>
    <w:p w:rsidR="00032118" w:rsidRDefault="004F10A3" w:rsidP="00C3560C">
      <w:pPr>
        <w:ind w:left="1440"/>
      </w:pPr>
      <w:r w:rsidRPr="00CA4465">
        <w:t xml:space="preserve">“Granting equitable relief is within the sound discretion of the </w:t>
      </w:r>
      <w:r w:rsidR="00A14F2D" w:rsidRPr="00CA4465">
        <w:t>[district]</w:t>
      </w:r>
      <w:r w:rsidRPr="00CA4465">
        <w:t xml:space="preserve"> court. Only a clear abuse of that discretion will result in reversal.” </w:t>
      </w:r>
      <w:r w:rsidR="008B6724">
        <w:t xml:space="preserve"> </w:t>
      </w:r>
      <w:r w:rsidR="0024186D" w:rsidRPr="00CA4465">
        <w:rPr>
          <w:i/>
          <w:iCs/>
        </w:rPr>
        <w:t>Nadeau v. Cnty. of Ramsey</w:t>
      </w:r>
      <w:r w:rsidR="0024186D" w:rsidRPr="00CA4465">
        <w:t>, 277 N.W.2d 520, 524 (Minn. 1979)</w:t>
      </w:r>
      <w:r w:rsidR="0024186D">
        <w:t xml:space="preserve">; </w:t>
      </w:r>
      <w:r w:rsidR="0024186D">
        <w:rPr>
          <w:i/>
        </w:rPr>
        <w:t xml:space="preserve">see </w:t>
      </w:r>
      <w:r w:rsidR="008B6724">
        <w:rPr>
          <w:i/>
        </w:rPr>
        <w:t>Citizens State Bank v. Raven Trading Partners, Inc.</w:t>
      </w:r>
      <w:r w:rsidR="008B6724">
        <w:t>, 786 N.W.2d 274, 277 (Minn. 2010)</w:t>
      </w:r>
      <w:r w:rsidRPr="00CA4465">
        <w:t>.</w:t>
      </w:r>
      <w:r w:rsidR="00032118" w:rsidRPr="00032118">
        <w:t xml:space="preserve"> </w:t>
      </w:r>
    </w:p>
    <w:p w:rsidR="00032118" w:rsidRDefault="00032118" w:rsidP="00C3560C">
      <w:pPr>
        <w:ind w:left="1440"/>
      </w:pPr>
    </w:p>
    <w:p w:rsidR="004F10A3" w:rsidRPr="00CA4465" w:rsidRDefault="00032118" w:rsidP="00C3560C">
      <w:pPr>
        <w:ind w:left="1440"/>
      </w:pPr>
      <w:r w:rsidRPr="000E63B4">
        <w:t xml:space="preserve">“A district court has broad discretion when fashioning an equitable remedy.  This court will reverse a district court’s equitable remedy only if the district court abuses its discretion.  A district court abuses its discretion if its decision is against the facts in the record or if its ruling is based on an erroneous view of the law.”  </w:t>
      </w:r>
      <w:r w:rsidRPr="000E63B4">
        <w:rPr>
          <w:i/>
        </w:rPr>
        <w:t xml:space="preserve">State ex rel. Swan Lake Area Wildlife Ass’n v. Nicollet </w:t>
      </w:r>
      <w:r w:rsidR="006B6850" w:rsidRPr="000E63B4">
        <w:rPr>
          <w:i/>
        </w:rPr>
        <w:t>Cnty Bd. of Comm’rs</w:t>
      </w:r>
      <w:r w:rsidR="006B6850" w:rsidRPr="000E63B4">
        <w:t>, 799 N.W.2d 619, 625 (Minn. App. 2011)</w:t>
      </w:r>
      <w:r w:rsidR="000E63B4" w:rsidRPr="000E63B4">
        <w:t xml:space="preserve"> (citations and quotation omitted)</w:t>
      </w:r>
      <w:r w:rsidR="006B6850" w:rsidRPr="000E63B4">
        <w:t>.</w:t>
      </w:r>
    </w:p>
    <w:p w:rsidR="004F10A3" w:rsidRPr="00CA4465" w:rsidRDefault="004F10A3" w:rsidP="00300AEE">
      <w:pPr>
        <w:pStyle w:val="Heading4"/>
      </w:pPr>
      <w:bookmarkStart w:id="166" w:name="_Toc48979557"/>
      <w:bookmarkStart w:id="167" w:name="_Toc395604506"/>
      <w:r w:rsidRPr="00CA4465">
        <w:lastRenderedPageBreak/>
        <w:t>b.</w:t>
      </w:r>
      <w:r w:rsidRPr="00CA4465">
        <w:tab/>
        <w:t>Specific Performance</w:t>
      </w:r>
      <w:bookmarkEnd w:id="166"/>
      <w:bookmarkEnd w:id="167"/>
    </w:p>
    <w:p w:rsidR="00B03E8E" w:rsidRPr="00CA4465" w:rsidRDefault="008B6724" w:rsidP="00C3560C">
      <w:pPr>
        <w:ind w:left="1440"/>
      </w:pPr>
      <w:r>
        <w:t xml:space="preserve">“We review a district court’s decision to award equitable relief, including specific performance, for abuse of discretion.”  </w:t>
      </w:r>
      <w:r>
        <w:rPr>
          <w:i/>
        </w:rPr>
        <w:t>Dakota Cnty. HRA v. Blackwell</w:t>
      </w:r>
      <w:r>
        <w:t>, 602 N.W.2d 243, 244 (Minn. 1999).</w:t>
      </w:r>
    </w:p>
    <w:p w:rsidR="004F10A3" w:rsidRPr="00C3560C" w:rsidRDefault="004F10A3" w:rsidP="00300AEE">
      <w:pPr>
        <w:pStyle w:val="Heading4"/>
      </w:pPr>
      <w:bookmarkStart w:id="168" w:name="_Toc395604507"/>
      <w:r w:rsidRPr="00CA4465">
        <w:t>c.</w:t>
      </w:r>
      <w:r w:rsidRPr="00CA4465">
        <w:tab/>
        <w:t>Injunctions</w:t>
      </w:r>
      <w:bookmarkEnd w:id="168"/>
      <w:r w:rsidRPr="00CA4465">
        <w:t xml:space="preserve"> </w:t>
      </w:r>
    </w:p>
    <w:p w:rsidR="004F10A3" w:rsidRPr="00CA4465" w:rsidRDefault="004F10A3" w:rsidP="00C3560C">
      <w:pPr>
        <w:ind w:left="1440"/>
      </w:pPr>
      <w:r w:rsidRPr="00CA4465">
        <w:t xml:space="preserve">“A decision on whether to grant a temporary injunction is left to the discretion of the </w:t>
      </w:r>
      <w:r w:rsidR="00A14F2D" w:rsidRPr="00CA4465">
        <w:t>[district]</w:t>
      </w:r>
      <w:r w:rsidRPr="00CA4465">
        <w:t xml:space="preserve"> court and will not be overturned on review absent a clear abuse of that discretion.”</w:t>
      </w:r>
      <w:r w:rsidR="008B6724">
        <w:t xml:space="preserve">  </w:t>
      </w:r>
      <w:r w:rsidR="008B6724">
        <w:rPr>
          <w:i/>
        </w:rPr>
        <w:t>Softchoice, Inc. v. Schmidt</w:t>
      </w:r>
      <w:r w:rsidR="008B6724">
        <w:t xml:space="preserve">, 763 N.W.2d 660, 665-66 </w:t>
      </w:r>
      <w:r w:rsidR="00575374">
        <w:t>(</w:t>
      </w:r>
      <w:r w:rsidR="008B6724">
        <w:t>Minn. App. 2009) (quoting</w:t>
      </w:r>
      <w:r w:rsidRPr="00CA4465">
        <w:t xml:space="preserve"> </w:t>
      </w:r>
      <w:r w:rsidRPr="00CA4465">
        <w:rPr>
          <w:i/>
        </w:rPr>
        <w:t>Carl Bolander &amp; Sons Co. v. City of Minneapolis</w:t>
      </w:r>
      <w:r w:rsidRPr="00CA4465">
        <w:t>, 502 N.W.2d 203, 209 (Minn. 1993)</w:t>
      </w:r>
      <w:r w:rsidR="008B6724">
        <w:t>)</w:t>
      </w:r>
      <w:r w:rsidRPr="00CA4465">
        <w:t>.</w:t>
      </w:r>
    </w:p>
    <w:p w:rsidR="004F10A3" w:rsidRPr="00CA4465" w:rsidRDefault="004F10A3" w:rsidP="00300AEE">
      <w:pPr>
        <w:pStyle w:val="Heading4"/>
      </w:pPr>
      <w:bookmarkStart w:id="169" w:name="_Toc395604508"/>
      <w:r w:rsidRPr="00CA4465">
        <w:t>d.</w:t>
      </w:r>
      <w:r w:rsidRPr="00CA4465">
        <w:tab/>
        <w:t>Interpleader</w:t>
      </w:r>
      <w:bookmarkEnd w:id="169"/>
    </w:p>
    <w:p w:rsidR="00724196" w:rsidRPr="00CA4465" w:rsidRDefault="008B6724" w:rsidP="00C3560C">
      <w:pPr>
        <w:ind w:left="1440"/>
      </w:pPr>
      <w:r>
        <w:t xml:space="preserve">“Because interpleader actions are equitable in nature, the standard of review is abuse of discretion.”  </w:t>
      </w:r>
      <w:r>
        <w:rPr>
          <w:i/>
        </w:rPr>
        <w:t>Faegre &amp; Benson, LLP v. R &amp; R Investors</w:t>
      </w:r>
      <w:r>
        <w:t>, 772 N.W.2d 846, 852 (Minn. App. 2009).</w:t>
      </w:r>
      <w:bookmarkStart w:id="170" w:name="_Toc48979558"/>
    </w:p>
    <w:p w:rsidR="004F10A3" w:rsidRPr="00CA4465" w:rsidRDefault="004F10A3" w:rsidP="00300AEE">
      <w:pPr>
        <w:pStyle w:val="Heading4"/>
      </w:pPr>
      <w:bookmarkStart w:id="171" w:name="_Toc395604509"/>
      <w:r w:rsidRPr="00CA4465">
        <w:t>e.</w:t>
      </w:r>
      <w:r w:rsidRPr="00CA4465">
        <w:tab/>
        <w:t>Appointment of a Receiver</w:t>
      </w:r>
      <w:bookmarkEnd w:id="170"/>
      <w:bookmarkEnd w:id="171"/>
    </w:p>
    <w:p w:rsidR="004F10A3" w:rsidRPr="00CA4465" w:rsidRDefault="004F10A3" w:rsidP="00C3560C">
      <w:pPr>
        <w:ind w:left="1440"/>
      </w:pPr>
      <w:r w:rsidRPr="00CA4465">
        <w:t xml:space="preserve">The appointment of a receiver pendente lite is an equitable remedy, and the decision to grant or deny this remedy falls within a district court’s discretion.  </w:t>
      </w:r>
      <w:r w:rsidRPr="00CA4465">
        <w:rPr>
          <w:i/>
          <w:iCs/>
        </w:rPr>
        <w:t>Mut. Benefit Life Ins. Co. v. Frantz Klodt &amp; Son, Inc.</w:t>
      </w:r>
      <w:r w:rsidRPr="00CA4465">
        <w:t>, 306 Minn. 244, 246, 237 N.W.2d 350, 352 (1975).</w:t>
      </w:r>
      <w:r w:rsidR="008B6724">
        <w:t xml:space="preserve">  “Appointment of a receiver is within the discretion of the </w:t>
      </w:r>
      <w:r w:rsidR="00D63A8C">
        <w:t>[district]</w:t>
      </w:r>
      <w:r w:rsidR="008B6724">
        <w:t xml:space="preserve"> court.”  </w:t>
      </w:r>
      <w:r w:rsidR="008B6724">
        <w:rPr>
          <w:i/>
        </w:rPr>
        <w:t>Minn</w:t>
      </w:r>
      <w:r w:rsidR="00D63A8C">
        <w:rPr>
          <w:i/>
        </w:rPr>
        <w:t>.</w:t>
      </w:r>
      <w:r w:rsidR="008B6724">
        <w:rPr>
          <w:i/>
        </w:rPr>
        <w:t xml:space="preserve"> Hotel Co. v. ROSA Dev. Co.</w:t>
      </w:r>
      <w:r w:rsidR="008B6724">
        <w:t>, 495 N.W.2d 888, 891 (Minn. App. 1993).</w:t>
      </w:r>
    </w:p>
    <w:p w:rsidR="004F10A3" w:rsidRPr="00CA4465" w:rsidRDefault="004F10A3" w:rsidP="00300AEE">
      <w:pPr>
        <w:pStyle w:val="Heading4"/>
      </w:pPr>
      <w:bookmarkStart w:id="172" w:name="_Toc48979559"/>
      <w:bookmarkStart w:id="173" w:name="_Toc395604510"/>
      <w:r w:rsidRPr="00CA4465">
        <w:t>f.</w:t>
      </w:r>
      <w:r w:rsidRPr="00CA4465">
        <w:tab/>
        <w:t>Mandamus Relief</w:t>
      </w:r>
      <w:bookmarkEnd w:id="172"/>
      <w:bookmarkEnd w:id="173"/>
    </w:p>
    <w:p w:rsidR="004F10A3" w:rsidRPr="00CA4465" w:rsidRDefault="004F10A3" w:rsidP="007F6909">
      <w:pPr>
        <w:ind w:left="1440"/>
      </w:pPr>
      <w:r w:rsidRPr="00CA4465">
        <w:t xml:space="preserve">On appeal, we will reverse a district court’s order on an application for mandamus relief “only when there is no evidence reasonably tending to sustain the </w:t>
      </w:r>
      <w:r w:rsidR="00A14F2D" w:rsidRPr="00CA4465">
        <w:t>[district]</w:t>
      </w:r>
      <w:r w:rsidRPr="00CA4465">
        <w:t xml:space="preserve"> court’s findings.”  </w:t>
      </w:r>
      <w:r w:rsidRPr="00CA4465">
        <w:rPr>
          <w:i/>
          <w:iCs/>
        </w:rPr>
        <w:t>Coyle v. City of Delano</w:t>
      </w:r>
      <w:r w:rsidRPr="00CA4465">
        <w:t>, 526 N.W.2d 205, 207 (Minn. App. 1995).</w:t>
      </w:r>
    </w:p>
    <w:p w:rsidR="007F6909" w:rsidRDefault="007F6909" w:rsidP="007F6909">
      <w:pPr>
        <w:ind w:left="1440"/>
      </w:pPr>
    </w:p>
    <w:p w:rsidR="004F10A3" w:rsidRPr="00CA4465" w:rsidRDefault="00D7506B" w:rsidP="00C3560C">
      <w:pPr>
        <w:ind w:left="1440"/>
      </w:pPr>
      <w:r w:rsidRPr="00CA4465">
        <w:t xml:space="preserve">“When a decision on a writ of mandamus is based solely on a legal determination, we review that decision de novo.”  </w:t>
      </w:r>
      <w:r w:rsidRPr="00CA4465">
        <w:rPr>
          <w:i/>
        </w:rPr>
        <w:t>Breza v. City of Minnetrista</w:t>
      </w:r>
      <w:r w:rsidRPr="00CA4465">
        <w:t>, 725 N.W.2d 106, 110 (Minn. 2006).</w:t>
      </w:r>
    </w:p>
    <w:p w:rsidR="004F10A3" w:rsidRPr="00C3560C" w:rsidRDefault="004F10A3" w:rsidP="00337FFA">
      <w:pPr>
        <w:pStyle w:val="Heading3"/>
      </w:pPr>
      <w:bookmarkStart w:id="174" w:name="_Toc48979560"/>
      <w:bookmarkStart w:id="175" w:name="_Toc395604511"/>
      <w:r w:rsidRPr="00CA4465">
        <w:t>3.</w:t>
      </w:r>
      <w:r w:rsidRPr="00CA4465">
        <w:tab/>
        <w:t>Other Remedies</w:t>
      </w:r>
      <w:bookmarkEnd w:id="174"/>
      <w:bookmarkEnd w:id="175"/>
    </w:p>
    <w:p w:rsidR="004F10A3" w:rsidRPr="00CA4465" w:rsidRDefault="004F10A3" w:rsidP="00300AEE">
      <w:pPr>
        <w:pStyle w:val="Heading4"/>
      </w:pPr>
      <w:bookmarkStart w:id="176" w:name="_Toc48979561"/>
      <w:bookmarkStart w:id="177" w:name="_Toc395604512"/>
      <w:r w:rsidRPr="00CA4465">
        <w:t>a.</w:t>
      </w:r>
      <w:r w:rsidRPr="00CA4465">
        <w:tab/>
        <w:t>Contempt of Court</w:t>
      </w:r>
      <w:bookmarkEnd w:id="176"/>
      <w:bookmarkEnd w:id="177"/>
    </w:p>
    <w:p w:rsidR="004F10A3" w:rsidRPr="00CA4465" w:rsidRDefault="004F10A3" w:rsidP="00C3560C">
      <w:pPr>
        <w:ind w:left="1440"/>
      </w:pPr>
      <w:r w:rsidRPr="00CA4465">
        <w:t xml:space="preserve">On appeal, we reverse the factual findings of a contempt order only if they are clearly erroneous.  </w:t>
      </w:r>
      <w:r w:rsidR="00E55613">
        <w:rPr>
          <w:i/>
          <w:iCs/>
        </w:rPr>
        <w:t xml:space="preserve">In re Welfare of </w:t>
      </w:r>
      <w:r w:rsidR="00D63A8C">
        <w:rPr>
          <w:i/>
          <w:iCs/>
        </w:rPr>
        <w:t xml:space="preserve">Children of </w:t>
      </w:r>
      <w:r w:rsidR="00E55613">
        <w:rPr>
          <w:i/>
          <w:iCs/>
        </w:rPr>
        <w:t>J.B.</w:t>
      </w:r>
      <w:r w:rsidR="00E55613">
        <w:rPr>
          <w:iCs/>
        </w:rPr>
        <w:t xml:space="preserve">, 782 N.W.2d 535, 538 (Minn. 2010).  We </w:t>
      </w:r>
      <w:r w:rsidRPr="00CA4465">
        <w:t xml:space="preserve">reverse a district court’s decision to invoke its contempt powers only if we find an abuse of discretion.  </w:t>
      </w:r>
      <w:r w:rsidRPr="00CA4465">
        <w:rPr>
          <w:i/>
          <w:iCs/>
        </w:rPr>
        <w:t>Id</w:t>
      </w:r>
      <w:r w:rsidRPr="00CA4465">
        <w:t>.</w:t>
      </w:r>
    </w:p>
    <w:p w:rsidR="004F10A3" w:rsidRPr="00C3560C" w:rsidRDefault="004F10A3" w:rsidP="00300AEE">
      <w:pPr>
        <w:pStyle w:val="Heading4"/>
      </w:pPr>
      <w:bookmarkStart w:id="178" w:name="_Toc48979562"/>
      <w:bookmarkStart w:id="179" w:name="_Toc395604513"/>
      <w:r w:rsidRPr="00CA4465">
        <w:lastRenderedPageBreak/>
        <w:t>b.</w:t>
      </w:r>
      <w:r w:rsidRPr="00CA4465">
        <w:tab/>
        <w:t>Sanctions</w:t>
      </w:r>
      <w:bookmarkEnd w:id="178"/>
      <w:bookmarkEnd w:id="179"/>
    </w:p>
    <w:p w:rsidR="00D9751A" w:rsidRDefault="00D9751A" w:rsidP="007F6909">
      <w:pPr>
        <w:ind w:left="1440"/>
      </w:pPr>
      <w:r w:rsidRPr="000E63B4">
        <w:t xml:space="preserve">“We review a district court’s decision to impose spoliation sanctions for abuse of discretion.  A party challenging the district court’s choice of a sanction has the difficult burden of convincing an appellate court that the district court abused its discretion.  A district court abuses its discretion when it bases its conclusions on an erroneous view of the law.”  </w:t>
      </w:r>
      <w:r w:rsidRPr="000E63B4">
        <w:rPr>
          <w:i/>
        </w:rPr>
        <w:t>Miller v. Lankow</w:t>
      </w:r>
      <w:r w:rsidRPr="000E63B4">
        <w:t>, 801 N.W.2d 120, 127 (Minn. 2011) (citation</w:t>
      </w:r>
      <w:r w:rsidR="000E63B4" w:rsidRPr="000E63B4">
        <w:t>s</w:t>
      </w:r>
      <w:r w:rsidRPr="000E63B4">
        <w:t xml:space="preserve"> omitted).  </w:t>
      </w:r>
    </w:p>
    <w:p w:rsidR="00D9751A" w:rsidRPr="00D9751A" w:rsidRDefault="00D9751A" w:rsidP="007F6909">
      <w:pPr>
        <w:ind w:left="1440"/>
      </w:pPr>
    </w:p>
    <w:p w:rsidR="004F10A3" w:rsidRPr="00CA4465" w:rsidRDefault="004F10A3" w:rsidP="007F6909">
      <w:pPr>
        <w:ind w:left="1440"/>
      </w:pPr>
      <w:r w:rsidRPr="00CA4465">
        <w:t xml:space="preserve">We review </w:t>
      </w:r>
      <w:r w:rsidR="00131C04">
        <w:t xml:space="preserve">the district court’s order for </w:t>
      </w:r>
      <w:r w:rsidRPr="00CA4465">
        <w:t xml:space="preserve">a rule 11 sanction </w:t>
      </w:r>
      <w:r w:rsidR="00131C04">
        <w:t xml:space="preserve">for </w:t>
      </w:r>
      <w:r w:rsidRPr="00CA4465">
        <w:t>an abuse</w:t>
      </w:r>
      <w:r w:rsidR="00131C04">
        <w:t xml:space="preserve"> </w:t>
      </w:r>
      <w:r w:rsidRPr="00CA4465">
        <w:t>of</w:t>
      </w:r>
      <w:r w:rsidR="00131C04">
        <w:t xml:space="preserve"> </w:t>
      </w:r>
      <w:r w:rsidRPr="00CA4465">
        <w:t xml:space="preserve">discretion.  </w:t>
      </w:r>
      <w:r w:rsidR="00131C04">
        <w:rPr>
          <w:i/>
        </w:rPr>
        <w:t xml:space="preserve">In re </w:t>
      </w:r>
      <w:r w:rsidR="00D63A8C">
        <w:rPr>
          <w:i/>
        </w:rPr>
        <w:t>Claims for No-Fault Benefits A</w:t>
      </w:r>
      <w:r w:rsidR="00131C04">
        <w:rPr>
          <w:i/>
        </w:rPr>
        <w:t>gainst Progressive Ins. Co.</w:t>
      </w:r>
      <w:r w:rsidR="00131C04">
        <w:t>, 720 N.W.2d 865, 874 (Minn. App. 2006)</w:t>
      </w:r>
      <w:r w:rsidR="00D63A8C">
        <w:t xml:space="preserve">, </w:t>
      </w:r>
      <w:r w:rsidR="00D63A8C">
        <w:rPr>
          <w:i/>
        </w:rPr>
        <w:t>review denied</w:t>
      </w:r>
      <w:r w:rsidR="00D63A8C">
        <w:t xml:space="preserve"> (Minn. Nov. 22, 2006)</w:t>
      </w:r>
      <w:r w:rsidRPr="00CA4465">
        <w:t>.</w:t>
      </w:r>
    </w:p>
    <w:p w:rsidR="004F10A3" w:rsidRPr="00CA4465" w:rsidRDefault="004F10A3" w:rsidP="007F6909">
      <w:pPr>
        <w:ind w:left="1440"/>
      </w:pPr>
    </w:p>
    <w:p w:rsidR="004F10A3" w:rsidRPr="00CA4465" w:rsidRDefault="004F10A3" w:rsidP="007F6909">
      <w:pPr>
        <w:ind w:left="1440"/>
      </w:pPr>
      <w:r w:rsidRPr="00CA4465">
        <w:t xml:space="preserve">Levying of civil penalties is within the district court’s discretion.  </w:t>
      </w:r>
      <w:r w:rsidRPr="00CA4465">
        <w:rPr>
          <w:i/>
        </w:rPr>
        <w:t>See State by Humphrey v. Alpine Air Prods., Inc.</w:t>
      </w:r>
      <w:r w:rsidRPr="00CA4465">
        <w:t xml:space="preserve">, 490 N.W.2d 888, 897 (Minn. App. 1992), </w:t>
      </w:r>
      <w:r w:rsidRPr="00CA4465">
        <w:rPr>
          <w:i/>
        </w:rPr>
        <w:t>aff’d</w:t>
      </w:r>
      <w:r w:rsidRPr="00CA4465">
        <w:t>, 500 N.W.2d 788 (Minn. 1993).</w:t>
      </w:r>
    </w:p>
    <w:p w:rsidR="004F10A3" w:rsidRPr="00CA4465" w:rsidRDefault="004F10A3" w:rsidP="007F6909">
      <w:pPr>
        <w:ind w:left="1440"/>
      </w:pPr>
    </w:p>
    <w:p w:rsidR="004F10A3" w:rsidRPr="00CA4465" w:rsidRDefault="004F10A3" w:rsidP="007F6909">
      <w:pPr>
        <w:ind w:left="1440"/>
      </w:pPr>
      <w:r w:rsidRPr="00CA4465">
        <w:t xml:space="preserve">“The </w:t>
      </w:r>
      <w:r w:rsidR="00131C04">
        <w:t xml:space="preserve">district court’s discovery-related orders will not be disturbed absent an abuse of discretion.”  </w:t>
      </w:r>
      <w:r w:rsidR="00131C04">
        <w:rPr>
          <w:i/>
        </w:rPr>
        <w:t>Frontier Ins. Co. v. Frontline Processing Corp.</w:t>
      </w:r>
      <w:r w:rsidR="00131C04">
        <w:t xml:space="preserve">, 788 N.W.2d 917, 922 (Minn. App. 2010), </w:t>
      </w:r>
      <w:r w:rsidRPr="00CA4465">
        <w:rPr>
          <w:i/>
        </w:rPr>
        <w:t>review denied</w:t>
      </w:r>
      <w:r w:rsidRPr="00CA4465">
        <w:t xml:space="preserve"> (Minn. </w:t>
      </w:r>
      <w:r w:rsidR="00131C04">
        <w:t>Dec</w:t>
      </w:r>
      <w:r w:rsidRPr="00CA4465">
        <w:t>.</w:t>
      </w:r>
      <w:r w:rsidR="00DD53A4" w:rsidRPr="00CA4465">
        <w:t> </w:t>
      </w:r>
      <w:r w:rsidRPr="00CA4465">
        <w:t>1</w:t>
      </w:r>
      <w:r w:rsidR="00131C04">
        <w:t>4</w:t>
      </w:r>
      <w:r w:rsidRPr="00CA4465">
        <w:t>, 2</w:t>
      </w:r>
      <w:r w:rsidR="00131C04">
        <w:t>010</w:t>
      </w:r>
      <w:r w:rsidRPr="00CA4465">
        <w:t>).</w:t>
      </w:r>
    </w:p>
    <w:p w:rsidR="004F10A3" w:rsidRPr="00CA4465" w:rsidRDefault="004F10A3" w:rsidP="007F6909">
      <w:pPr>
        <w:ind w:left="1440"/>
      </w:pPr>
    </w:p>
    <w:p w:rsidR="004F10A3" w:rsidRPr="00CA4465" w:rsidRDefault="004F10A3" w:rsidP="007F6909">
      <w:pPr>
        <w:ind w:left="1440"/>
      </w:pPr>
      <w:r w:rsidRPr="00CA4465">
        <w:t xml:space="preserve">The party challenging the district court’s </w:t>
      </w:r>
      <w:r w:rsidRPr="00CA4465">
        <w:rPr>
          <w:rStyle w:val="searchterm"/>
        </w:rPr>
        <w:t>choice</w:t>
      </w:r>
      <w:bookmarkStart w:id="180" w:name="SR;2899"/>
      <w:bookmarkEnd w:id="180"/>
      <w:r w:rsidRPr="00CA4465">
        <w:t xml:space="preserve"> of </w:t>
      </w:r>
      <w:r w:rsidRPr="00CA4465">
        <w:rPr>
          <w:rStyle w:val="searchterm"/>
        </w:rPr>
        <w:t>sanction</w:t>
      </w:r>
      <w:bookmarkStart w:id="181" w:name="SR;2902"/>
      <w:bookmarkEnd w:id="181"/>
      <w:r w:rsidRPr="00CA4465">
        <w:rPr>
          <w:rStyle w:val="searchterm"/>
        </w:rPr>
        <w:t>s for spoliation of evidence</w:t>
      </w:r>
      <w:r w:rsidRPr="00CA4465">
        <w:t xml:space="preserve"> “has the difficult burden of convincing an appellate court that the </w:t>
      </w:r>
      <w:r w:rsidR="00A14F2D" w:rsidRPr="00CA4465">
        <w:t>[district]</w:t>
      </w:r>
      <w:r w:rsidRPr="00CA4465">
        <w:t xml:space="preserve"> court abused its discretion</w:t>
      </w:r>
      <w:r w:rsidR="00A14F2D" w:rsidRPr="00CA4465">
        <w:t>—</w:t>
      </w:r>
      <w:r w:rsidRPr="00CA4465">
        <w:t xml:space="preserve">a burden which is met only when it is clear that no reasonable person would agree with the </w:t>
      </w:r>
      <w:r w:rsidR="00A14F2D" w:rsidRPr="00CA4465">
        <w:t>[district]</w:t>
      </w:r>
      <w:r w:rsidRPr="00CA4465">
        <w:t xml:space="preserve"> court’s assessment of what </w:t>
      </w:r>
      <w:r w:rsidRPr="00CA4465">
        <w:rPr>
          <w:rStyle w:val="searchterm"/>
        </w:rPr>
        <w:t>sanctions</w:t>
      </w:r>
      <w:bookmarkStart w:id="182" w:name="SR;2942"/>
      <w:bookmarkEnd w:id="182"/>
      <w:r w:rsidRPr="00CA4465">
        <w:t xml:space="preserve"> are appropriate.”  </w:t>
      </w:r>
      <w:r w:rsidRPr="00CA4465">
        <w:rPr>
          <w:i/>
        </w:rPr>
        <w:t>Patton v. Newmar Corp</w:t>
      </w:r>
      <w:r w:rsidRPr="00CA4465">
        <w:t>., 538 N.W.2d 116, 119 (Minn. 1995) (quotation omitted).</w:t>
      </w:r>
    </w:p>
    <w:p w:rsidR="00D7506B" w:rsidRPr="00CA4465" w:rsidRDefault="00D7506B" w:rsidP="007F6909">
      <w:pPr>
        <w:ind w:left="1440"/>
      </w:pPr>
    </w:p>
    <w:p w:rsidR="00061EB5" w:rsidRPr="00CA4465" w:rsidRDefault="00D7506B" w:rsidP="00C3560C">
      <w:pPr>
        <w:ind w:left="1440"/>
      </w:pPr>
      <w:r w:rsidRPr="00CA4465">
        <w:t>“An appellate court applies an abuse-</w:t>
      </w:r>
      <w:r w:rsidR="005328D6">
        <w:t>o</w:t>
      </w:r>
      <w:r w:rsidRPr="00CA4465">
        <w:t xml:space="preserve">f-discretion standard when reviewing a district court’s decision to impose sanctions under Minn. R. Civ. P. 11.”  </w:t>
      </w:r>
      <w:r w:rsidRPr="00CA4465">
        <w:rPr>
          <w:i/>
        </w:rPr>
        <w:t>Conant v. Robins, Kaplan, Miller &amp; Ciresi, L.L.P.</w:t>
      </w:r>
      <w:r w:rsidRPr="00CA4465">
        <w:t xml:space="preserve">, 603 N.W.2d 143, 150 (Minn. App. 1999), </w:t>
      </w:r>
      <w:r w:rsidRPr="00CA4465">
        <w:rPr>
          <w:i/>
        </w:rPr>
        <w:t>review denied</w:t>
      </w:r>
      <w:r w:rsidRPr="00CA4465">
        <w:t xml:space="preserve"> (Minn. Mar. 14, 2000).</w:t>
      </w:r>
    </w:p>
    <w:p w:rsidR="004F10A3" w:rsidRPr="00C3560C" w:rsidRDefault="004F10A3" w:rsidP="00100F86">
      <w:pPr>
        <w:pStyle w:val="Heading4"/>
      </w:pPr>
      <w:bookmarkStart w:id="183" w:name="_Toc48979563"/>
      <w:bookmarkStart w:id="184" w:name="_Toc395604514"/>
      <w:r w:rsidRPr="00CA4465">
        <w:t>c.</w:t>
      </w:r>
      <w:r w:rsidRPr="00CA4465">
        <w:tab/>
        <w:t>Attorney Fees and Costs</w:t>
      </w:r>
      <w:bookmarkEnd w:id="183"/>
      <w:bookmarkEnd w:id="184"/>
    </w:p>
    <w:p w:rsidR="00100F86" w:rsidRPr="00100F86" w:rsidRDefault="00100F86" w:rsidP="00100F86">
      <w:pPr>
        <w:spacing w:after="240"/>
        <w:ind w:left="1440"/>
      </w:pPr>
      <w:r>
        <w:t>“</w:t>
      </w:r>
      <w:r w:rsidRPr="00100F86">
        <w:t xml:space="preserve">We generally review a district court's award of costs and disbursements for an abuse of discretion. Whether the district court erred in its interpretation of the statute authorizing the award of costs and disbursements </w:t>
      </w:r>
      <w:r w:rsidR="005F75C8">
        <w:t>to [respondent]</w:t>
      </w:r>
      <w:r w:rsidRPr="00100F86">
        <w:t>, however, is a legal q</w:t>
      </w:r>
      <w:r>
        <w:t xml:space="preserve">uestion that we review de novo.”  </w:t>
      </w:r>
      <w:r w:rsidRPr="00100F86">
        <w:rPr>
          <w:i/>
        </w:rPr>
        <w:t>Dukowitz v. Hannon Sec. Servs</w:t>
      </w:r>
      <w:r w:rsidRPr="00100F86">
        <w:t>., 841 N.W.2d 147, 155 (Minn. 2014)</w:t>
      </w:r>
      <w:r w:rsidRPr="00100F86">
        <w:rPr>
          <w:i/>
          <w:iCs/>
        </w:rPr>
        <w:t xml:space="preserve"> </w:t>
      </w:r>
      <w:r>
        <w:rPr>
          <w:iCs/>
        </w:rPr>
        <w:t>(</w:t>
      </w:r>
      <w:r w:rsidR="005F75C8">
        <w:rPr>
          <w:iCs/>
        </w:rPr>
        <w:t>citation omitted</w:t>
      </w:r>
      <w:r>
        <w:t xml:space="preserve">).  </w:t>
      </w:r>
    </w:p>
    <w:p w:rsidR="004F10A3" w:rsidRPr="00CA4465" w:rsidRDefault="004F10A3" w:rsidP="007F6909">
      <w:pPr>
        <w:ind w:left="1440"/>
      </w:pPr>
      <w:r w:rsidRPr="00CA4465">
        <w:t>“</w:t>
      </w:r>
      <w:r w:rsidR="00131C04">
        <w:t xml:space="preserve">We will not </w:t>
      </w:r>
      <w:r w:rsidRPr="00CA4465">
        <w:t xml:space="preserve">reverse </w:t>
      </w:r>
      <w:r w:rsidR="00131C04">
        <w:t>the</w:t>
      </w:r>
      <w:r w:rsidRPr="00CA4465">
        <w:t xml:space="preserve"> </w:t>
      </w:r>
      <w:r w:rsidR="00A14F2D" w:rsidRPr="00CA4465">
        <w:t>district</w:t>
      </w:r>
      <w:r w:rsidRPr="00CA4465">
        <w:t xml:space="preserve"> court’s </w:t>
      </w:r>
      <w:r w:rsidR="00131C04">
        <w:t>decision on attorney fees absent an</w:t>
      </w:r>
      <w:r w:rsidRPr="00CA4465">
        <w:t xml:space="preserve"> abuse of discretion.”  </w:t>
      </w:r>
      <w:r w:rsidR="00131C04">
        <w:rPr>
          <w:i/>
        </w:rPr>
        <w:t>Carlson v. S</w:t>
      </w:r>
      <w:r w:rsidR="00D63A8C">
        <w:rPr>
          <w:i/>
        </w:rPr>
        <w:t>ALA</w:t>
      </w:r>
      <w:r w:rsidR="00131C04">
        <w:rPr>
          <w:i/>
        </w:rPr>
        <w:t xml:space="preserve"> Architects, Inc.</w:t>
      </w:r>
      <w:r w:rsidR="00131C04">
        <w:t xml:space="preserve">, 732 N.W.2d 324, 331 (Minn. App. 2007), </w:t>
      </w:r>
      <w:r w:rsidR="00131C04">
        <w:rPr>
          <w:i/>
        </w:rPr>
        <w:t>review denied</w:t>
      </w:r>
      <w:r w:rsidR="00131C04">
        <w:t xml:space="preserve"> (Minn. Aug. 21, 2007)</w:t>
      </w:r>
      <w:r w:rsidRPr="00CA4465">
        <w:t>.</w:t>
      </w:r>
    </w:p>
    <w:p w:rsidR="004F10A3" w:rsidRPr="00CA4465" w:rsidRDefault="004F10A3" w:rsidP="007F6909">
      <w:pPr>
        <w:ind w:left="1440"/>
      </w:pPr>
    </w:p>
    <w:p w:rsidR="004F10A3" w:rsidRPr="00CA4465" w:rsidRDefault="004F10A3" w:rsidP="007F6909">
      <w:pPr>
        <w:ind w:left="1440"/>
      </w:pPr>
      <w:r w:rsidRPr="00CA4465">
        <w:t xml:space="preserve">The district court shall allow reasonable costs to a prevailing party in a district court action.  </w:t>
      </w:r>
      <w:r w:rsidRPr="00CA4465">
        <w:rPr>
          <w:i/>
        </w:rPr>
        <w:t xml:space="preserve">Benigni v. </w:t>
      </w:r>
      <w:r w:rsidR="00DC7EC2" w:rsidRPr="00CA4465">
        <w:rPr>
          <w:i/>
        </w:rPr>
        <w:t>Cnty.</w:t>
      </w:r>
      <w:r w:rsidRPr="00CA4465">
        <w:rPr>
          <w:i/>
        </w:rPr>
        <w:t xml:space="preserve"> of St. Louis</w:t>
      </w:r>
      <w:r w:rsidRPr="00CA4465">
        <w:t xml:space="preserve">, 585 N.W.2d 51, 54 (Minn. 1998).  The </w:t>
      </w:r>
      <w:r w:rsidRPr="00CA4465">
        <w:lastRenderedPageBreak/>
        <w:t xml:space="preserve">district court retains discretion to determine which party, if any, qualifies as a prevailing party when considering a request for costs incurred.  </w:t>
      </w:r>
      <w:r w:rsidRPr="00CA4465">
        <w:rPr>
          <w:i/>
        </w:rPr>
        <w:t>Id.</w:t>
      </w:r>
      <w:r w:rsidRPr="00CA4465">
        <w:t xml:space="preserve"> at 54-55 (citing</w:t>
      </w:r>
      <w:r w:rsidR="00DD53A4" w:rsidRPr="00CA4465">
        <w:t xml:space="preserve"> </w:t>
      </w:r>
      <w:r w:rsidRPr="00CA4465">
        <w:rPr>
          <w:i/>
        </w:rPr>
        <w:t xml:space="preserve">In re </w:t>
      </w:r>
      <w:r w:rsidR="00D63A8C">
        <w:rPr>
          <w:i/>
        </w:rPr>
        <w:t xml:space="preserve">Will of </w:t>
      </w:r>
      <w:r w:rsidRPr="00CA4465">
        <w:rPr>
          <w:i/>
        </w:rPr>
        <w:t>Gershcow</w:t>
      </w:r>
      <w:r w:rsidRPr="00CA4465">
        <w:t>, 261 N.W.2d 335, 340 (Minn. 1977)).</w:t>
      </w:r>
    </w:p>
    <w:p w:rsidR="004F10A3" w:rsidRPr="00CA4465" w:rsidRDefault="004F10A3" w:rsidP="007F6909">
      <w:pPr>
        <w:ind w:left="1440"/>
      </w:pPr>
    </w:p>
    <w:p w:rsidR="00A64C73" w:rsidRPr="00CA4465" w:rsidRDefault="008E649F" w:rsidP="007F6909">
      <w:pPr>
        <w:ind w:left="1440"/>
      </w:pPr>
      <w:r w:rsidRPr="00CA4465">
        <w:t>“</w:t>
      </w:r>
      <w:r w:rsidR="00A64C73" w:rsidRPr="00CA4465">
        <w:t>We review the district court’s award of attorney fees or costs for abuse of discretion.</w:t>
      </w:r>
      <w:r w:rsidRPr="00CA4465">
        <w:t>”</w:t>
      </w:r>
      <w:r w:rsidR="00A64C73" w:rsidRPr="00CA4465">
        <w:t xml:space="preserve">  </w:t>
      </w:r>
      <w:r w:rsidR="00A64C73" w:rsidRPr="00CA4465">
        <w:rPr>
          <w:i/>
        </w:rPr>
        <w:t>Brickner v. One Land Dev. Co.</w:t>
      </w:r>
      <w:r w:rsidR="00A64C73" w:rsidRPr="00CA4465">
        <w:t xml:space="preserve">, 742 N.W.2d 706, 711 (Minn. App. 2007), </w:t>
      </w:r>
      <w:r w:rsidR="00A64C73" w:rsidRPr="00CA4465">
        <w:rPr>
          <w:i/>
        </w:rPr>
        <w:t>review denied</w:t>
      </w:r>
      <w:r w:rsidR="00A64C73" w:rsidRPr="00CA4465">
        <w:t xml:space="preserve"> (Minn. Mar. 18, 2008)</w:t>
      </w:r>
      <w:r w:rsidR="004F1F53" w:rsidRPr="00CA4465">
        <w:t>.</w:t>
      </w:r>
    </w:p>
    <w:p w:rsidR="00A64C73" w:rsidRPr="00CA4465" w:rsidRDefault="00A64C73" w:rsidP="007F6909">
      <w:pPr>
        <w:ind w:left="1440"/>
      </w:pPr>
    </w:p>
    <w:p w:rsidR="00A64C73" w:rsidRPr="00CA4465" w:rsidRDefault="00A64C73" w:rsidP="007F6909">
      <w:pPr>
        <w:ind w:left="1440"/>
      </w:pPr>
      <w:r w:rsidRPr="00CA4465">
        <w:t xml:space="preserve">Generally, an award of costs and disbursements is a matter within the district court’s sound discretion and will not be disturbed absent an abuse of that discretion.  </w:t>
      </w:r>
      <w:r w:rsidRPr="00CA4465">
        <w:rPr>
          <w:i/>
        </w:rPr>
        <w:t>Lake</w:t>
      </w:r>
      <w:r w:rsidRPr="00CA4465">
        <w:t xml:space="preserve"> </w:t>
      </w:r>
      <w:r w:rsidRPr="00CA4465">
        <w:rPr>
          <w:i/>
        </w:rPr>
        <w:t>Superior Ctr. Auth. v. Hammel, Green &amp; Abrahamson, Inc.</w:t>
      </w:r>
      <w:r w:rsidRPr="00CA4465">
        <w:t xml:space="preserve">, 715 N.W.2d 458, 482 (Minn. App. 2006), </w:t>
      </w:r>
      <w:r w:rsidRPr="00CA4465">
        <w:rPr>
          <w:i/>
        </w:rPr>
        <w:t>review denied</w:t>
      </w:r>
      <w:r w:rsidRPr="00CA4465">
        <w:t xml:space="preserve"> (Minn. Aug. 23, 2006).</w:t>
      </w:r>
    </w:p>
    <w:p w:rsidR="00B03E8E" w:rsidRPr="00CA4465" w:rsidRDefault="00B03E8E" w:rsidP="007F6909">
      <w:pPr>
        <w:ind w:left="1440"/>
      </w:pPr>
    </w:p>
    <w:p w:rsidR="004F10A3" w:rsidRPr="00CA4465" w:rsidRDefault="004F10A3" w:rsidP="007F6909">
      <w:pPr>
        <w:ind w:left="1440"/>
      </w:pPr>
      <w:r w:rsidRPr="00CA4465">
        <w:t xml:space="preserve">The reasonable value of counsel’s work is a question of fact and we must uphold the district court’s findings on that issue unless they are clearly erroneous.  </w:t>
      </w:r>
      <w:r w:rsidRPr="00CA4465">
        <w:rPr>
          <w:i/>
        </w:rPr>
        <w:t>Amerman v. Lakeland Dev. Corp.</w:t>
      </w:r>
      <w:r w:rsidRPr="00CA4465">
        <w:t>, 295 Minn. 536, 537, 203 N.W.2d 400, 400-01 (1973).</w:t>
      </w:r>
    </w:p>
    <w:p w:rsidR="004F10A3" w:rsidRPr="00CA4465" w:rsidRDefault="004F10A3" w:rsidP="007F6909">
      <w:pPr>
        <w:ind w:left="1440"/>
      </w:pPr>
    </w:p>
    <w:p w:rsidR="00A64C73" w:rsidRPr="00C3560C" w:rsidRDefault="00A64C73" w:rsidP="00C3560C">
      <w:pPr>
        <w:ind w:left="1440"/>
      </w:pPr>
      <w:r w:rsidRPr="00CA4465">
        <w:t xml:space="preserve">“Although the reasonable value of attorney fees is a question of fact, when considering whether the district court employed the proper method to calculate the amount of an attorney lien, we undertake a de novo review.”  </w:t>
      </w:r>
      <w:r w:rsidRPr="00CA4465">
        <w:rPr>
          <w:i/>
        </w:rPr>
        <w:t>Thomas A. Foster &amp; Assocs. v. Paulson</w:t>
      </w:r>
      <w:r w:rsidRPr="00CA4465">
        <w:t>, 699 N.W.2d 1, 4 (Minn. App. 2005) (citations omitted).</w:t>
      </w:r>
    </w:p>
    <w:p w:rsidR="004F10A3" w:rsidRPr="00C3560C" w:rsidRDefault="004F10A3" w:rsidP="00604DD4">
      <w:pPr>
        <w:pStyle w:val="Heading2"/>
      </w:pPr>
      <w:bookmarkStart w:id="185" w:name="_Toc48979564"/>
      <w:bookmarkStart w:id="186" w:name="_Toc395604515"/>
      <w:r w:rsidRPr="00CA4465">
        <w:t>F.</w:t>
      </w:r>
      <w:r w:rsidRPr="00CA4465">
        <w:tab/>
        <w:t>POSTTRIAL MATTERS</w:t>
      </w:r>
      <w:bookmarkEnd w:id="185"/>
      <w:bookmarkEnd w:id="186"/>
    </w:p>
    <w:p w:rsidR="004F10A3" w:rsidRPr="00C3560C" w:rsidRDefault="004F10A3" w:rsidP="00337FFA">
      <w:pPr>
        <w:pStyle w:val="Heading3"/>
      </w:pPr>
      <w:bookmarkStart w:id="187" w:name="_Toc48979565"/>
      <w:bookmarkStart w:id="188" w:name="_Toc395604516"/>
      <w:r w:rsidRPr="00CA4465">
        <w:t>1.</w:t>
      </w:r>
      <w:r w:rsidRPr="00CA4465">
        <w:tab/>
        <w:t>Motion for New Trial</w:t>
      </w:r>
      <w:bookmarkEnd w:id="187"/>
      <w:bookmarkEnd w:id="188"/>
    </w:p>
    <w:p w:rsidR="00131C04" w:rsidRDefault="00131C04" w:rsidP="007F6909">
      <w:pPr>
        <w:ind w:left="720"/>
      </w:pPr>
      <w:r>
        <w:t xml:space="preserve">“We review a district court’s new trial decision under an abuse of discretion standard.”  </w:t>
      </w:r>
      <w:r>
        <w:rPr>
          <w:i/>
        </w:rPr>
        <w:t>Moorhead Econ. Dev. Auth. v. Anda</w:t>
      </w:r>
      <w:r>
        <w:t>, 789 N.W.2d 860, 892 (Minn. 2010).</w:t>
      </w:r>
    </w:p>
    <w:p w:rsidR="00131C04" w:rsidRPr="00131C04" w:rsidRDefault="00131C04" w:rsidP="007F6909">
      <w:pPr>
        <w:ind w:left="720"/>
      </w:pPr>
    </w:p>
    <w:p w:rsidR="004F10A3" w:rsidRPr="00CA4465" w:rsidRDefault="004F10A3" w:rsidP="007F6909">
      <w:pPr>
        <w:ind w:left="720"/>
        <w:rPr>
          <w:iCs/>
        </w:rPr>
      </w:pPr>
      <w:r w:rsidRPr="00CA4465">
        <w:t xml:space="preserve">Because the district court has the discretion to grant a new trial, we will not disturb the decision absent a clear abuse of that discretion.  Where the </w:t>
      </w:r>
      <w:r w:rsidR="00A14F2D" w:rsidRPr="00CA4465">
        <w:t>district</w:t>
      </w:r>
      <w:r w:rsidRPr="00CA4465">
        <w:t xml:space="preserve"> court exercised no discretion and ordered a new trial because of an error of law, a de novo standard of review applies.  </w:t>
      </w:r>
      <w:r w:rsidR="00131C04" w:rsidRPr="00CA4465">
        <w:rPr>
          <w:i/>
          <w:iCs/>
        </w:rPr>
        <w:t>Halla Nursery, Inc. v. Baumann-Furrie &amp; Co.</w:t>
      </w:r>
      <w:r w:rsidR="00131C04" w:rsidRPr="00CA4465">
        <w:t xml:space="preserve">, 454 N.W.2d 905, 910 (Minn. 1990).  </w:t>
      </w:r>
    </w:p>
    <w:p w:rsidR="004F10A3" w:rsidRPr="00CA4465" w:rsidRDefault="004F10A3" w:rsidP="007F6909">
      <w:pPr>
        <w:ind w:left="720"/>
        <w:rPr>
          <w:i/>
          <w:iCs/>
        </w:rPr>
      </w:pPr>
    </w:p>
    <w:p w:rsidR="004F10A3" w:rsidRPr="00CA4465" w:rsidRDefault="004F10A3" w:rsidP="007F6909">
      <w:pPr>
        <w:ind w:left="720"/>
      </w:pPr>
      <w:r w:rsidRPr="00CA4465">
        <w:t xml:space="preserve">An appellate court </w:t>
      </w:r>
      <w:bookmarkStart w:id="189" w:name="SR;10992"/>
      <w:bookmarkStart w:id="190" w:name="SR;10996"/>
      <w:bookmarkEnd w:id="189"/>
      <w:bookmarkEnd w:id="190"/>
      <w:r w:rsidRPr="00CA4465">
        <w:t xml:space="preserve">“will not set aside a jury verdict on an </w:t>
      </w:r>
      <w:r w:rsidRPr="00CA4465">
        <w:rPr>
          <w:rStyle w:val="searchterm"/>
        </w:rPr>
        <w:t>appeal</w:t>
      </w:r>
      <w:bookmarkStart w:id="191" w:name="SR;11007"/>
      <w:bookmarkEnd w:id="191"/>
      <w:r w:rsidRPr="00CA4465">
        <w:t xml:space="preserve"> from a district court’s </w:t>
      </w:r>
      <w:r w:rsidRPr="00CA4465">
        <w:rPr>
          <w:rStyle w:val="searchterm"/>
        </w:rPr>
        <w:t>denial</w:t>
      </w:r>
      <w:bookmarkStart w:id="192" w:name="SR;11012"/>
      <w:bookmarkEnd w:id="192"/>
      <w:r w:rsidRPr="00CA4465">
        <w:t xml:space="preserve"> of a </w:t>
      </w:r>
      <w:r w:rsidRPr="00CA4465">
        <w:rPr>
          <w:rStyle w:val="searchterm"/>
        </w:rPr>
        <w:t>motion</w:t>
      </w:r>
      <w:bookmarkStart w:id="193" w:name="SR;11015"/>
      <w:bookmarkEnd w:id="193"/>
      <w:r w:rsidRPr="00CA4465">
        <w:t xml:space="preserve"> for a </w:t>
      </w:r>
      <w:r w:rsidRPr="00CA4465">
        <w:rPr>
          <w:rStyle w:val="searchterm"/>
        </w:rPr>
        <w:t>new trial</w:t>
      </w:r>
      <w:bookmarkStart w:id="194" w:name="SR;11019"/>
      <w:bookmarkEnd w:id="194"/>
      <w:r w:rsidRPr="00CA4465">
        <w:t xml:space="preserve"> unless it is manifestly and palpably contrary to the evidence viewed as a whole and in the light most favorable to the verdict.”  </w:t>
      </w:r>
      <w:r w:rsidRPr="00CA4465">
        <w:rPr>
          <w:i/>
        </w:rPr>
        <w:t>Navarre v. S. Wash</w:t>
      </w:r>
      <w:r w:rsidR="005231B7" w:rsidRPr="00CA4465">
        <w:rPr>
          <w:i/>
        </w:rPr>
        <w:t>.</w:t>
      </w:r>
      <w:r w:rsidRPr="00CA4465">
        <w:rPr>
          <w:i/>
        </w:rPr>
        <w:t xml:space="preserve"> </w:t>
      </w:r>
      <w:r w:rsidR="00DC7EC2" w:rsidRPr="00CA4465">
        <w:rPr>
          <w:i/>
        </w:rPr>
        <w:t>Cnty.</w:t>
      </w:r>
      <w:r w:rsidRPr="00CA4465">
        <w:rPr>
          <w:i/>
        </w:rPr>
        <w:t xml:space="preserve"> Sch.</w:t>
      </w:r>
      <w:r w:rsidRPr="00CA4465">
        <w:t>, 652 N.W.2d 9, 21 (Minn. 2002) (quotation</w:t>
      </w:r>
      <w:r w:rsidR="008E649F" w:rsidRPr="00CA4465">
        <w:t>s</w:t>
      </w:r>
      <w:r w:rsidRPr="00CA4465">
        <w:t xml:space="preserve"> omitted). </w:t>
      </w:r>
    </w:p>
    <w:p w:rsidR="004F10A3" w:rsidRPr="00CA4465" w:rsidRDefault="004F10A3" w:rsidP="007F6909">
      <w:pPr>
        <w:ind w:left="720"/>
      </w:pPr>
    </w:p>
    <w:p w:rsidR="00797659" w:rsidRPr="00CA4465" w:rsidRDefault="004F10A3" w:rsidP="00C3560C">
      <w:pPr>
        <w:ind w:left="720"/>
      </w:pPr>
      <w:r w:rsidRPr="00CA4465">
        <w:t xml:space="preserve">“The discretion to grant a new trial on the ground of excessive damages rests with the </w:t>
      </w:r>
      <w:r w:rsidR="003F4368" w:rsidRPr="00CA4465">
        <w:t xml:space="preserve">[district] </w:t>
      </w:r>
      <w:r w:rsidRPr="00CA4465">
        <w:t xml:space="preserve">court, whose determination will only be overturned for abuse of that discretion.”  </w:t>
      </w:r>
      <w:r w:rsidRPr="00CA4465">
        <w:rPr>
          <w:i/>
          <w:iCs/>
        </w:rPr>
        <w:t>Advanced Training Sys., Inc. v. Caswell Equip. Co.</w:t>
      </w:r>
      <w:r w:rsidRPr="00CA4465">
        <w:t>, 352 N.W.2d 1, 11 (Minn. 1984).</w:t>
      </w:r>
      <w:bookmarkStart w:id="195" w:name="_Toc48979566"/>
    </w:p>
    <w:p w:rsidR="005213A9" w:rsidRPr="00CA4465" w:rsidRDefault="004F10A3" w:rsidP="00337FFA">
      <w:pPr>
        <w:pStyle w:val="Heading3"/>
      </w:pPr>
      <w:bookmarkStart w:id="196" w:name="_Ref363716261"/>
      <w:bookmarkStart w:id="197" w:name="_Toc395604517"/>
      <w:r w:rsidRPr="00CA4465">
        <w:lastRenderedPageBreak/>
        <w:t>2.</w:t>
      </w:r>
      <w:r w:rsidRPr="00CA4465">
        <w:tab/>
      </w:r>
      <w:bookmarkEnd w:id="195"/>
      <w:r w:rsidR="00ED27B3" w:rsidRPr="00CA4465">
        <w:t>Motion for Judgment as a Matter of Law (JMOL), formerly known as Motion</w:t>
      </w:r>
      <w:r w:rsidR="00540FBD" w:rsidRPr="00CA4465">
        <w:t xml:space="preserve"> </w:t>
      </w:r>
      <w:r w:rsidR="00ED27B3" w:rsidRPr="00CA4465">
        <w:t>for Judgment Notwithstanding the Verdict (JNOV)</w:t>
      </w:r>
      <w:bookmarkEnd w:id="196"/>
      <w:bookmarkEnd w:id="197"/>
    </w:p>
    <w:p w:rsidR="005213A9" w:rsidRPr="00CA4465" w:rsidRDefault="005213A9" w:rsidP="007F6909">
      <w:pPr>
        <w:ind w:left="720"/>
      </w:pPr>
      <w:r w:rsidRPr="00CA4465">
        <w:rPr>
          <w:b/>
        </w:rPr>
        <w:t>Note</w:t>
      </w:r>
      <w:r w:rsidRPr="00CA4465">
        <w:t xml:space="preserve">:  In 2006, the Minnesota Rules of Civil Procedure </w:t>
      </w:r>
      <w:r w:rsidR="00575374">
        <w:t xml:space="preserve">Advisory Committee </w:t>
      </w:r>
      <w:r w:rsidRPr="00CA4465">
        <w:t xml:space="preserve">eliminated the nominal distinction between motions for directed verdict and motions for judgment notwithstanding the verdict (JNOV), which have historically been decided under the same standard.  Both are now characterized by the rule as motions for judgment as a matter of law.  </w:t>
      </w:r>
      <w:r w:rsidRPr="00CA4465">
        <w:rPr>
          <w:i/>
        </w:rPr>
        <w:t xml:space="preserve">See </w:t>
      </w:r>
      <w:r w:rsidRPr="00CA4465">
        <w:t xml:space="preserve">Minn. R. Civ. P. 50.04 2006 advisory </w:t>
      </w:r>
      <w:r w:rsidR="00575374">
        <w:t>comm</w:t>
      </w:r>
      <w:r w:rsidR="00F104FB">
        <w:t>.</w:t>
      </w:r>
      <w:r w:rsidR="00575374">
        <w:t xml:space="preserve"> </w:t>
      </w:r>
      <w:r w:rsidRPr="00CA4465">
        <w:t xml:space="preserve">cmt.  Caselaw from this court acknowledges that “JMOL” should now be used instead of “JNOV.”  </w:t>
      </w:r>
      <w:r w:rsidR="00575374">
        <w:rPr>
          <w:i/>
        </w:rPr>
        <w:t xml:space="preserve">See, e.g., </w:t>
      </w:r>
      <w:r w:rsidRPr="00CA4465">
        <w:rPr>
          <w:i/>
        </w:rPr>
        <w:t>Longbehn v. Schoenrock</w:t>
      </w:r>
      <w:r w:rsidRPr="00CA4465">
        <w:t xml:space="preserve">, 727 N.W.2d 153, 159 n.1 (Minn. App. 2007).  </w:t>
      </w:r>
    </w:p>
    <w:p w:rsidR="005213A9" w:rsidRPr="00CA4465" w:rsidRDefault="005213A9" w:rsidP="007F6909">
      <w:pPr>
        <w:ind w:left="720"/>
      </w:pPr>
    </w:p>
    <w:p w:rsidR="009A5C37" w:rsidRPr="00CA4465" w:rsidRDefault="009A5C37" w:rsidP="007F6909">
      <w:pPr>
        <w:ind w:left="720"/>
      </w:pPr>
      <w:r w:rsidRPr="00CA4465">
        <w:t xml:space="preserve">“[JMOL] should be granted: ‘only in those unequivocal cases where (1) in the light of the evidence as a whole, it would clearly be the duty of the </w:t>
      </w:r>
      <w:r w:rsidR="00A14F2D" w:rsidRPr="00CA4465">
        <w:t>[district]</w:t>
      </w:r>
      <w:r w:rsidRPr="00CA4465">
        <w:t xml:space="preserve"> court to set aside a contrary verdict as being manifestly against the entire evidence, or where (2) it would be contrary to the law applicable to the case.’”  </w:t>
      </w:r>
      <w:r w:rsidRPr="00CA4465">
        <w:rPr>
          <w:i/>
        </w:rPr>
        <w:t>Jerry’s Enters., Inc., v. Larkin, Hoffman, Daly &amp; Lindgren, Ltd.</w:t>
      </w:r>
      <w:r w:rsidRPr="00CA4465">
        <w:t xml:space="preserve">, 711 N.W.2d 811, 816 (Minn. 2006) (quoting </w:t>
      </w:r>
      <w:r w:rsidRPr="00CA4465">
        <w:rPr>
          <w:i/>
        </w:rPr>
        <w:t>J.N. Sullivan &amp; Assocs., Inc. v. F.D. Chapman Constr. Co.</w:t>
      </w:r>
      <w:r w:rsidRPr="00CA4465">
        <w:t>, 304 Minn. 334, 336, 231 N.W.2d 87, 89 (1975))</w:t>
      </w:r>
      <w:r w:rsidR="00131C04">
        <w:t xml:space="preserve">; </w:t>
      </w:r>
      <w:r w:rsidR="00575374">
        <w:rPr>
          <w:i/>
        </w:rPr>
        <w:t xml:space="preserve">see also </w:t>
      </w:r>
      <w:r w:rsidR="00131C04">
        <w:rPr>
          <w:i/>
        </w:rPr>
        <w:t>Glorvigen v. Cirrus Design Corp.</w:t>
      </w:r>
      <w:r w:rsidR="00131C04">
        <w:t>, 796 N.W.2d 541, 549 (Minn. App. 2011)</w:t>
      </w:r>
      <w:r w:rsidRPr="00CA4465">
        <w:t xml:space="preserve">. </w:t>
      </w:r>
    </w:p>
    <w:p w:rsidR="009A5C37" w:rsidRPr="00CA4465" w:rsidRDefault="009A5C37" w:rsidP="007F6909">
      <w:pPr>
        <w:ind w:left="720"/>
      </w:pPr>
    </w:p>
    <w:p w:rsidR="009A5C37" w:rsidRPr="00CA4465" w:rsidRDefault="009A5C37" w:rsidP="007F6909">
      <w:pPr>
        <w:ind w:left="720"/>
      </w:pPr>
      <w:r w:rsidRPr="00CA4465">
        <w:t xml:space="preserve">“Viewing the evidence in a light most favorable to the nonmoving party, this court makes an independent determination of whether there is sufficient evidence to present an issue of fact for the jury.”  </w:t>
      </w:r>
      <w:r w:rsidRPr="00CA4465">
        <w:rPr>
          <w:i/>
        </w:rPr>
        <w:t>Jerry’s Enters., Inc., v. Larkin, Hoffman, Daly &amp; Lindgren, Ltd.</w:t>
      </w:r>
      <w:r w:rsidR="00575374">
        <w:t xml:space="preserve">, </w:t>
      </w:r>
      <w:r w:rsidRPr="00CA4465">
        <w:t xml:space="preserve">711 N.W.2d 811, 816 (Minn. 2006).  </w:t>
      </w:r>
    </w:p>
    <w:p w:rsidR="009A5C37" w:rsidRPr="00CA4465" w:rsidRDefault="009A5C37" w:rsidP="007F6909">
      <w:pPr>
        <w:ind w:left="720"/>
      </w:pPr>
    </w:p>
    <w:p w:rsidR="00ED27B3" w:rsidRPr="00CA4465" w:rsidRDefault="009A5C37" w:rsidP="00C3560C">
      <w:pPr>
        <w:ind w:left="720"/>
      </w:pPr>
      <w:r w:rsidRPr="00CA4465">
        <w:t xml:space="preserve">“We apply de novo review to the district court’s denial of a Rule 50 motion.”  </w:t>
      </w:r>
      <w:r w:rsidRPr="00CA4465">
        <w:rPr>
          <w:i/>
        </w:rPr>
        <w:t>Bahr v. Boise Cascade Corp.</w:t>
      </w:r>
      <w:r w:rsidRPr="00CA4465">
        <w:t xml:space="preserve">, </w:t>
      </w:r>
      <w:r w:rsidR="00BE029E" w:rsidRPr="00CA4465">
        <w:t>766</w:t>
      </w:r>
      <w:r w:rsidRPr="00CA4465">
        <w:t xml:space="preserve"> N.W.2d </w:t>
      </w:r>
      <w:r w:rsidR="00BE029E" w:rsidRPr="00CA4465">
        <w:t>910, 919</w:t>
      </w:r>
      <w:r w:rsidRPr="00CA4465">
        <w:t xml:space="preserve"> (Minn. 2009)</w:t>
      </w:r>
      <w:r w:rsidR="00131C04">
        <w:t xml:space="preserve">; </w:t>
      </w:r>
      <w:r w:rsidR="00131C04">
        <w:rPr>
          <w:i/>
        </w:rPr>
        <w:t>Glorvigen v. Cirrus Design Corp.</w:t>
      </w:r>
      <w:r w:rsidR="00131C04">
        <w:t>, 796 N.W.2d 541, 549 (Minn. App. 2011)</w:t>
      </w:r>
      <w:r w:rsidRPr="00CA4465">
        <w:t xml:space="preserve">.  “[W]e view the evidence in the light most favorable to the prevailing party.”  </w:t>
      </w:r>
      <w:r w:rsidR="00131C04">
        <w:rPr>
          <w:i/>
        </w:rPr>
        <w:t>Bahr</w:t>
      </w:r>
      <w:r w:rsidR="00131C04">
        <w:t>, 766 N.W.2d at 919.</w:t>
      </w:r>
      <w:r w:rsidRPr="00CA4465">
        <w:t xml:space="preserve">  </w:t>
      </w:r>
    </w:p>
    <w:p w:rsidR="004F10A3" w:rsidRPr="00C3560C" w:rsidRDefault="004F10A3" w:rsidP="00604DD4">
      <w:pPr>
        <w:pStyle w:val="Heading2"/>
      </w:pPr>
      <w:bookmarkStart w:id="198" w:name="_Toc48979567"/>
      <w:bookmarkStart w:id="199" w:name="_Toc395604518"/>
      <w:r w:rsidRPr="00CA4465">
        <w:t>G.</w:t>
      </w:r>
      <w:r w:rsidRPr="00CA4465">
        <w:tab/>
        <w:t>PARTICULAR TYPES OF ACTIONS</w:t>
      </w:r>
      <w:bookmarkEnd w:id="198"/>
      <w:bookmarkEnd w:id="199"/>
    </w:p>
    <w:p w:rsidR="004F10A3" w:rsidRPr="00CA4465" w:rsidRDefault="00575374" w:rsidP="00337FFA">
      <w:pPr>
        <w:pStyle w:val="Heading3"/>
      </w:pPr>
      <w:bookmarkStart w:id="200" w:name="_Toc48979568"/>
      <w:bookmarkStart w:id="201" w:name="_Toc395604519"/>
      <w:r>
        <w:t>1.</w:t>
      </w:r>
      <w:r>
        <w:tab/>
        <w:t>Declaratory-</w:t>
      </w:r>
      <w:r w:rsidR="004F10A3" w:rsidRPr="00CA4465">
        <w:t>Judgment Actions</w:t>
      </w:r>
      <w:bookmarkEnd w:id="200"/>
      <w:bookmarkEnd w:id="201"/>
    </w:p>
    <w:p w:rsidR="003F4368" w:rsidRPr="00CA4465" w:rsidRDefault="003F4368" w:rsidP="007F6909">
      <w:pPr>
        <w:ind w:left="720"/>
      </w:pPr>
      <w:r w:rsidRPr="00CA4465">
        <w:t>“When reviewing a declaratory judgment action, we apply the clearly erroneous standard to factual findings, and review the district court’s determinations of law de novo</w:t>
      </w:r>
      <w:r w:rsidR="00575374">
        <w:t xml:space="preserve"> . . . </w:t>
      </w:r>
      <w:r w:rsidRPr="00CA4465">
        <w:t xml:space="preserve">.”  </w:t>
      </w:r>
      <w:r w:rsidRPr="00CA4465">
        <w:rPr>
          <w:i/>
        </w:rPr>
        <w:t>Onvoy, Inc. v. ALLETE, Inc.</w:t>
      </w:r>
      <w:r w:rsidRPr="00CA4465">
        <w:t>, 736 N.W.2d 6</w:t>
      </w:r>
      <w:r w:rsidR="00D47689" w:rsidRPr="00CA4465">
        <w:t>1</w:t>
      </w:r>
      <w:r w:rsidRPr="00CA4465">
        <w:t>1, 6</w:t>
      </w:r>
      <w:r w:rsidR="00D47689" w:rsidRPr="00CA4465">
        <w:t>1</w:t>
      </w:r>
      <w:r w:rsidRPr="00CA4465">
        <w:t>5 (Minn. 2007) (citations omitted)</w:t>
      </w:r>
      <w:r w:rsidR="00503507">
        <w:t xml:space="preserve">; </w:t>
      </w:r>
      <w:r w:rsidR="00575374">
        <w:rPr>
          <w:i/>
        </w:rPr>
        <w:t xml:space="preserve">see </w:t>
      </w:r>
      <w:r w:rsidR="00575374" w:rsidRPr="00575374">
        <w:rPr>
          <w:i/>
        </w:rPr>
        <w:t>also</w:t>
      </w:r>
      <w:r w:rsidR="00575374">
        <w:rPr>
          <w:i/>
        </w:rPr>
        <w:t xml:space="preserve"> </w:t>
      </w:r>
      <w:r w:rsidR="00503507" w:rsidRPr="00575374">
        <w:rPr>
          <w:i/>
        </w:rPr>
        <w:t>Skyline</w:t>
      </w:r>
      <w:r w:rsidR="00503507">
        <w:rPr>
          <w:i/>
        </w:rPr>
        <w:t xml:space="preserve"> Village Park Ass’n v. Skyline Village L.P.</w:t>
      </w:r>
      <w:r w:rsidR="00503507">
        <w:t>, 786 N.W.2d 304, 306 (Minn. App. 2010)</w:t>
      </w:r>
      <w:r w:rsidRPr="00CA4465">
        <w:t>.</w:t>
      </w:r>
    </w:p>
    <w:p w:rsidR="003F4368" w:rsidRPr="00CA4465" w:rsidRDefault="003F4368" w:rsidP="007F6909">
      <w:pPr>
        <w:ind w:left="720"/>
      </w:pPr>
    </w:p>
    <w:p w:rsidR="004F10A3" w:rsidRPr="00CA4465" w:rsidRDefault="004F10A3" w:rsidP="00C3560C">
      <w:pPr>
        <w:ind w:left="720"/>
      </w:pPr>
      <w:r w:rsidRPr="00CA4465">
        <w:t xml:space="preserve">“In a declaratory judgment action tried without a jury, the court as the trier of facts must be sustained in its findings unless they are palpably and manifestly contrary to the evidence.”  </w:t>
      </w:r>
      <w:r w:rsidRPr="00CA4465">
        <w:rPr>
          <w:i/>
          <w:iCs/>
        </w:rPr>
        <w:t>Samuelson v. Farm Bureau Mut. Ins. Co.</w:t>
      </w:r>
      <w:r w:rsidRPr="00CA4465">
        <w:t xml:space="preserve">, 446 N.W.2d 428, 430 (Minn. App. 1989), </w:t>
      </w:r>
      <w:r w:rsidRPr="00CA4465">
        <w:rPr>
          <w:i/>
          <w:iCs/>
        </w:rPr>
        <w:t>review denied</w:t>
      </w:r>
      <w:r w:rsidRPr="00CA4465">
        <w:t xml:space="preserve"> (Minn. Nov. 22, 1989).  </w:t>
      </w:r>
      <w:bookmarkStart w:id="202" w:name="_Toc48979569"/>
    </w:p>
    <w:p w:rsidR="004F10A3" w:rsidRPr="00C3560C" w:rsidRDefault="004F10A3" w:rsidP="00337FFA">
      <w:pPr>
        <w:pStyle w:val="Heading3"/>
      </w:pPr>
      <w:bookmarkStart w:id="203" w:name="_Toc395604520"/>
      <w:r w:rsidRPr="00CA4465">
        <w:lastRenderedPageBreak/>
        <w:t>2.</w:t>
      </w:r>
      <w:r w:rsidRPr="00CA4465">
        <w:tab/>
        <w:t xml:space="preserve">Actions </w:t>
      </w:r>
      <w:r w:rsidR="00276687">
        <w:t>A</w:t>
      </w:r>
      <w:r w:rsidR="00CA4AC6">
        <w:t>gainst</w:t>
      </w:r>
      <w:r w:rsidRPr="00CA4465">
        <w:t xml:space="preserve"> a Governmental Body</w:t>
      </w:r>
      <w:bookmarkEnd w:id="202"/>
      <w:bookmarkEnd w:id="203"/>
    </w:p>
    <w:p w:rsidR="004F10A3" w:rsidRPr="00C3560C" w:rsidRDefault="004F10A3" w:rsidP="00300AEE">
      <w:pPr>
        <w:pStyle w:val="Heading4"/>
      </w:pPr>
      <w:bookmarkStart w:id="204" w:name="_Toc48979570"/>
      <w:bookmarkStart w:id="205" w:name="_Toc395604521"/>
      <w:r w:rsidRPr="00CA4465">
        <w:t>a.</w:t>
      </w:r>
      <w:r w:rsidRPr="00CA4465">
        <w:tab/>
        <w:t xml:space="preserve">Actions </w:t>
      </w:r>
      <w:r w:rsidR="00D25D46">
        <w:t>A</w:t>
      </w:r>
      <w:r w:rsidR="00CA4AC6">
        <w:t>gainst</w:t>
      </w:r>
      <w:r w:rsidRPr="00CA4465">
        <w:t xml:space="preserve"> a Municipality</w:t>
      </w:r>
      <w:bookmarkEnd w:id="204"/>
      <w:bookmarkEnd w:id="205"/>
    </w:p>
    <w:p w:rsidR="004F10A3" w:rsidRPr="00CA4465" w:rsidRDefault="004F10A3" w:rsidP="007F6909">
      <w:pPr>
        <w:ind w:left="1440"/>
        <w:rPr>
          <w:iCs/>
        </w:rPr>
      </w:pPr>
      <w:r w:rsidRPr="00CA4465">
        <w:t xml:space="preserve">Although rebuttable, there is a strong presumption favoring action taken by a city.  </w:t>
      </w:r>
      <w:r w:rsidRPr="00CA4465">
        <w:rPr>
          <w:i/>
          <w:iCs/>
        </w:rPr>
        <w:t>Arcadia Dev. Corp. v. City of Bloomington</w:t>
      </w:r>
      <w:r w:rsidRPr="00CA4465">
        <w:t xml:space="preserve">, 267 Minn. 221, 226, 125 N.W.2d 846, 850 (1964).  If the reasonableness of the city’s action is “doubtful[ ] or fairly debatable, a court will not interject its own conclusions as to more preferable actions.”  </w:t>
      </w:r>
      <w:r w:rsidRPr="00CA4465">
        <w:rPr>
          <w:i/>
          <w:iCs/>
        </w:rPr>
        <w:t>Id</w:t>
      </w:r>
      <w:r w:rsidRPr="00CA4465">
        <w:rPr>
          <w:iCs/>
        </w:rPr>
        <w:t xml:space="preserve">. </w:t>
      </w:r>
    </w:p>
    <w:p w:rsidR="004F10A3" w:rsidRPr="00CA4465" w:rsidRDefault="004F10A3" w:rsidP="007F6909">
      <w:pPr>
        <w:ind w:left="1440"/>
        <w:rPr>
          <w:iCs/>
        </w:rPr>
      </w:pPr>
    </w:p>
    <w:p w:rsidR="004F10A3" w:rsidRPr="00CA4465" w:rsidRDefault="004F10A3" w:rsidP="007F6909">
      <w:pPr>
        <w:ind w:left="1440"/>
      </w:pPr>
      <w:r w:rsidRPr="00CA4465">
        <w:t>“Interpretations of state statutes and existing local zoning ordinances are questions of law that this court reviews de novo.  Zoning decisions of a municipal body that require judgment and discretion are reviewed to determine whether the municipal body acted arbitrarily, capriciously, or unreasonably, and whether the evidence reasonably supports the decision made.”</w:t>
      </w:r>
      <w:r w:rsidR="00061EB5" w:rsidRPr="00CA4465">
        <w:t xml:space="preserve">  </w:t>
      </w:r>
      <w:r w:rsidRPr="00CA4465">
        <w:rPr>
          <w:i/>
        </w:rPr>
        <w:t>Clear Channel Outdoor Adver., Inc. v. City of St. Paul</w:t>
      </w:r>
      <w:r w:rsidRPr="00CA4465">
        <w:t>, 675 N.W.2d 343, 346 (Minn. App. 2004) (</w:t>
      </w:r>
      <w:r w:rsidR="00D47689" w:rsidRPr="00CA4465">
        <w:t xml:space="preserve">quotation and </w:t>
      </w:r>
      <w:r w:rsidRPr="00CA4465">
        <w:t xml:space="preserve">citation omitted), </w:t>
      </w:r>
      <w:r w:rsidRPr="00CA4465">
        <w:rPr>
          <w:i/>
        </w:rPr>
        <w:t>review denied</w:t>
      </w:r>
      <w:r w:rsidRPr="00CA4465">
        <w:t xml:space="preserve"> (Minn. May 18, 2004).</w:t>
      </w:r>
    </w:p>
    <w:p w:rsidR="004F10A3" w:rsidRPr="00CA4465" w:rsidRDefault="004F10A3" w:rsidP="007F6909">
      <w:pPr>
        <w:ind w:left="1440"/>
        <w:rPr>
          <w:iCs/>
        </w:rPr>
      </w:pPr>
    </w:p>
    <w:p w:rsidR="004F10A3" w:rsidRDefault="00DA3C8A" w:rsidP="007F6909">
      <w:pPr>
        <w:ind w:left="1440"/>
      </w:pPr>
      <w:r>
        <w:t xml:space="preserve">“The interpretation of </w:t>
      </w:r>
      <w:r w:rsidR="00503507">
        <w:t xml:space="preserve">statutes and municipal resolutions involves questions of law we review de novo.”  </w:t>
      </w:r>
      <w:r w:rsidR="00503507">
        <w:rPr>
          <w:i/>
        </w:rPr>
        <w:t>Eagan Econ. Dev. Auth. v. U-Haul Co. of Minn</w:t>
      </w:r>
      <w:r>
        <w:rPr>
          <w:i/>
        </w:rPr>
        <w:t>.</w:t>
      </w:r>
      <w:r w:rsidR="00503507">
        <w:t>, 787 N.W.2d 523, 529 (Minn. 2010).</w:t>
      </w:r>
    </w:p>
    <w:p w:rsidR="00503507" w:rsidRDefault="00503507" w:rsidP="007F6909">
      <w:pPr>
        <w:ind w:left="1440"/>
      </w:pPr>
    </w:p>
    <w:p w:rsidR="00B03E8E" w:rsidRPr="00CA4465" w:rsidRDefault="00503507" w:rsidP="00C3560C">
      <w:pPr>
        <w:ind w:left="1440"/>
      </w:pPr>
      <w:r>
        <w:t xml:space="preserve">An appellate court reviews a municipal variance decision “to determine whether the municipality was </w:t>
      </w:r>
      <w:r w:rsidR="00DA3C8A">
        <w:t xml:space="preserve">[] </w:t>
      </w:r>
      <w:r>
        <w:t xml:space="preserve">within its jurisdiction, was not mistaken as to the applicable law, and did not act arbitrarily, oppressively, or unreasonably, and to determine whether the evidence could reasonably support or justify the determination.”  </w:t>
      </w:r>
      <w:r>
        <w:rPr>
          <w:i/>
        </w:rPr>
        <w:t>Krummenacher v. City of Minnetonka</w:t>
      </w:r>
      <w:r>
        <w:t xml:space="preserve">, 783 N.W.2d 721, 727 (Minn. 2010) (quoting </w:t>
      </w:r>
      <w:r>
        <w:rPr>
          <w:i/>
        </w:rPr>
        <w:t>In re Stadsvold</w:t>
      </w:r>
      <w:r>
        <w:t>, 754 N.W.2d 323, 332 (Minn. 2008)</w:t>
      </w:r>
      <w:r w:rsidR="00DA3C8A">
        <w:t xml:space="preserve"> (internal quotation omitted)</w:t>
      </w:r>
      <w:r>
        <w:t>).</w:t>
      </w:r>
      <w:bookmarkStart w:id="206" w:name="_Toc48979571"/>
    </w:p>
    <w:p w:rsidR="004F10A3" w:rsidRPr="00C3560C" w:rsidRDefault="004F10A3" w:rsidP="00300AEE">
      <w:pPr>
        <w:pStyle w:val="Heading4"/>
      </w:pPr>
      <w:bookmarkStart w:id="207" w:name="_Toc395604522"/>
      <w:r w:rsidRPr="00CA4465">
        <w:t>b.</w:t>
      </w:r>
      <w:r w:rsidRPr="00CA4465">
        <w:tab/>
        <w:t>Governmental Immunity</w:t>
      </w:r>
      <w:bookmarkEnd w:id="206"/>
      <w:bookmarkEnd w:id="207"/>
    </w:p>
    <w:p w:rsidR="00503507" w:rsidRDefault="003F4368" w:rsidP="007F6909">
      <w:pPr>
        <w:ind w:left="1440"/>
      </w:pPr>
      <w:r w:rsidRPr="00CA4465">
        <w:t>“</w:t>
      </w:r>
      <w:r w:rsidR="004F10A3" w:rsidRPr="00CA4465">
        <w:t>The applica</w:t>
      </w:r>
      <w:r w:rsidR="00DA3C8A">
        <w:t>tion</w:t>
      </w:r>
      <w:r w:rsidR="004F10A3" w:rsidRPr="00CA4465">
        <w:t xml:space="preserve"> of immunity is a question of law</w:t>
      </w:r>
      <w:r w:rsidR="00503507">
        <w:t xml:space="preserve"> that we review</w:t>
      </w:r>
      <w:r w:rsidRPr="00CA4465">
        <w:t xml:space="preserve"> de novo.”</w:t>
      </w:r>
      <w:r w:rsidR="004F10A3" w:rsidRPr="00CA4465">
        <w:t xml:space="preserve">  </w:t>
      </w:r>
      <w:r w:rsidR="00503507">
        <w:rPr>
          <w:i/>
        </w:rPr>
        <w:t xml:space="preserve">J.E.B. v. </w:t>
      </w:r>
      <w:r w:rsidR="00DA3C8A" w:rsidRPr="00DA3C8A">
        <w:rPr>
          <w:i/>
        </w:rPr>
        <w:t>D</w:t>
      </w:r>
      <w:r w:rsidR="00503507" w:rsidRPr="00DA3C8A">
        <w:rPr>
          <w:i/>
        </w:rPr>
        <w:t>anks</w:t>
      </w:r>
      <w:r w:rsidR="00503507">
        <w:t>, 785 N.W.2d 741, 746 (Minn. 2010).</w:t>
      </w:r>
    </w:p>
    <w:p w:rsidR="00503507" w:rsidRDefault="00503507" w:rsidP="007F6909">
      <w:pPr>
        <w:ind w:left="1440"/>
      </w:pPr>
    </w:p>
    <w:p w:rsidR="004F10A3" w:rsidRDefault="003F4368" w:rsidP="007F6909">
      <w:pPr>
        <w:ind w:left="1440"/>
      </w:pPr>
      <w:r w:rsidRPr="00CA4465">
        <w:t>“Whether government entities and public officials are protected by statutory immunity and official immunity is a legal question which this court reviews de novo.</w:t>
      </w:r>
      <w:r w:rsidR="00EC5175" w:rsidRPr="00CA4465">
        <w:t>”</w:t>
      </w:r>
      <w:r w:rsidR="004F10A3" w:rsidRPr="00CA4465">
        <w:t xml:space="preserve"> </w:t>
      </w:r>
      <w:r w:rsidR="00D47689" w:rsidRPr="00CA4465">
        <w:t xml:space="preserve"> </w:t>
      </w:r>
      <w:r w:rsidR="004F10A3" w:rsidRPr="00CA4465">
        <w:rPr>
          <w:i/>
        </w:rPr>
        <w:t>Johnson v. State</w:t>
      </w:r>
      <w:r w:rsidR="004F10A3" w:rsidRPr="00CA4465">
        <w:t xml:space="preserve">, 553 N.W.2d 40, </w:t>
      </w:r>
      <w:r w:rsidRPr="00CA4465">
        <w:t>45</w:t>
      </w:r>
      <w:r w:rsidR="004F10A3" w:rsidRPr="00CA4465">
        <w:t xml:space="preserve"> (Minn. 1996).</w:t>
      </w:r>
      <w:bookmarkStart w:id="208" w:name="_Toc48979572"/>
    </w:p>
    <w:p w:rsidR="006F5F3A" w:rsidRDefault="006F5F3A" w:rsidP="007F6909">
      <w:pPr>
        <w:ind w:left="1440"/>
      </w:pPr>
    </w:p>
    <w:p w:rsidR="000B0D55" w:rsidRDefault="000B0D55">
      <w:pPr>
        <w:jc w:val="left"/>
        <w:rPr>
          <w:b/>
          <w:sz w:val="28"/>
          <w:szCs w:val="28"/>
        </w:rPr>
      </w:pPr>
      <w:r>
        <w:rPr>
          <w:b/>
          <w:sz w:val="28"/>
          <w:szCs w:val="28"/>
        </w:rPr>
        <w:br w:type="page"/>
      </w:r>
    </w:p>
    <w:p w:rsidR="003A397A" w:rsidRPr="006F5F3A" w:rsidRDefault="005551F2" w:rsidP="008429C3">
      <w:pPr>
        <w:pStyle w:val="Heading1"/>
      </w:pPr>
      <w:bookmarkStart w:id="209" w:name="_Toc395604523"/>
      <w:bookmarkEnd w:id="208"/>
      <w:r>
        <w:lastRenderedPageBreak/>
        <w:t>II.</w:t>
      </w:r>
      <w:r>
        <w:tab/>
      </w:r>
      <w:r w:rsidR="003A397A" w:rsidRPr="006F5F3A">
        <w:t>CIVIL – FAMILY</w:t>
      </w:r>
      <w:bookmarkEnd w:id="209"/>
    </w:p>
    <w:p w:rsidR="003A397A" w:rsidRPr="00CA4465" w:rsidRDefault="003A397A" w:rsidP="00604DD4">
      <w:pPr>
        <w:pStyle w:val="Heading2"/>
      </w:pPr>
      <w:bookmarkStart w:id="210" w:name="_Toc48979573"/>
      <w:bookmarkStart w:id="211" w:name="_Toc395604524"/>
      <w:r w:rsidRPr="00CA4465">
        <w:t xml:space="preserve">A. </w:t>
      </w:r>
      <w:r w:rsidRPr="00CA4465">
        <w:tab/>
        <w:t>IN GENERAL</w:t>
      </w:r>
      <w:bookmarkEnd w:id="210"/>
      <w:bookmarkEnd w:id="211"/>
    </w:p>
    <w:p w:rsidR="003A397A" w:rsidRPr="000B0D55" w:rsidRDefault="003A397A" w:rsidP="00337FFA">
      <w:pPr>
        <w:pStyle w:val="Heading3"/>
      </w:pPr>
      <w:bookmarkStart w:id="212" w:name="_Toc48979574"/>
      <w:bookmarkStart w:id="213" w:name="_Toc395604525"/>
      <w:r w:rsidRPr="00CA4465">
        <w:t>1.</w:t>
      </w:r>
      <w:r w:rsidRPr="00CA4465">
        <w:tab/>
        <w:t>Jurisdiction and Venue</w:t>
      </w:r>
      <w:bookmarkEnd w:id="212"/>
      <w:bookmarkEnd w:id="213"/>
    </w:p>
    <w:p w:rsidR="003A397A" w:rsidRPr="000B0D55" w:rsidRDefault="003A397A" w:rsidP="00300AEE">
      <w:pPr>
        <w:pStyle w:val="Heading4"/>
      </w:pPr>
      <w:bookmarkStart w:id="214" w:name="_Toc48979575"/>
      <w:bookmarkStart w:id="215" w:name="_Toc395604526"/>
      <w:r w:rsidRPr="00CA4465">
        <w:t>a.</w:t>
      </w:r>
      <w:r w:rsidRPr="00CA4465">
        <w:tab/>
        <w:t>Jurisdiction</w:t>
      </w:r>
      <w:bookmarkEnd w:id="214"/>
      <w:bookmarkEnd w:id="215"/>
    </w:p>
    <w:p w:rsidR="00004B13" w:rsidRPr="00004B13" w:rsidRDefault="00004B13" w:rsidP="00004B13">
      <w:pPr>
        <w:ind w:left="1440"/>
      </w:pPr>
      <w:bookmarkStart w:id="216" w:name="_Toc48979576"/>
      <w:r w:rsidRPr="00004B13">
        <w:t xml:space="preserve">Questions of subject-matter jurisdiction are reviewed de novo.  </w:t>
      </w:r>
      <w:r w:rsidRPr="00004B13">
        <w:rPr>
          <w:i/>
        </w:rPr>
        <w:t>Johnson v. Murray</w:t>
      </w:r>
      <w:r w:rsidRPr="00004B13">
        <w:t xml:space="preserve">, 648 N.W.2d 664, 670 (Minn. 2002); </w:t>
      </w:r>
      <w:r w:rsidRPr="00004B13">
        <w:rPr>
          <w:i/>
        </w:rPr>
        <w:t>Burkstrand v. Burkstrand</w:t>
      </w:r>
      <w:r w:rsidRPr="00004B13">
        <w:t xml:space="preserve">, 632 N.W.2d 206, 209 (Minn. 2001); </w:t>
      </w:r>
      <w:r w:rsidRPr="00004B13">
        <w:rPr>
          <w:i/>
        </w:rPr>
        <w:t xml:space="preserve">see </w:t>
      </w:r>
      <w:r w:rsidRPr="00004B13">
        <w:rPr>
          <w:i/>
          <w:szCs w:val="26"/>
        </w:rPr>
        <w:t>In re Welfare of Children of D.M.T.-R</w:t>
      </w:r>
      <w:r w:rsidRPr="00004B13">
        <w:rPr>
          <w:szCs w:val="26"/>
        </w:rPr>
        <w:t xml:space="preserve">, 802 N.W.2d 759, 762 (Minn. App. 2011) (stating “[w]hether subject-matter jurisdiction exists presents a question of law, which we review de novo”); </w:t>
      </w:r>
      <w:r w:rsidRPr="00004B13">
        <w:rPr>
          <w:i/>
        </w:rPr>
        <w:t>Stern v. Stern</w:t>
      </w:r>
      <w:r w:rsidRPr="00004B13">
        <w:t xml:space="preserve">, 839 N.W.2d 96, 99 (Minn. App. 2013) (stating that “[t]he existence of subject-matter jurisdiction and a determination of the meaning of statutes addressing subject-matter jurisdiction present legal questions, which this court reviews de novo”) (quoting </w:t>
      </w:r>
      <w:r w:rsidRPr="00004B13">
        <w:rPr>
          <w:i/>
        </w:rPr>
        <w:t>Wareham v. Wareham</w:t>
      </w:r>
      <w:r w:rsidRPr="00004B13">
        <w:t xml:space="preserve">, 791 N.W.2d 562, 564 (Minn. App. 2010)); </w:t>
      </w:r>
      <w:r w:rsidRPr="00004B13">
        <w:rPr>
          <w:i/>
          <w:iCs/>
          <w:szCs w:val="26"/>
        </w:rPr>
        <w:t>In re Welfare of Children of A.I. (Deceased)</w:t>
      </w:r>
      <w:r w:rsidRPr="00004B13">
        <w:rPr>
          <w:szCs w:val="26"/>
        </w:rPr>
        <w:t xml:space="preserve">, 779 N.W.2d 886, 894 (Minn. App. 2010) </w:t>
      </w:r>
      <w:r w:rsidRPr="00004B13">
        <w:t>(stating that “[j]</w:t>
      </w:r>
      <w:r w:rsidRPr="00004B13">
        <w:rPr>
          <w:szCs w:val="26"/>
        </w:rPr>
        <w:t xml:space="preserve">urisdiction in juvenile court matters is a question of law, reviewed de novo”), </w:t>
      </w:r>
      <w:r w:rsidRPr="00004B13">
        <w:rPr>
          <w:i/>
          <w:szCs w:val="26"/>
        </w:rPr>
        <w:t xml:space="preserve">pet. for review dismissed </w:t>
      </w:r>
      <w:r w:rsidRPr="00004B13">
        <w:rPr>
          <w:szCs w:val="26"/>
        </w:rPr>
        <w:t xml:space="preserve">(Minn. Apr. 20, 2010); </w:t>
      </w:r>
      <w:r w:rsidRPr="00004B13">
        <w:rPr>
          <w:i/>
        </w:rPr>
        <w:t>In re Welfare of S.R.S.</w:t>
      </w:r>
      <w:r w:rsidRPr="00004B13">
        <w:t xml:space="preserve">, 756 N.W.2d 123, 126 (Minn. App. 2008) (stating that “[t]his court reviews questions of jurisdiction and interpretation of statutes de novo”), </w:t>
      </w:r>
      <w:r w:rsidRPr="00004B13">
        <w:rPr>
          <w:i/>
        </w:rPr>
        <w:t>review denied</w:t>
      </w:r>
      <w:r w:rsidRPr="00004B13">
        <w:t xml:space="preserve"> (Minn. Dec. 16, 2008).</w:t>
      </w:r>
    </w:p>
    <w:p w:rsidR="00004B13" w:rsidRPr="00004B13" w:rsidRDefault="00004B13" w:rsidP="00004B13">
      <w:pPr>
        <w:ind w:left="1440"/>
      </w:pPr>
      <w:r w:rsidRPr="00004B13">
        <w:t xml:space="preserve"> </w:t>
      </w:r>
    </w:p>
    <w:p w:rsidR="00004B13" w:rsidRPr="00004B13" w:rsidRDefault="00004B13" w:rsidP="00004B13">
      <w:pPr>
        <w:ind w:left="1440"/>
      </w:pPr>
      <w:r w:rsidRPr="00004B13">
        <w:rPr>
          <w:szCs w:val="26"/>
        </w:rPr>
        <w:t xml:space="preserve">“Whether personal jurisdiction exists is a question of law, which we review de novo.”  </w:t>
      </w:r>
      <w:r w:rsidRPr="00004B13">
        <w:rPr>
          <w:i/>
        </w:rPr>
        <w:t>Wick v. Wick</w:t>
      </w:r>
      <w:r w:rsidRPr="00004B13">
        <w:t>, 670 N.W.2d 599, 603 (Minn. App. 2003).</w:t>
      </w:r>
    </w:p>
    <w:p w:rsidR="00004B13" w:rsidRPr="00004B13" w:rsidRDefault="00004B13" w:rsidP="00004B13">
      <w:pPr>
        <w:ind w:left="1440"/>
      </w:pPr>
    </w:p>
    <w:p w:rsidR="00004B13" w:rsidRPr="00004B13" w:rsidRDefault="00004B13" w:rsidP="00004B13">
      <w:pPr>
        <w:ind w:left="1440"/>
      </w:pPr>
      <w:r w:rsidRPr="00004B13">
        <w:t xml:space="preserve">“Whether service of process was effective, and personal jurisdiction therefore exists, is a question of law that we review de novo.  But in conducting this review, we must apply the facts as found by the district court unless those factual findings are clearly erroneous.”  </w:t>
      </w:r>
      <w:r w:rsidRPr="00004B13">
        <w:rPr>
          <w:i/>
        </w:rPr>
        <w:t>Shamrock Dev., Inc. v. Smith</w:t>
      </w:r>
      <w:r w:rsidRPr="00004B13">
        <w:t xml:space="preserve">, 754 N.W.2d 377, 382 (Minn. 2008); </w:t>
      </w:r>
      <w:r w:rsidRPr="00004B13">
        <w:rPr>
          <w:i/>
        </w:rPr>
        <w:t>see Rodewald v. Taylor</w:t>
      </w:r>
      <w:r w:rsidRPr="00004B13">
        <w:t xml:space="preserve">, 797 N.W.2d 729, 731 (Minn. App. 2011) (applying </w:t>
      </w:r>
      <w:r w:rsidRPr="00004B13">
        <w:rPr>
          <w:i/>
        </w:rPr>
        <w:t>Shamrock</w:t>
      </w:r>
      <w:r w:rsidRPr="00004B13">
        <w:t xml:space="preserve"> in a family-law case) (citations omitted).</w:t>
      </w:r>
    </w:p>
    <w:p w:rsidR="00004B13" w:rsidRPr="00004B13" w:rsidRDefault="00004B13" w:rsidP="00004B13">
      <w:pPr>
        <w:ind w:left="1440"/>
      </w:pPr>
    </w:p>
    <w:p w:rsidR="00004B13" w:rsidRPr="00004B13" w:rsidRDefault="00004B13" w:rsidP="00004B13">
      <w:pPr>
        <w:ind w:left="1440"/>
      </w:pPr>
      <w:r w:rsidRPr="00004B13">
        <w:t xml:space="preserve">“The parties cannot by their actions or agreement confer jurisdiction on the court, and an appellate court will determine the jurisdictional facts on its own motion even if neither party has raised the issue.”  </w:t>
      </w:r>
      <w:r w:rsidRPr="00004B13">
        <w:rPr>
          <w:i/>
        </w:rPr>
        <w:t>Davidner v. Davidner</w:t>
      </w:r>
      <w:r w:rsidRPr="00004B13">
        <w:t xml:space="preserve">, 304 Minn. 491, 493, 232 N.W.2d 5, 7 (1975); </w:t>
      </w:r>
      <w:r w:rsidRPr="00004B13">
        <w:rPr>
          <w:i/>
        </w:rPr>
        <w:t>see</w:t>
      </w:r>
      <w:r w:rsidRPr="00004B13">
        <w:t xml:space="preserve"> </w:t>
      </w:r>
      <w:r w:rsidRPr="00004B13">
        <w:rPr>
          <w:i/>
        </w:rPr>
        <w:t>Ferraro v. Ferraro</w:t>
      </w:r>
      <w:r w:rsidRPr="00004B13">
        <w:t xml:space="preserve">, 364 N.W.2d 821, 822 (Minn. App. 1985) (applying </w:t>
      </w:r>
      <w:r w:rsidRPr="00004B13">
        <w:rPr>
          <w:i/>
        </w:rPr>
        <w:t>Davidner</w:t>
      </w:r>
      <w:r w:rsidRPr="00004B13">
        <w:t xml:space="preserve">). </w:t>
      </w:r>
    </w:p>
    <w:p w:rsidR="00004B13" w:rsidRPr="00004B13" w:rsidRDefault="00004B13" w:rsidP="00004B13">
      <w:pPr>
        <w:ind w:left="1440"/>
      </w:pPr>
    </w:p>
    <w:p w:rsidR="00004B13" w:rsidRPr="00004B13" w:rsidRDefault="00004B13" w:rsidP="00004B13">
      <w:pPr>
        <w:ind w:left="1440"/>
      </w:pPr>
      <w:r w:rsidRPr="00004B13">
        <w:t xml:space="preserve">This court reviews legal issues concerning jurisdiction de novo.  </w:t>
      </w:r>
      <w:r w:rsidRPr="00004B13">
        <w:rPr>
          <w:i/>
        </w:rPr>
        <w:t>McLain v. McLain</w:t>
      </w:r>
      <w:r w:rsidRPr="00004B13">
        <w:t xml:space="preserve">, 569 N.W.2d 219, 222 (Minn. App. 1997), </w:t>
      </w:r>
      <w:r w:rsidRPr="00004B13">
        <w:rPr>
          <w:i/>
        </w:rPr>
        <w:t>review denied</w:t>
      </w:r>
      <w:r w:rsidRPr="00004B13">
        <w:t xml:space="preserve"> (Minn.  Nov. 18, 1997); </w:t>
      </w:r>
      <w:r w:rsidRPr="00004B13">
        <w:rPr>
          <w:i/>
        </w:rPr>
        <w:t>cf. In re Welfare of Children of L.L.P.</w:t>
      </w:r>
      <w:r w:rsidRPr="00004B13">
        <w:t>, 836 N.W.2d 563, 567 (Minn. App. 2013) (making this statement in the context of addressing whether an appeal should be dismissed for lack of jurisdiction because the ruling from which the appeal was taken was not appealable).</w:t>
      </w:r>
    </w:p>
    <w:p w:rsidR="00004B13" w:rsidRPr="00004B13" w:rsidRDefault="00004B13" w:rsidP="00004B13">
      <w:pPr>
        <w:ind w:left="1440"/>
      </w:pPr>
    </w:p>
    <w:p w:rsidR="00004B13" w:rsidRPr="00004B13" w:rsidRDefault="00004B13" w:rsidP="00004B13">
      <w:pPr>
        <w:ind w:left="1440"/>
        <w:rPr>
          <w:szCs w:val="26"/>
        </w:rPr>
      </w:pPr>
      <w:r w:rsidRPr="00004B13">
        <w:rPr>
          <w:szCs w:val="26"/>
        </w:rPr>
        <w:lastRenderedPageBreak/>
        <w:t xml:space="preserve">In the context of the Uniform Interstate Family Support Act, “we review de novo whether the Minnesota tribunal retains continuing, exclusive jurisdiction to modify its prior child-support order.”  </w:t>
      </w:r>
      <w:r w:rsidRPr="00004B13">
        <w:rPr>
          <w:i/>
          <w:szCs w:val="26"/>
        </w:rPr>
        <w:t>Wareham v. Wareham</w:t>
      </w:r>
      <w:r w:rsidRPr="00004B13">
        <w:rPr>
          <w:szCs w:val="26"/>
        </w:rPr>
        <w:t>, 791 N.W.2d 562, 564 (Minn. App. 2010).</w:t>
      </w:r>
    </w:p>
    <w:p w:rsidR="00004B13" w:rsidRPr="00004B13" w:rsidRDefault="00004B13" w:rsidP="00004B13">
      <w:pPr>
        <w:ind w:left="1440"/>
      </w:pPr>
    </w:p>
    <w:p w:rsidR="00004B13" w:rsidRPr="00004B13" w:rsidRDefault="00004B13" w:rsidP="00004B13">
      <w:pPr>
        <w:ind w:left="1440"/>
      </w:pPr>
      <w:r w:rsidRPr="00004B13">
        <w:t xml:space="preserve">“Application of the Uniform Child Custody Jurisdiction Act (UCCJEA) involves questions of subject matter jurisdiction.”  </w:t>
      </w:r>
      <w:r w:rsidRPr="00004B13">
        <w:rPr>
          <w:i/>
        </w:rPr>
        <w:t>Schroeder v. Schroeder</w:t>
      </w:r>
      <w:r w:rsidRPr="00004B13">
        <w:t xml:space="preserve">, 658 N.W.2d 909, 911 (Minn. App. 2003).  </w:t>
      </w:r>
    </w:p>
    <w:p w:rsidR="00004B13" w:rsidRPr="00004B13" w:rsidRDefault="00004B13" w:rsidP="00004B13">
      <w:pPr>
        <w:ind w:left="1440"/>
      </w:pPr>
    </w:p>
    <w:p w:rsidR="00004B13" w:rsidRPr="00004B13" w:rsidRDefault="00004B13" w:rsidP="00004B13">
      <w:pPr>
        <w:ind w:left="1440"/>
      </w:pPr>
      <w:r w:rsidRPr="00004B13">
        <w:t xml:space="preserve">“[A] finding of proper domicile to confer jurisdiction for commencement of a divorce action will not be reversed unless it is palpably contrary to the evidence.” </w:t>
      </w:r>
      <w:r w:rsidRPr="00004B13">
        <w:rPr>
          <w:i/>
        </w:rPr>
        <w:t>Davidner v. Davidner</w:t>
      </w:r>
      <w:r w:rsidRPr="00004B13">
        <w:t>, 304 Minn. 491, 493, 232 N.W.2d 5, 7 (1975).</w:t>
      </w:r>
    </w:p>
    <w:p w:rsidR="003A397A" w:rsidRPr="00CA4465" w:rsidRDefault="003A397A" w:rsidP="00300AEE">
      <w:pPr>
        <w:pStyle w:val="Heading4"/>
      </w:pPr>
      <w:bookmarkStart w:id="217" w:name="_Toc395604527"/>
      <w:r w:rsidRPr="00CA4465">
        <w:t>b.</w:t>
      </w:r>
      <w:r w:rsidRPr="00CA4465">
        <w:tab/>
        <w:t>Venue</w:t>
      </w:r>
      <w:bookmarkEnd w:id="216"/>
      <w:bookmarkEnd w:id="217"/>
    </w:p>
    <w:p w:rsidR="00004B13" w:rsidRPr="00004B13" w:rsidRDefault="00004B13" w:rsidP="00004B13">
      <w:pPr>
        <w:ind w:left="1440"/>
      </w:pPr>
      <w:bookmarkStart w:id="218" w:name="_Toc48979577"/>
      <w:r w:rsidRPr="00004B13">
        <w:t xml:space="preserve">“We review a district court’s denial of a motion for a change of venue in a family law case under an abuse-of-discretion standard.”  </w:t>
      </w:r>
      <w:r w:rsidRPr="00004B13">
        <w:rPr>
          <w:i/>
        </w:rPr>
        <w:t>Toughill v. Toughill</w:t>
      </w:r>
      <w:r w:rsidRPr="00004B13">
        <w:t xml:space="preserve">, 609 N.W.2d 634, 642 (Minn. App. 2000); </w:t>
      </w:r>
      <w:r w:rsidRPr="00004B13">
        <w:rPr>
          <w:i/>
        </w:rPr>
        <w:t>see</w:t>
      </w:r>
      <w:r w:rsidRPr="00004B13">
        <w:t xml:space="preserve"> </w:t>
      </w:r>
      <w:r w:rsidRPr="00004B13">
        <w:rPr>
          <w:i/>
        </w:rPr>
        <w:t>Buckheim v. Buckheim</w:t>
      </w:r>
      <w:r w:rsidRPr="00004B13">
        <w:t>, 231 Minn. 333, 338, 43 N.W.2d 113, 116 (1950) (holding that although moving party’s affidavits were sufficient to allow change of venue, district court did not abuse its discretion in denying motion when counter affidavits supported district court’s decision to deny motion).</w:t>
      </w:r>
    </w:p>
    <w:p w:rsidR="00F33A1F" w:rsidRDefault="00F33A1F" w:rsidP="00300AEE">
      <w:pPr>
        <w:pStyle w:val="Heading4"/>
      </w:pPr>
      <w:bookmarkStart w:id="219" w:name="_Toc395604528"/>
      <w:r>
        <w:t>c.</w:t>
      </w:r>
      <w:r>
        <w:tab/>
        <w:t>Standing</w:t>
      </w:r>
      <w:bookmarkEnd w:id="219"/>
    </w:p>
    <w:p w:rsidR="00004B13" w:rsidRPr="00004B13" w:rsidRDefault="00004B13" w:rsidP="00004B13">
      <w:pPr>
        <w:ind w:left="1440"/>
      </w:pPr>
      <w:r w:rsidRPr="00004B13">
        <w:t xml:space="preserve">The existence of standing is reviewed de novo.  </w:t>
      </w:r>
      <w:r w:rsidRPr="00004B13">
        <w:rPr>
          <w:i/>
        </w:rPr>
        <w:t>In re Custody of D.T.R.</w:t>
      </w:r>
      <w:r w:rsidRPr="00004B13">
        <w:t xml:space="preserve">, 796 N.W.2d 509, 512 (Minn. 2011); </w:t>
      </w:r>
      <w:r w:rsidRPr="00004B13">
        <w:rPr>
          <w:i/>
        </w:rPr>
        <w:t>In re Best Interest of M.R.P.-C.</w:t>
      </w:r>
      <w:r w:rsidRPr="00004B13">
        <w:t xml:space="preserve">, 794 N.W.2d 373, 376 (Minn. App. 2011).  </w:t>
      </w:r>
    </w:p>
    <w:p w:rsidR="00004B13" w:rsidRPr="00004B13" w:rsidRDefault="00004B13" w:rsidP="00004B13">
      <w:pPr>
        <w:ind w:left="1440"/>
      </w:pPr>
    </w:p>
    <w:p w:rsidR="00004B13" w:rsidRPr="00004B13" w:rsidRDefault="00004B13" w:rsidP="00004B13">
      <w:pPr>
        <w:ind w:left="1440"/>
      </w:pPr>
      <w:r w:rsidRPr="00004B13">
        <w:t xml:space="preserve">“Minnesota case law also requires that a party have standing before a court can court exercise jurisdiction.”  </w:t>
      </w:r>
      <w:r w:rsidRPr="00004B13">
        <w:rPr>
          <w:i/>
        </w:rPr>
        <w:t>In re Custody of D.T.R.</w:t>
      </w:r>
      <w:r w:rsidRPr="00004B13">
        <w:t>, 796 N.W.2d 509, 512 (Minn. 2011).</w:t>
      </w:r>
    </w:p>
    <w:p w:rsidR="003A397A" w:rsidRPr="000B0D55" w:rsidRDefault="003A397A" w:rsidP="00337FFA">
      <w:pPr>
        <w:pStyle w:val="Heading3"/>
      </w:pPr>
      <w:bookmarkStart w:id="220" w:name="_Toc395604529"/>
      <w:r w:rsidRPr="00CA4465">
        <w:t>2.</w:t>
      </w:r>
      <w:r w:rsidRPr="00CA4465">
        <w:tab/>
        <w:t>Interpretation of Judgment</w:t>
      </w:r>
      <w:bookmarkEnd w:id="218"/>
      <w:r w:rsidR="000B0D55">
        <w:t>s</w:t>
      </w:r>
      <w:bookmarkEnd w:id="220"/>
    </w:p>
    <w:p w:rsidR="00004B13" w:rsidRPr="00004B13" w:rsidRDefault="00004B13" w:rsidP="00004B13">
      <w:pPr>
        <w:ind w:left="720"/>
      </w:pPr>
      <w:bookmarkStart w:id="221" w:name="_Toc48979583"/>
      <w:r w:rsidRPr="00004B13">
        <w:t xml:space="preserve">If a judgment is ambiguous, a district court may construe or clarify it.  </w:t>
      </w:r>
      <w:r w:rsidRPr="00004B13">
        <w:rPr>
          <w:i/>
        </w:rPr>
        <w:t>Stieler v. Stieler</w:t>
      </w:r>
      <w:r w:rsidRPr="00004B13">
        <w:t xml:space="preserve">, 244 Minn. 312, 319, 70 N.W.2d 127, 131 (1955).  Absent ambiguity, however, it is not proper for a district court to interpret a stipulated judgment.  </w:t>
      </w:r>
      <w:r w:rsidRPr="00004B13">
        <w:rPr>
          <w:i/>
        </w:rPr>
        <w:t>See Starr v. Starr</w:t>
      </w:r>
      <w:r w:rsidRPr="00004B13">
        <w:t>, 312 Minn. 561, 562-63, 251 N.W.2d 341, 342 (1977).</w:t>
      </w:r>
    </w:p>
    <w:p w:rsidR="00004B13" w:rsidRPr="00004B13" w:rsidRDefault="00004B13" w:rsidP="00004B13">
      <w:pPr>
        <w:ind w:left="720"/>
      </w:pPr>
    </w:p>
    <w:p w:rsidR="00004B13" w:rsidRPr="00004B13" w:rsidRDefault="00004B13" w:rsidP="00004B13">
      <w:pPr>
        <w:ind w:left="720"/>
      </w:pPr>
      <w:r w:rsidRPr="00004B13">
        <w:t xml:space="preserve">“[I]f language is reasonably subject to more than one interpretation, there is ambiguity.”  </w:t>
      </w:r>
      <w:r w:rsidRPr="00004B13">
        <w:rPr>
          <w:i/>
        </w:rPr>
        <w:t>Halverson v. Halverson</w:t>
      </w:r>
      <w:r w:rsidRPr="00004B13">
        <w:t>, 381 N.W.2d 69, 71 (Minn. App. 1986).</w:t>
      </w:r>
    </w:p>
    <w:p w:rsidR="00004B13" w:rsidRPr="00004B13" w:rsidRDefault="00004B13" w:rsidP="00004B13">
      <w:pPr>
        <w:ind w:left="720"/>
      </w:pPr>
    </w:p>
    <w:p w:rsidR="00004B13" w:rsidRPr="00004B13" w:rsidRDefault="00004B13" w:rsidP="00004B13">
      <w:pPr>
        <w:ind w:left="720"/>
      </w:pPr>
      <w:r w:rsidRPr="00004B13">
        <w:t xml:space="preserve">Stipulated dissolution judgments are treated as binding contracts.  </w:t>
      </w:r>
      <w:r w:rsidRPr="00004B13">
        <w:rPr>
          <w:i/>
        </w:rPr>
        <w:t>Shirk v. Shirk</w:t>
      </w:r>
      <w:r w:rsidRPr="00004B13">
        <w:t xml:space="preserve">, 561 N.W.2d 519, 521 (Minn. 1997); </w:t>
      </w:r>
      <w:r w:rsidRPr="00004B13">
        <w:rPr>
          <w:i/>
        </w:rPr>
        <w:t>Blonigen v. Blonigen</w:t>
      </w:r>
      <w:r w:rsidRPr="00004B13">
        <w:t xml:space="preserve">, 621 N.W.2d 276, 281 (Minn. App. 2001), </w:t>
      </w:r>
      <w:r w:rsidRPr="00004B13">
        <w:rPr>
          <w:i/>
        </w:rPr>
        <w:t>review denied</w:t>
      </w:r>
      <w:r w:rsidRPr="00004B13">
        <w:t xml:space="preserve"> (Minn. Mar. 13, 2001).  “The general rule for the construction of contracts . . . is that where the language employed by the parties is plain and </w:t>
      </w:r>
      <w:r w:rsidRPr="00004B13">
        <w:lastRenderedPageBreak/>
        <w:t xml:space="preserve">unambiguous there is no room for construction.”  </w:t>
      </w:r>
      <w:r w:rsidRPr="00004B13">
        <w:rPr>
          <w:i/>
        </w:rPr>
        <w:t>Starr v. Starr</w:t>
      </w:r>
      <w:r w:rsidRPr="00004B13">
        <w:t xml:space="preserve">, 312 Minn. 561, 562-63, 251 N.W.2d 341, 342 (1977).  </w:t>
      </w:r>
    </w:p>
    <w:p w:rsidR="00004B13" w:rsidRPr="00004B13" w:rsidRDefault="00004B13" w:rsidP="00004B13">
      <w:pPr>
        <w:ind w:left="720"/>
      </w:pPr>
    </w:p>
    <w:p w:rsidR="00004B13" w:rsidRPr="00004B13" w:rsidRDefault="00004B13" w:rsidP="00004B13">
      <w:pPr>
        <w:ind w:left="720"/>
      </w:pPr>
      <w:r w:rsidRPr="00004B13">
        <w:t xml:space="preserve">“Whether a dissolution judgment is ambiguous is a legal question.  If a judgment is ambiguous, a district court may construe or clarify it.  The meaning of an ambiguous judgment provision is a fact question, which we review for clear error.  Notably, a district court’s construction of its own ruling is given great weight on appeal.”  </w:t>
      </w:r>
      <w:r w:rsidRPr="00004B13">
        <w:rPr>
          <w:i/>
        </w:rPr>
        <w:t>Tarlan v. Sorensen</w:t>
      </w:r>
      <w:r w:rsidRPr="00004B13">
        <w:t>, 702 N.W.2d 915, 919 (Minn. App. 2005) (citations omitted).</w:t>
      </w:r>
    </w:p>
    <w:p w:rsidR="003A397A" w:rsidRPr="000B0D55" w:rsidRDefault="003A397A" w:rsidP="00337FFA">
      <w:pPr>
        <w:pStyle w:val="Heading3"/>
      </w:pPr>
      <w:bookmarkStart w:id="222" w:name="_Toc395604530"/>
      <w:r w:rsidRPr="00CA4465">
        <w:t>3.</w:t>
      </w:r>
      <w:r w:rsidRPr="00CA4465">
        <w:tab/>
        <w:t>Findings</w:t>
      </w:r>
      <w:bookmarkEnd w:id="221"/>
      <w:r w:rsidRPr="00CA4465">
        <w:t xml:space="preserve"> of Fac</w:t>
      </w:r>
      <w:r w:rsidR="000B0D55">
        <w:t>t</w:t>
      </w:r>
      <w:bookmarkEnd w:id="222"/>
    </w:p>
    <w:p w:rsidR="003A397A" w:rsidRPr="000B0D55" w:rsidRDefault="003A397A" w:rsidP="00300AEE">
      <w:pPr>
        <w:pStyle w:val="Heading4"/>
      </w:pPr>
      <w:bookmarkStart w:id="223" w:name="_Toc395604531"/>
      <w:r w:rsidRPr="00CA4465">
        <w:t>a.</w:t>
      </w:r>
      <w:r w:rsidR="0007637A" w:rsidRPr="00CA4465">
        <w:tab/>
      </w:r>
      <w:r w:rsidRPr="00CA4465">
        <w:t>Generally</w:t>
      </w:r>
      <w:bookmarkEnd w:id="223"/>
    </w:p>
    <w:p w:rsidR="00004B13" w:rsidRPr="00004B13" w:rsidRDefault="00004B13" w:rsidP="00004B13">
      <w:pPr>
        <w:ind w:left="1440"/>
      </w:pPr>
      <w:r w:rsidRPr="00004B13">
        <w:t xml:space="preserve">“Appellate [courts] set aside a district court’s findings of fact only if clearly erroneous, giving deference to the district court’s opportunity to evaluate witness credibility.  Findings of fact are clearly erroneous where an appellate court is left with the definite and firm conviction that a mistake has been made.”  </w:t>
      </w:r>
      <w:r w:rsidRPr="00004B13">
        <w:rPr>
          <w:i/>
        </w:rPr>
        <w:t>Goldman v. Greenwood</w:t>
      </w:r>
      <w:r w:rsidRPr="00004B13">
        <w:t>, 748 N.W.2d 279, 284 (Minn. 2008) (quotations and citations omitted).</w:t>
      </w:r>
    </w:p>
    <w:p w:rsidR="00004B13" w:rsidRPr="00004B13" w:rsidRDefault="00004B13" w:rsidP="00004B13">
      <w:pPr>
        <w:ind w:left="1440"/>
      </w:pPr>
    </w:p>
    <w:p w:rsidR="00004B13" w:rsidRPr="00004B13" w:rsidRDefault="00004B13" w:rsidP="00004B13">
      <w:pPr>
        <w:ind w:left="1440"/>
      </w:pPr>
      <w:r w:rsidRPr="00004B13">
        <w:t xml:space="preserve">“When determining whether findings are clearly erroneous, the appellate court views the record in the light most favorable to the [district] court’s findings.”  </w:t>
      </w:r>
      <w:r w:rsidRPr="00004B13">
        <w:rPr>
          <w:i/>
        </w:rPr>
        <w:t>Vangsness v. Vangsness</w:t>
      </w:r>
      <w:r w:rsidRPr="00004B13">
        <w:t>, 607 N.W.2d 468, 472 (Minn. App. 2000).</w:t>
      </w:r>
    </w:p>
    <w:p w:rsidR="00004B13" w:rsidRPr="00004B13" w:rsidRDefault="00004B13" w:rsidP="00004B13">
      <w:pPr>
        <w:ind w:left="1440"/>
      </w:pPr>
    </w:p>
    <w:p w:rsidR="00004B13" w:rsidRPr="00004B13" w:rsidRDefault="00004B13" w:rsidP="00004B13">
      <w:pPr>
        <w:ind w:left="1440"/>
        <w:rPr>
          <w:i/>
        </w:rPr>
      </w:pPr>
      <w:r w:rsidRPr="00004B13">
        <w:t xml:space="preserve">“That the record might support findings other than those made by the [district] court does not show that the court’s findings are defective.”  </w:t>
      </w:r>
      <w:r w:rsidRPr="00004B13">
        <w:rPr>
          <w:i/>
        </w:rPr>
        <w:t>Vangsness v. Vangsness</w:t>
      </w:r>
      <w:r w:rsidRPr="00004B13">
        <w:t xml:space="preserve">, 607 N.W.2d 468, 474 (Minn. App. 2000).  In order to successfully challenge a district court’s findings of fact, “the party challenging the findings must show that despite viewing that evidence in the light most favorable to the [district] court’s findings . . . , the record still requires the definite and firm conviction that a mistake was made.”  </w:t>
      </w:r>
      <w:r w:rsidRPr="00004B13">
        <w:rPr>
          <w:i/>
        </w:rPr>
        <w:t>Id.</w:t>
      </w:r>
    </w:p>
    <w:p w:rsidR="00004B13" w:rsidRPr="00004B13" w:rsidRDefault="00004B13" w:rsidP="00004B13">
      <w:pPr>
        <w:ind w:left="1440"/>
        <w:rPr>
          <w:i/>
        </w:rPr>
      </w:pPr>
    </w:p>
    <w:p w:rsidR="00004B13" w:rsidRPr="00004B13" w:rsidRDefault="00004B13" w:rsidP="00004B13">
      <w:pPr>
        <w:ind w:left="1440"/>
      </w:pPr>
      <w:r w:rsidRPr="00004B13">
        <w:t xml:space="preserve">Appellate courts “do not disturb findings of fact based on “conflicting evidence” unless the findings are “manifestly and palpably contrary to the evidence as a whole.”  </w:t>
      </w:r>
      <w:r w:rsidRPr="00004B13">
        <w:rPr>
          <w:i/>
        </w:rPr>
        <w:t>In re S.G.</w:t>
      </w:r>
      <w:r w:rsidRPr="00004B13">
        <w:t>, 828 N.W.2d 118, 127 (Minn. 2013) (quotation omitted).</w:t>
      </w:r>
    </w:p>
    <w:p w:rsidR="00004B13" w:rsidRPr="00004B13" w:rsidRDefault="00004B13" w:rsidP="00004B13">
      <w:pPr>
        <w:ind w:left="1440"/>
      </w:pPr>
    </w:p>
    <w:p w:rsidR="00004B13" w:rsidRPr="00004B13" w:rsidRDefault="00004B13" w:rsidP="00004B13">
      <w:pPr>
        <w:ind w:left="1440"/>
        <w:rPr>
          <w:szCs w:val="26"/>
        </w:rPr>
      </w:pPr>
      <w:r w:rsidRPr="00004B13">
        <w:rPr>
          <w:szCs w:val="26"/>
        </w:rPr>
        <w:t xml:space="preserve">Appellate courts defer to district court credibility determinations.  </w:t>
      </w:r>
      <w:r w:rsidRPr="00004B13">
        <w:rPr>
          <w:i/>
          <w:szCs w:val="26"/>
        </w:rPr>
        <w:t>Sefkow v. Sefkow</w:t>
      </w:r>
      <w:r w:rsidRPr="00004B13">
        <w:rPr>
          <w:szCs w:val="26"/>
        </w:rPr>
        <w:t xml:space="preserve">, 427 N.W.2d 203, 210 (Minn. 1988); </w:t>
      </w:r>
      <w:r w:rsidRPr="00004B13">
        <w:rPr>
          <w:i/>
          <w:szCs w:val="26"/>
        </w:rPr>
        <w:t>see</w:t>
      </w:r>
      <w:r w:rsidRPr="00004B13">
        <w:rPr>
          <w:szCs w:val="26"/>
        </w:rPr>
        <w:t xml:space="preserve"> </w:t>
      </w:r>
      <w:r w:rsidRPr="00004B13">
        <w:rPr>
          <w:i/>
          <w:szCs w:val="26"/>
        </w:rPr>
        <w:t>Gada v. Dedefo</w:t>
      </w:r>
      <w:r w:rsidRPr="00004B13">
        <w:rPr>
          <w:szCs w:val="26"/>
        </w:rPr>
        <w:t>, 684 N.W.2d 512, 514 (Minn. App. 2004) (stating that, on appeal, appellate courts “neither reconcile conflicting evidence nor decide issues of witness credibility, which are exclusively the province of the factfinder”).</w:t>
      </w:r>
    </w:p>
    <w:p w:rsidR="00004B13" w:rsidRPr="00004B13" w:rsidRDefault="00004B13" w:rsidP="00004B13">
      <w:pPr>
        <w:ind w:left="1440"/>
      </w:pPr>
    </w:p>
    <w:p w:rsidR="00004B13" w:rsidRPr="00004B13" w:rsidRDefault="00004B13" w:rsidP="00004B13">
      <w:pPr>
        <w:ind w:left="1440"/>
      </w:pPr>
      <w:r w:rsidRPr="00004B13">
        <w:t xml:space="preserve">“When evidence relevant to a factual issue consists of conflicting testimony, the district court’s decision is necessarily based on a determination of witness credibility, which we accord great deference on appeal.”  </w:t>
      </w:r>
      <w:r w:rsidRPr="00004B13">
        <w:rPr>
          <w:i/>
        </w:rPr>
        <w:t>Alam v. Chowdhury</w:t>
      </w:r>
      <w:r w:rsidRPr="00004B13">
        <w:t>, 764 N.W.2d 86, 89 (Minn. App. 2009).</w:t>
      </w:r>
    </w:p>
    <w:p w:rsidR="00004B13" w:rsidRPr="00004B13" w:rsidRDefault="00004B13" w:rsidP="00004B13">
      <w:pPr>
        <w:ind w:left="1440"/>
      </w:pPr>
    </w:p>
    <w:p w:rsidR="00004B13" w:rsidRPr="00004B13" w:rsidRDefault="00004B13" w:rsidP="00004B13">
      <w:pPr>
        <w:ind w:left="1440"/>
      </w:pPr>
      <w:r w:rsidRPr="00004B13">
        <w:lastRenderedPageBreak/>
        <w:t xml:space="preserve">A district court’s recitation of the parties’ assertions “is not making true findings” because findings “must be affirmatively stated as findings of the [district] court.”  </w:t>
      </w:r>
      <w:r w:rsidRPr="00004B13">
        <w:rPr>
          <w:i/>
        </w:rPr>
        <w:t>Dean v. Pelton</w:t>
      </w:r>
      <w:r w:rsidRPr="00004B13">
        <w:t xml:space="preserve">, 437 N.W.2d 762, 764 (Minn. App. 1989).  </w:t>
      </w:r>
    </w:p>
    <w:p w:rsidR="00004B13" w:rsidRPr="00004B13" w:rsidRDefault="00004B13" w:rsidP="00004B13">
      <w:pPr>
        <w:ind w:left="1440"/>
      </w:pPr>
    </w:p>
    <w:p w:rsidR="00004B13" w:rsidRPr="00004B13" w:rsidRDefault="00004B13" w:rsidP="00004B13">
      <w:pPr>
        <w:ind w:left="1440"/>
      </w:pPr>
      <w:r w:rsidRPr="00004B13">
        <w:t xml:space="preserve">“‘[A] fact found by the court, although expressed as a conclusion of law, will be treated upon appeal as a finding of fact.’”  </w:t>
      </w:r>
      <w:r w:rsidRPr="00004B13">
        <w:rPr>
          <w:i/>
        </w:rPr>
        <w:t>Bissell v. Bissell</w:t>
      </w:r>
      <w:r w:rsidRPr="00004B13">
        <w:t xml:space="preserve">, 291 Minn. 348, 351 n.1, 191 N.W.2d 425, 427 n.1 (1971) (quoting </w:t>
      </w:r>
      <w:r w:rsidRPr="00004B13">
        <w:rPr>
          <w:i/>
        </w:rPr>
        <w:t>Graphic Arts Educ. Found., Inc. v. State</w:t>
      </w:r>
      <w:r w:rsidRPr="00004B13">
        <w:t xml:space="preserve">, 240 Minn. 143, 145-46, 59 N.W.2d 841, 844 (1953)); </w:t>
      </w:r>
      <w:r w:rsidRPr="00004B13">
        <w:rPr>
          <w:i/>
        </w:rPr>
        <w:t>see</w:t>
      </w:r>
      <w:r w:rsidRPr="00004B13">
        <w:t xml:space="preserve"> </w:t>
      </w:r>
      <w:r w:rsidRPr="00004B13">
        <w:rPr>
          <w:i/>
        </w:rPr>
        <w:t>Dailey v. Chermak</w:t>
      </w:r>
      <w:r w:rsidRPr="00004B13">
        <w:t xml:space="preserve">, 709 N.W.2d 626, 631 (Minn. App. 2006) (“There is caselaw authority that the mislabeling of a finding of fact as a conclusion of law, or vice versa, is not determinative of the true nature of the item.”) (citing </w:t>
      </w:r>
      <w:r w:rsidRPr="00004B13">
        <w:rPr>
          <w:i/>
        </w:rPr>
        <w:t>Graphic Arts Educ. Found., Inc. v. State</w:t>
      </w:r>
      <w:r w:rsidRPr="00004B13">
        <w:t xml:space="preserve">, 240 Minn. 143, 145-46, 59 N.W.2d 841, 844 (1953)); 2 David F. Herr &amp; Roger S. Haydock, </w:t>
      </w:r>
      <w:r w:rsidRPr="00004B13">
        <w:rPr>
          <w:i/>
        </w:rPr>
        <w:t>Minnesota Practice</w:t>
      </w:r>
      <w:r w:rsidRPr="00004B13">
        <w:t xml:space="preserve"> § 52.5 (2004)), </w:t>
      </w:r>
      <w:r w:rsidRPr="00004B13">
        <w:rPr>
          <w:i/>
        </w:rPr>
        <w:t>review denied</w:t>
      </w:r>
      <w:r w:rsidRPr="00004B13">
        <w:t xml:space="preserve"> (Minn. May 16, 2006).</w:t>
      </w:r>
    </w:p>
    <w:p w:rsidR="00004B13" w:rsidRPr="00004B13" w:rsidRDefault="00004B13" w:rsidP="00004B13">
      <w:pPr>
        <w:ind w:left="1440"/>
      </w:pPr>
    </w:p>
    <w:p w:rsidR="00004B13" w:rsidRPr="00004B13" w:rsidRDefault="00004B13" w:rsidP="00004B13">
      <w:pPr>
        <w:ind w:left="1440"/>
      </w:pPr>
      <w:r w:rsidRPr="00004B13">
        <w:t xml:space="preserve">Generally, the district court’s failure to make findings on relevant statutory factors requires a remand.  </w:t>
      </w:r>
      <w:r w:rsidRPr="00004B13">
        <w:rPr>
          <w:i/>
        </w:rPr>
        <w:t>Stich v. Stich</w:t>
      </w:r>
      <w:r w:rsidRPr="00004B13">
        <w:t xml:space="preserve">, 435 N.W.2d 52, 53 (Minn. 1989) (remanding maintenance question because findings were inadequate to allow review).  </w:t>
      </w:r>
      <w:r w:rsidRPr="00004B13">
        <w:rPr>
          <w:i/>
        </w:rPr>
        <w:t>But see In re Welfare of M.M.</w:t>
      </w:r>
      <w:r w:rsidRPr="00004B13">
        <w:t xml:space="preserve">, 452 N.W.2d 236, 239 (Minn. 1990) (allowing independent review of record under extraordinary circumstances); </w:t>
      </w:r>
      <w:r w:rsidRPr="00004B13">
        <w:rPr>
          <w:i/>
        </w:rPr>
        <w:t>Grein v. Grein</w:t>
      </w:r>
      <w:r w:rsidRPr="00004B13">
        <w:t>, 364 N.W.2d 383, 387 (Minn. 1985) (declining to remand and affirming the district court in a child custody case where the district court failed to make adequate findings of fact, but “from reading the files, the record, and the court’s findings, on remand the [district] court would undoubtedly make findings that comport with the statutory language” and reach the same result).</w:t>
      </w:r>
    </w:p>
    <w:p w:rsidR="003A397A" w:rsidRPr="000B0D55" w:rsidRDefault="003A397A" w:rsidP="00300AEE">
      <w:pPr>
        <w:pStyle w:val="Heading4"/>
      </w:pPr>
      <w:bookmarkStart w:id="224" w:name="_Toc395604532"/>
      <w:r w:rsidRPr="00CA4465">
        <w:t>b.</w:t>
      </w:r>
      <w:r w:rsidR="0007637A" w:rsidRPr="00CA4465">
        <w:tab/>
      </w:r>
      <w:r w:rsidRPr="00CA4465">
        <w:t xml:space="preserve"> Stipulations</w:t>
      </w:r>
      <w:bookmarkEnd w:id="224"/>
    </w:p>
    <w:p w:rsidR="00004B13" w:rsidRPr="00004B13" w:rsidRDefault="00004B13" w:rsidP="00004B13">
      <w:pPr>
        <w:ind w:left="1440"/>
      </w:pPr>
      <w:bookmarkStart w:id="225" w:name="_Toc48979584"/>
      <w:r w:rsidRPr="00004B13">
        <w:t xml:space="preserve">“Whether there is a substantial change in circumstances rendering an existing support obligation unreasonable and unfair generally requires comparing the parties’ circumstances at the time support was last set or modified to their circumstances at the time of the motion to modify.  Unless a support order provides a baseline for future modification motions by reciting the parties’ then-existing circumstances, the litigation of a later motion to modify that order becomes unnecessarily complicated because it requires the parties to litigate not only their circumstances at the time of the motion, but also their circumstances at the time of the order sought to be modified.”  </w:t>
      </w:r>
      <w:r w:rsidRPr="00004B13">
        <w:rPr>
          <w:i/>
        </w:rPr>
        <w:t>Maschoff v. Leiding</w:t>
      </w:r>
      <w:r w:rsidRPr="00004B13">
        <w:t xml:space="preserve">, 696 N.W.2d 834, 840 (Minn. App. 2005) (citations omitted); </w:t>
      </w:r>
      <w:r w:rsidRPr="00004B13">
        <w:rPr>
          <w:i/>
        </w:rPr>
        <w:t>see</w:t>
      </w:r>
      <w:r w:rsidRPr="00004B13">
        <w:t xml:space="preserve"> </w:t>
      </w:r>
      <w:r w:rsidRPr="00004B13">
        <w:rPr>
          <w:i/>
        </w:rPr>
        <w:t>Hecker v. Hecker</w:t>
      </w:r>
      <w:r w:rsidRPr="00004B13">
        <w:t>, 568 N.W.2d 705, 709 (Minn. 1997) (noting in context of motion to modify stipulated maintenance award that stipulation identifies “baseline circumstances” against which claims of changed circumstances are evaluated).</w:t>
      </w:r>
    </w:p>
    <w:p w:rsidR="003A397A" w:rsidRPr="000B0D55" w:rsidRDefault="003A397A" w:rsidP="00337FFA">
      <w:pPr>
        <w:pStyle w:val="Heading3"/>
      </w:pPr>
      <w:bookmarkStart w:id="226" w:name="_Toc395604533"/>
      <w:r w:rsidRPr="00CA4465">
        <w:t>4.</w:t>
      </w:r>
      <w:r w:rsidRPr="00CA4465">
        <w:tab/>
        <w:t>Reopening of Judgment</w:t>
      </w:r>
      <w:bookmarkEnd w:id="225"/>
      <w:bookmarkEnd w:id="226"/>
    </w:p>
    <w:p w:rsidR="00004B13" w:rsidRPr="00004B13" w:rsidRDefault="00004B13" w:rsidP="00004B13">
      <w:pPr>
        <w:ind w:left="720"/>
      </w:pPr>
      <w:r w:rsidRPr="00004B13">
        <w:t>Whether to reopen a dissolution judgment under Minn</w:t>
      </w:r>
      <w:r w:rsidR="00DA2DDB">
        <w:t>. Stat. § 518.145, subd. 2 (2012</w:t>
      </w:r>
      <w:r w:rsidRPr="00004B13">
        <w:t xml:space="preserve">), is discretionary with the district court.  </w:t>
      </w:r>
      <w:r w:rsidRPr="00004B13">
        <w:rPr>
          <w:i/>
        </w:rPr>
        <w:t>See Kornberg v. Kornberg</w:t>
      </w:r>
      <w:r w:rsidRPr="00004B13">
        <w:t xml:space="preserve">, 542 N.W.2d 379, 386 (Minn. 1996) (reviewing refusal to reopen for abuse of discretion); </w:t>
      </w:r>
      <w:r w:rsidRPr="00004B13">
        <w:rPr>
          <w:i/>
        </w:rPr>
        <w:t>Clark v. Clark</w:t>
      </w:r>
      <w:r w:rsidRPr="00004B13">
        <w:t xml:space="preserve">, 642 </w:t>
      </w:r>
      <w:r w:rsidRPr="00004B13">
        <w:lastRenderedPageBreak/>
        <w:t xml:space="preserve">N.W.2d 459, 465 (Minn. App. 2002) (reciting general rule); </w:t>
      </w:r>
      <w:r w:rsidRPr="00004B13">
        <w:rPr>
          <w:i/>
        </w:rPr>
        <w:t>Haefele v. Haefele</w:t>
      </w:r>
      <w:r w:rsidRPr="00004B13">
        <w:t xml:space="preserve">, 621 N.W.2d 758, 761 (Minn. App. 2001) (reviewing decision to reopen judgment for abuse of discretion), </w:t>
      </w:r>
      <w:r w:rsidRPr="00004B13">
        <w:rPr>
          <w:i/>
        </w:rPr>
        <w:t>review denied</w:t>
      </w:r>
      <w:r w:rsidRPr="00004B13">
        <w:t xml:space="preserve"> (Minn. Feb. 21, 2001).</w:t>
      </w:r>
    </w:p>
    <w:p w:rsidR="00004B13" w:rsidRPr="00004B13" w:rsidRDefault="00004B13" w:rsidP="00004B13">
      <w:pPr>
        <w:ind w:left="720"/>
      </w:pPr>
    </w:p>
    <w:p w:rsidR="00004B13" w:rsidRPr="00004B13" w:rsidRDefault="00004B13" w:rsidP="00004B13">
      <w:pPr>
        <w:ind w:left="720"/>
      </w:pPr>
      <w:r w:rsidRPr="00004B13">
        <w:t xml:space="preserve">The district court’s decision regarding whether to reopen a judgment will be upheld unless the district court abused its discretion; and the district court’s findings as to whether the judgment was prompted by mistake, duress, or fraud will not be set aside unless they are clearly erroneous.  </w:t>
      </w:r>
      <w:r w:rsidRPr="00004B13">
        <w:rPr>
          <w:i/>
        </w:rPr>
        <w:t>Hestekin v. Hestekin</w:t>
      </w:r>
      <w:r w:rsidRPr="00004B13">
        <w:t>, 587 N.W.2d 308, 310 (Minn. App. 1998).</w:t>
      </w:r>
    </w:p>
    <w:p w:rsidR="00004B13" w:rsidRPr="00004B13" w:rsidRDefault="00004B13" w:rsidP="00004B13">
      <w:pPr>
        <w:ind w:left="720"/>
      </w:pPr>
    </w:p>
    <w:p w:rsidR="00004B13" w:rsidRPr="00004B13" w:rsidRDefault="00004B13" w:rsidP="00004B13">
      <w:pPr>
        <w:ind w:left="720"/>
      </w:pPr>
      <w:r w:rsidRPr="00004B13">
        <w:t xml:space="preserve">“A district court’s decision to reopen the judgment and decree based on fraud on the court will be sustained absent an abuse of discretion.  If there is evidence to support the district court’s decision, an abuse of discretion will not be found.”  </w:t>
      </w:r>
      <w:r w:rsidRPr="00004B13">
        <w:rPr>
          <w:i/>
        </w:rPr>
        <w:t>Alam v. Chowdhury</w:t>
      </w:r>
      <w:r w:rsidRPr="00004B13">
        <w:t xml:space="preserve">, 764 N.W.2d 86, 89 (Minn. App. 2009) (citations omitted).  </w:t>
      </w:r>
    </w:p>
    <w:p w:rsidR="00004B13" w:rsidRPr="00004B13" w:rsidRDefault="00004B13" w:rsidP="00004B13">
      <w:pPr>
        <w:ind w:left="720"/>
      </w:pPr>
    </w:p>
    <w:p w:rsidR="00004B13" w:rsidRPr="00004B13" w:rsidRDefault="00004B13" w:rsidP="00004B13">
      <w:pPr>
        <w:ind w:left="720"/>
      </w:pPr>
      <w:r w:rsidRPr="00004B13">
        <w:t xml:space="preserve">The standard for reviewing whether a moving party made a prima facie case that a dissolution judgment was based on fraud and that there should be an evidentiary hearing to address whether to reopen the judgment is analogous to the review of a grant of summary judgment.  </w:t>
      </w:r>
      <w:r w:rsidRPr="00004B13">
        <w:rPr>
          <w:i/>
        </w:rPr>
        <w:t>See Doering v. Doering</w:t>
      </w:r>
      <w:r w:rsidRPr="00004B13">
        <w:t xml:space="preserve">, 629 N.W.2d 124, 128-32 (Minn. App. 2001), </w:t>
      </w:r>
      <w:r w:rsidRPr="00004B13">
        <w:rPr>
          <w:i/>
        </w:rPr>
        <w:t>review denied</w:t>
      </w:r>
      <w:r w:rsidRPr="00004B13">
        <w:t xml:space="preserve"> (Minn. Sept. 11, 2001); </w:t>
      </w:r>
      <w:r w:rsidRPr="00004B13">
        <w:rPr>
          <w:i/>
        </w:rPr>
        <w:t>see</w:t>
      </w:r>
      <w:r w:rsidRPr="00004B13">
        <w:t xml:space="preserve"> </w:t>
      </w:r>
      <w:r w:rsidRPr="00004B13">
        <w:rPr>
          <w:i/>
        </w:rPr>
        <w:t>Thompson v. Thompson</w:t>
      </w:r>
      <w:r w:rsidRPr="00004B13">
        <w:t xml:space="preserve">, 739 N.W.2d 424, 429-30 (Minn. App. 2007) (stating, in context of reviewing whether district court should have granted an evidentiary hearing on motion to reopen dissolution judgment because it was no longer equitable to enforce judgment, that “[w]hether to hold an evidentiary hearing on a motion generally is a discretionary decision of the district court, which we review for an abuse of discretion”).  </w:t>
      </w:r>
    </w:p>
    <w:p w:rsidR="007A3B8F" w:rsidRPr="00CA4465" w:rsidRDefault="007A3B8F" w:rsidP="00337FFA">
      <w:pPr>
        <w:pStyle w:val="Heading3"/>
      </w:pPr>
      <w:bookmarkStart w:id="227" w:name="_Toc395604534"/>
      <w:r w:rsidRPr="00CA4465">
        <w:t>5.</w:t>
      </w:r>
      <w:r w:rsidRPr="00CA4465">
        <w:tab/>
        <w:t>Abuse of Discretion</w:t>
      </w:r>
      <w:bookmarkEnd w:id="227"/>
    </w:p>
    <w:p w:rsidR="00004B13" w:rsidRPr="00004B13" w:rsidRDefault="00004B13" w:rsidP="00004B13">
      <w:pPr>
        <w:ind w:left="720"/>
        <w:rPr>
          <w:szCs w:val="26"/>
        </w:rPr>
      </w:pPr>
      <w:bookmarkStart w:id="228" w:name="_Toc48979585"/>
      <w:r w:rsidRPr="00004B13">
        <w:rPr>
          <w:szCs w:val="26"/>
        </w:rPr>
        <w:t xml:space="preserve">“Among other ways, a district court abuses its discretion if it acts against logic and the facts on record, or if it enters fact findings that are unsupported by the record, or if it misapplies the law.”  </w:t>
      </w:r>
      <w:r w:rsidRPr="00004B13">
        <w:rPr>
          <w:i/>
          <w:szCs w:val="26"/>
        </w:rPr>
        <w:t>In re Adoption of T.A.M.</w:t>
      </w:r>
      <w:r w:rsidRPr="00004B13">
        <w:rPr>
          <w:szCs w:val="26"/>
        </w:rPr>
        <w:t>, 791 N.W.2d 573, 578 (Minn. App. 2010) (internal quotation marks and citations omitted).</w:t>
      </w:r>
    </w:p>
    <w:p w:rsidR="00004B13" w:rsidRPr="00004B13" w:rsidRDefault="00004B13" w:rsidP="00004B13">
      <w:pPr>
        <w:ind w:left="720"/>
      </w:pPr>
    </w:p>
    <w:p w:rsidR="00004B13" w:rsidRPr="00004B13" w:rsidRDefault="00004B13" w:rsidP="00004B13">
      <w:pPr>
        <w:ind w:left="720"/>
      </w:pPr>
      <w:r w:rsidRPr="00004B13">
        <w:t xml:space="preserve">“A district court abuses its discretion when it makes findings unsupported by the evidence or when it improperly applies the law.”  </w:t>
      </w:r>
      <w:r w:rsidRPr="00004B13">
        <w:rPr>
          <w:i/>
        </w:rPr>
        <w:t>Hemmingsen v. Hemmingsen</w:t>
      </w:r>
      <w:r w:rsidRPr="00004B13">
        <w:t xml:space="preserve">, 767 N.W.2d 711, 716 (Minn. App. 2009), </w:t>
      </w:r>
      <w:r w:rsidRPr="00004B13">
        <w:rPr>
          <w:i/>
        </w:rPr>
        <w:t>review granted</w:t>
      </w:r>
      <w:r w:rsidRPr="00004B13">
        <w:t xml:space="preserve"> (Minn. Sept. 29, 2009), </w:t>
      </w:r>
      <w:r w:rsidRPr="00004B13">
        <w:rPr>
          <w:i/>
        </w:rPr>
        <w:t>appeal dismissed</w:t>
      </w:r>
      <w:r w:rsidRPr="00004B13">
        <w:t xml:space="preserve"> (Minn. Feb. 1, 2010); </w:t>
      </w:r>
      <w:r w:rsidRPr="00004B13">
        <w:rPr>
          <w:i/>
        </w:rPr>
        <w:t>see</w:t>
      </w:r>
      <w:r w:rsidRPr="00004B13">
        <w:t xml:space="preserve"> </w:t>
      </w:r>
      <w:r w:rsidRPr="00004B13">
        <w:rPr>
          <w:i/>
          <w:iCs/>
        </w:rPr>
        <w:t>Dobrin v. Dobrin</w:t>
      </w:r>
      <w:r w:rsidRPr="00004B13">
        <w:t>, 569 N.W.2d 199, 202 &amp; n.3 (Minn. 1997).</w:t>
      </w:r>
    </w:p>
    <w:p w:rsidR="00004B13" w:rsidRPr="00004B13" w:rsidRDefault="00004B13" w:rsidP="00004B13">
      <w:pPr>
        <w:ind w:left="720"/>
      </w:pPr>
    </w:p>
    <w:p w:rsidR="00004B13" w:rsidRPr="00004B13" w:rsidRDefault="00004B13" w:rsidP="00004B13">
      <w:pPr>
        <w:ind w:left="720"/>
      </w:pPr>
      <w:r w:rsidRPr="00004B13">
        <w:t xml:space="preserve">“An abuse of discretion occurs when the district court resolves the matter in a manner that is ‘against logic and the facts on [the] record.’”  </w:t>
      </w:r>
      <w:r w:rsidRPr="00004B13">
        <w:rPr>
          <w:i/>
        </w:rPr>
        <w:t>O’Donnell v. O’Donnell</w:t>
      </w:r>
      <w:r w:rsidRPr="00004B13">
        <w:t xml:space="preserve">, 678 N.W.2d 471, 474 (Minn. App. 2004) (quoting </w:t>
      </w:r>
      <w:r w:rsidRPr="00004B13">
        <w:rPr>
          <w:i/>
        </w:rPr>
        <w:t>Rutten v. Rutten</w:t>
      </w:r>
      <w:r w:rsidRPr="00004B13">
        <w:t>, 347 N.W.2d 47, 50 (Minn. 1984)).</w:t>
      </w:r>
    </w:p>
    <w:p w:rsidR="00004B13" w:rsidRPr="00004B13" w:rsidRDefault="00004B13" w:rsidP="00004B13">
      <w:pPr>
        <w:ind w:left="720"/>
      </w:pPr>
    </w:p>
    <w:p w:rsidR="00004B13" w:rsidRPr="00004B13" w:rsidRDefault="00004B13" w:rsidP="00004B13">
      <w:pPr>
        <w:ind w:left="720"/>
      </w:pPr>
      <w:r w:rsidRPr="00004B13">
        <w:t xml:space="preserve">“Misapplying the law is an abuse of discretion.”  </w:t>
      </w:r>
      <w:r w:rsidRPr="00004B13">
        <w:rPr>
          <w:i/>
        </w:rPr>
        <w:t>Bauerly v. Bauerly</w:t>
      </w:r>
      <w:r w:rsidRPr="00004B13">
        <w:t xml:space="preserve">, 765 N.W.2d 108, 110 (Minn. App. 2009); </w:t>
      </w:r>
      <w:r w:rsidRPr="00004B13">
        <w:rPr>
          <w:i/>
        </w:rPr>
        <w:t>Schisel v. Schisel</w:t>
      </w:r>
      <w:r w:rsidRPr="00004B13">
        <w:t xml:space="preserve">, 762 N.W.2d 265, 272 (Minn. App. 2009) </w:t>
      </w:r>
      <w:r w:rsidRPr="00004B13">
        <w:lastRenderedPageBreak/>
        <w:t xml:space="preserve">(stating, in the context of a child-support dispute, that “[t]he [district] court abuses its discretion if it erroneously applies the law to the case”). </w:t>
      </w:r>
    </w:p>
    <w:p w:rsidR="003A397A" w:rsidRPr="000B0D55" w:rsidRDefault="003A397A" w:rsidP="00604DD4">
      <w:pPr>
        <w:pStyle w:val="Heading2"/>
      </w:pPr>
      <w:bookmarkStart w:id="229" w:name="_Toc395604535"/>
      <w:r w:rsidRPr="00CA4465">
        <w:t>B.</w:t>
      </w:r>
      <w:r w:rsidRPr="00CA4465">
        <w:tab/>
        <w:t>PROPERTY DIVISION</w:t>
      </w:r>
      <w:bookmarkEnd w:id="228"/>
      <w:bookmarkEnd w:id="229"/>
    </w:p>
    <w:p w:rsidR="003A397A" w:rsidRPr="000B0D55" w:rsidRDefault="003A397A" w:rsidP="00337FFA">
      <w:pPr>
        <w:pStyle w:val="Heading3"/>
      </w:pPr>
      <w:bookmarkStart w:id="230" w:name="_Toc48979586"/>
      <w:bookmarkStart w:id="231" w:name="_Toc395604536"/>
      <w:r w:rsidRPr="00CA4465">
        <w:t>1.</w:t>
      </w:r>
      <w:r w:rsidRPr="00CA4465">
        <w:tab/>
        <w:t>Identifying Marital and Nonmarital Property</w:t>
      </w:r>
      <w:bookmarkEnd w:id="230"/>
      <w:bookmarkEnd w:id="231"/>
    </w:p>
    <w:p w:rsidR="00004B13" w:rsidRPr="00004B13" w:rsidRDefault="00004B13" w:rsidP="00004B13">
      <w:pPr>
        <w:ind w:left="720"/>
      </w:pPr>
      <w:bookmarkStart w:id="232" w:name="_Toc48979587"/>
      <w:r w:rsidRPr="00004B13">
        <w:t xml:space="preserve">“Whether property is marital or nonmarital is a question of law, but a reviewing court must defer to the [district] court’s underlying findings of fact.  However, if [the reviewing court is] left with the definite and firm conviction that a mistake has been made, [it] may find the [district] court’s decision to be clearly erroneous, notwithstanding the existence of evidence to support such findings.”  </w:t>
      </w:r>
      <w:r w:rsidRPr="00004B13">
        <w:rPr>
          <w:i/>
        </w:rPr>
        <w:t>Olsen v. Olsen</w:t>
      </w:r>
      <w:r w:rsidRPr="00004B13">
        <w:t xml:space="preserve">, 562 N.W.2d 797, 800 (Minn. 1997) (quotation and citation omitted); </w:t>
      </w:r>
      <w:r w:rsidRPr="00004B13">
        <w:rPr>
          <w:i/>
        </w:rPr>
        <w:t>see Baker v. Baker</w:t>
      </w:r>
      <w:r w:rsidRPr="00004B13">
        <w:t xml:space="preserve">, 753 N.W.2d 644, 649 (Minn. 2008) (stating that “[appellate courts] independently review the issue of whether property is marital or nonmarital, giving deference to the district court’s findings of fact”); </w:t>
      </w:r>
      <w:r w:rsidRPr="00004B13">
        <w:rPr>
          <w:i/>
        </w:rPr>
        <w:t>Gottsacker v. Gottsacker</w:t>
      </w:r>
      <w:r w:rsidRPr="00004B13">
        <w:t>, 664 N.W.2d 848, 852 (Minn. 2003) (“Determining whether property is marital or nonmarital . . . is an issue over which [appellate courts] exercise independent review, though deference is given to the district court’s findings of fact.”).</w:t>
      </w:r>
    </w:p>
    <w:p w:rsidR="00004B13" w:rsidRPr="00004B13" w:rsidRDefault="00004B13" w:rsidP="00004B13">
      <w:pPr>
        <w:ind w:left="720"/>
      </w:pPr>
    </w:p>
    <w:p w:rsidR="00004B13" w:rsidRPr="00004B13" w:rsidRDefault="00004B13" w:rsidP="00004B13">
      <w:pPr>
        <w:ind w:left="720"/>
      </w:pPr>
      <w:r w:rsidRPr="00004B13">
        <w:t xml:space="preserve">“When marital and nonmarital assets have been commingled, the party asserting the nonmarital claim must adequately trace the nonmarital funds in order to establish their nonmarital character.  Whether a nonmarital interest has been traced is also a question of fact.”  </w:t>
      </w:r>
      <w:r w:rsidRPr="00004B13">
        <w:rPr>
          <w:i/>
        </w:rPr>
        <w:t>Kerr v. Kerr</w:t>
      </w:r>
      <w:r w:rsidRPr="00004B13">
        <w:t>, 770 N.W.2d 567, 571 (Minn. App. 2009) (citation omitted).</w:t>
      </w:r>
    </w:p>
    <w:p w:rsidR="003A397A" w:rsidRPr="000B0D55" w:rsidRDefault="003A397A" w:rsidP="00337FFA">
      <w:pPr>
        <w:pStyle w:val="Heading3"/>
      </w:pPr>
      <w:bookmarkStart w:id="233" w:name="_Toc395604537"/>
      <w:r w:rsidRPr="00CA4465">
        <w:t>2.</w:t>
      </w:r>
      <w:r w:rsidRPr="00CA4465">
        <w:tab/>
        <w:t>Marital Property</w:t>
      </w:r>
      <w:bookmarkEnd w:id="232"/>
      <w:bookmarkEnd w:id="233"/>
    </w:p>
    <w:p w:rsidR="003A397A" w:rsidRPr="000B0D55" w:rsidRDefault="003A397A" w:rsidP="00300AEE">
      <w:pPr>
        <w:pStyle w:val="Heading4"/>
      </w:pPr>
      <w:bookmarkStart w:id="234" w:name="_Toc48979588"/>
      <w:bookmarkStart w:id="235" w:name="_Toc395604538"/>
      <w:r w:rsidRPr="00CA4465">
        <w:t>a.</w:t>
      </w:r>
      <w:r w:rsidRPr="00CA4465">
        <w:tab/>
        <w:t>Valuing Property</w:t>
      </w:r>
      <w:bookmarkEnd w:id="234"/>
      <w:bookmarkEnd w:id="235"/>
    </w:p>
    <w:p w:rsidR="00004B13" w:rsidRPr="00004B13" w:rsidRDefault="00004B13" w:rsidP="00004B13">
      <w:pPr>
        <w:ind w:left="1440"/>
      </w:pPr>
      <w:bookmarkStart w:id="236" w:name="_Toc48979589"/>
      <w:r w:rsidRPr="00004B13">
        <w:t xml:space="preserve">A district court’s valuation of an item of property is a finding of fact, and it will not be set aside unless it is clearly erroneous on the record as a whole.  </w:t>
      </w:r>
      <w:r w:rsidRPr="00004B13">
        <w:rPr>
          <w:i/>
        </w:rPr>
        <w:t>Maurer v. Maurer</w:t>
      </w:r>
      <w:r w:rsidRPr="00004B13">
        <w:t xml:space="preserve">, 623 N.W.2d 604, 606 (Minn. 2001); </w:t>
      </w:r>
      <w:r w:rsidRPr="00004B13">
        <w:rPr>
          <w:i/>
        </w:rPr>
        <w:t>Hertz v. Hertz</w:t>
      </w:r>
      <w:r w:rsidRPr="00004B13">
        <w:t>, 304 Minn. 144, 145, 229 N.W.2d 42, 44 (1975).</w:t>
      </w:r>
    </w:p>
    <w:p w:rsidR="00004B13" w:rsidRPr="00004B13" w:rsidRDefault="00004B13" w:rsidP="00004B13">
      <w:pPr>
        <w:ind w:left="1440"/>
      </w:pPr>
    </w:p>
    <w:p w:rsidR="00004B13" w:rsidRPr="00004B13" w:rsidRDefault="00004B13" w:rsidP="00004B13">
      <w:pPr>
        <w:ind w:left="1440"/>
      </w:pPr>
      <w:r w:rsidRPr="00004B13">
        <w:t xml:space="preserve">An appellate court does not require the district court to be exact in its valuation of assets.  “[I]t is only necessary that the value arrived at lies within a reasonable range of figures.”  </w:t>
      </w:r>
      <w:r w:rsidRPr="00004B13">
        <w:rPr>
          <w:i/>
        </w:rPr>
        <w:t>Johnson v. Johnson</w:t>
      </w:r>
      <w:r w:rsidRPr="00004B13">
        <w:t xml:space="preserve">, 277 N.W.2d 208, 211 (Minn. 1979) (citing </w:t>
      </w:r>
      <w:r w:rsidRPr="00004B13">
        <w:rPr>
          <w:i/>
        </w:rPr>
        <w:t>Hertz v. Hertz</w:t>
      </w:r>
      <w:r w:rsidRPr="00004B13">
        <w:t>, 304 Minn. 144, 145, 229 N.W.2d 42, 44 (1975)).</w:t>
      </w:r>
    </w:p>
    <w:p w:rsidR="003A397A" w:rsidRPr="000B0D55" w:rsidRDefault="003A397A" w:rsidP="00300AEE">
      <w:pPr>
        <w:pStyle w:val="Heading4"/>
      </w:pPr>
      <w:bookmarkStart w:id="237" w:name="_Toc395604539"/>
      <w:r w:rsidRPr="00CA4465">
        <w:t>b.</w:t>
      </w:r>
      <w:r w:rsidRPr="00CA4465">
        <w:tab/>
        <w:t>Division of Marital Property</w:t>
      </w:r>
      <w:bookmarkEnd w:id="236"/>
      <w:bookmarkEnd w:id="237"/>
    </w:p>
    <w:p w:rsidR="00004B13" w:rsidRPr="00004B13" w:rsidRDefault="00004B13" w:rsidP="00004B13">
      <w:pPr>
        <w:ind w:left="1440"/>
      </w:pPr>
      <w:bookmarkStart w:id="238" w:name="_Toc48979590"/>
      <w:r w:rsidRPr="00004B13">
        <w:t xml:space="preserve">“A [district] court has broad discretion in evaluating and dividing property in a marital dissolution and will not be overturned except for abuse of discretion.  [An appellate court] will affirm the [district] court’s division of property if it had an acceptable basis in fact and principle even though we might have taken a different approach.”  </w:t>
      </w:r>
      <w:r w:rsidRPr="00004B13">
        <w:rPr>
          <w:i/>
        </w:rPr>
        <w:t>Antone v. Antone</w:t>
      </w:r>
      <w:r w:rsidRPr="00004B13">
        <w:t xml:space="preserve">, 645 N.W.2d 96, 100 (Minn. 2002) (citation omitted); </w:t>
      </w:r>
      <w:r w:rsidRPr="00004B13">
        <w:rPr>
          <w:i/>
        </w:rPr>
        <w:t>see Lee v. Lee</w:t>
      </w:r>
      <w:r w:rsidRPr="00004B13">
        <w:t xml:space="preserve">, 775 N.W.2d 631, 637 (Minn. 2009) (stating that a district court has “broad discretion regarding the division of property” and that its division of property “will only be reversed on appeal if the [district] court abused </w:t>
      </w:r>
      <w:r w:rsidRPr="00004B13">
        <w:lastRenderedPageBreak/>
        <w:t xml:space="preserve">its discretion”); </w:t>
      </w:r>
      <w:r w:rsidRPr="00004B13">
        <w:rPr>
          <w:i/>
        </w:rPr>
        <w:t>Sirek v. Sirek</w:t>
      </w:r>
      <w:r w:rsidRPr="00004B13">
        <w:t xml:space="preserve">, 693 N.W.2d 896, 898 (Minn. App. 2005) (“District courts have broad discretion over the division of marital property and appellate courts will not alter a district court’s property division absent a clear abuse of discretion or an erroneous application of the law.”) (citing </w:t>
      </w:r>
      <w:r w:rsidRPr="00004B13">
        <w:rPr>
          <w:i/>
        </w:rPr>
        <w:t>Chamberlain v. Chamberlain</w:t>
      </w:r>
      <w:r w:rsidRPr="00004B13">
        <w:t xml:space="preserve">, 615 N.W.2d 405, 412 (Minn. App. 2000), </w:t>
      </w:r>
      <w:r w:rsidRPr="00004B13">
        <w:rPr>
          <w:i/>
        </w:rPr>
        <w:t>review denied</w:t>
      </w:r>
      <w:r w:rsidRPr="00004B13">
        <w:t xml:space="preserve"> (Minn. Oct. 25, 2000); </w:t>
      </w:r>
      <w:r w:rsidRPr="00004B13">
        <w:rPr>
          <w:i/>
        </w:rPr>
        <w:t>Ebnet v. Ebnet</w:t>
      </w:r>
      <w:r w:rsidRPr="00004B13">
        <w:t xml:space="preserve">, 347 N.W.2d 840, 842 (Minn. App. 1984)). </w:t>
      </w:r>
    </w:p>
    <w:p w:rsidR="00004B13" w:rsidRPr="00004B13" w:rsidRDefault="00004B13" w:rsidP="00004B13">
      <w:pPr>
        <w:ind w:left="1440"/>
      </w:pPr>
    </w:p>
    <w:p w:rsidR="00004B13" w:rsidRPr="00004B13" w:rsidRDefault="00004B13" w:rsidP="00004B13">
      <w:pPr>
        <w:ind w:left="1440"/>
      </w:pPr>
      <w:r w:rsidRPr="00004B13">
        <w:t xml:space="preserve">A district court abuses its discretion in dividing property if it resolves the matter in a manner “that is against logic and the facts on record.”  </w:t>
      </w:r>
      <w:r w:rsidRPr="00004B13">
        <w:rPr>
          <w:i/>
        </w:rPr>
        <w:t>Rutten v. Rutten</w:t>
      </w:r>
      <w:r w:rsidRPr="00004B13">
        <w:t xml:space="preserve">, 347 N.W.2d 47, 50 (Minn. 1984).  </w:t>
      </w:r>
    </w:p>
    <w:p w:rsidR="00004B13" w:rsidRPr="00004B13" w:rsidRDefault="00004B13" w:rsidP="00004B13">
      <w:pPr>
        <w:ind w:left="1440"/>
      </w:pPr>
    </w:p>
    <w:p w:rsidR="00004B13" w:rsidRPr="00004B13" w:rsidRDefault="00004B13" w:rsidP="00004B13">
      <w:pPr>
        <w:ind w:left="1440"/>
      </w:pPr>
      <w:r w:rsidRPr="00004B13">
        <w:t xml:space="preserve">Pension division is generally discretionary with the district court.  </w:t>
      </w:r>
      <w:r w:rsidRPr="00004B13">
        <w:rPr>
          <w:i/>
        </w:rPr>
        <w:t>Faus v. Faus</w:t>
      </w:r>
      <w:r w:rsidRPr="00004B13">
        <w:t xml:space="preserve">, 319 N.W.2d 408, 413 (Minn. 1982); </w:t>
      </w:r>
      <w:r w:rsidRPr="00004B13">
        <w:rPr>
          <w:i/>
        </w:rPr>
        <w:t>Johnson v. Johnson</w:t>
      </w:r>
      <w:r w:rsidRPr="00004B13">
        <w:t xml:space="preserve">, 627 N.W.2d 359, 362 (Minn. App. 2001), </w:t>
      </w:r>
      <w:r w:rsidRPr="00004B13">
        <w:rPr>
          <w:i/>
        </w:rPr>
        <w:t>review denied</w:t>
      </w:r>
      <w:r w:rsidRPr="00004B13">
        <w:t xml:space="preserve"> (Minn. Aug. 15, 2001).</w:t>
      </w:r>
    </w:p>
    <w:p w:rsidR="00004B13" w:rsidRPr="00004B13" w:rsidRDefault="00004B13" w:rsidP="00004B13">
      <w:pPr>
        <w:ind w:left="1440"/>
      </w:pPr>
    </w:p>
    <w:p w:rsidR="00004B13" w:rsidRPr="00004B13" w:rsidRDefault="00004B13" w:rsidP="00004B13">
      <w:pPr>
        <w:ind w:left="1440"/>
      </w:pPr>
      <w:r w:rsidRPr="00004B13">
        <w:t xml:space="preserve">A district court has broad discretion in dividing property and setting reasonable valuation dates.  </w:t>
      </w:r>
      <w:r w:rsidRPr="00004B13">
        <w:rPr>
          <w:i/>
        </w:rPr>
        <w:t>Desrosier v. Desrosier</w:t>
      </w:r>
      <w:r w:rsidRPr="00004B13">
        <w:t>, 551 N.W.2d 507, 510 (Minn. App. 1996).</w:t>
      </w:r>
    </w:p>
    <w:p w:rsidR="00004B13" w:rsidRPr="00004B13" w:rsidRDefault="00004B13" w:rsidP="00004B13">
      <w:pPr>
        <w:ind w:left="1440"/>
      </w:pPr>
    </w:p>
    <w:p w:rsidR="00004B13" w:rsidRPr="00004B13" w:rsidRDefault="00004B13" w:rsidP="00004B13">
      <w:pPr>
        <w:ind w:left="1440"/>
      </w:pPr>
      <w:r w:rsidRPr="00004B13">
        <w:t xml:space="preserve">Whether to consider the tax consequences of a property distribution lies within the district court’s discretion.  </w:t>
      </w:r>
      <w:r w:rsidRPr="00004B13">
        <w:rPr>
          <w:i/>
        </w:rPr>
        <w:t>Maurer v. Maurer</w:t>
      </w:r>
      <w:r w:rsidRPr="00004B13">
        <w:t xml:space="preserve">, 623 N.W.2d 604, 608 (Minn. 2001); </w:t>
      </w:r>
      <w:r w:rsidRPr="00004B13">
        <w:rPr>
          <w:i/>
        </w:rPr>
        <w:t>see Miller v. Miller</w:t>
      </w:r>
      <w:r w:rsidRPr="00004B13">
        <w:t xml:space="preserve">, 352 N.W.2d 738, 744 (Minn. 1984); </w:t>
      </w:r>
      <w:r w:rsidRPr="00004B13">
        <w:rPr>
          <w:i/>
        </w:rPr>
        <w:t>O’Brien v. O’Brien</w:t>
      </w:r>
      <w:r w:rsidRPr="00004B13">
        <w:t xml:space="preserve">, 343 N.W.2d 850, 853-54 (Minn. 1984).  </w:t>
      </w:r>
    </w:p>
    <w:p w:rsidR="00004B13" w:rsidRPr="00004B13" w:rsidRDefault="00004B13" w:rsidP="00004B13">
      <w:pPr>
        <w:ind w:left="1440"/>
      </w:pPr>
    </w:p>
    <w:p w:rsidR="00004B13" w:rsidRPr="00004B13" w:rsidRDefault="00004B13" w:rsidP="00004B13">
      <w:pPr>
        <w:ind w:left="1440"/>
      </w:pPr>
      <w:r w:rsidRPr="00004B13">
        <w:t xml:space="preserve">“[W]hether disability funds are income or marital property is a question of law, subject to de novo review.”  </w:t>
      </w:r>
      <w:r w:rsidRPr="00004B13">
        <w:rPr>
          <w:i/>
        </w:rPr>
        <w:t>Walswick-Boutwell v. Boutwell</w:t>
      </w:r>
      <w:r w:rsidRPr="00004B13">
        <w:t xml:space="preserve">, 663 N.W.2d 20, 22 (Minn. App. 2003), </w:t>
      </w:r>
      <w:r w:rsidRPr="00004B13">
        <w:rPr>
          <w:i/>
        </w:rPr>
        <w:t>review denied</w:t>
      </w:r>
      <w:r w:rsidRPr="00004B13">
        <w:t xml:space="preserve"> (Minn. Aug. 19, 2003).</w:t>
      </w:r>
    </w:p>
    <w:p w:rsidR="003A397A" w:rsidRPr="000B0D55" w:rsidRDefault="003A397A" w:rsidP="00604DD4">
      <w:pPr>
        <w:pStyle w:val="Heading2"/>
      </w:pPr>
      <w:bookmarkStart w:id="239" w:name="_Toc395604540"/>
      <w:r w:rsidRPr="00CA4465">
        <w:t>C.</w:t>
      </w:r>
      <w:r w:rsidRPr="00CA4465">
        <w:tab/>
        <w:t>SPOUSAL MAINTENANCE</w:t>
      </w:r>
      <w:bookmarkEnd w:id="238"/>
      <w:bookmarkEnd w:id="239"/>
    </w:p>
    <w:p w:rsidR="00004B13" w:rsidRPr="00004B13" w:rsidRDefault="00004B13" w:rsidP="00004B13">
      <w:bookmarkStart w:id="240" w:name="_Toc48979591"/>
      <w:r w:rsidRPr="00004B13">
        <w:t xml:space="preserve">An appellate court reviews a district court’s maintenance award under an abuse-of-discretion standard.  </w:t>
      </w:r>
      <w:r w:rsidRPr="00004B13">
        <w:rPr>
          <w:i/>
        </w:rPr>
        <w:t>Dobrin v. Dobrin</w:t>
      </w:r>
      <w:r w:rsidRPr="00004B13">
        <w:t xml:space="preserve">, 569 N.W.2d 199, 202 (Minn. 1997); </w:t>
      </w:r>
      <w:r w:rsidRPr="00004B13">
        <w:rPr>
          <w:i/>
        </w:rPr>
        <w:t>Stich v. Stich</w:t>
      </w:r>
      <w:r w:rsidRPr="00004B13">
        <w:t xml:space="preserve">, 435 N.W.2d 52, 53 (Minn. 1989); </w:t>
      </w:r>
      <w:r w:rsidRPr="00004B13">
        <w:rPr>
          <w:i/>
        </w:rPr>
        <w:t>Erlandson v. Erlandson</w:t>
      </w:r>
      <w:r w:rsidRPr="00004B13">
        <w:t>, 318 N.W.2d 36, 38 (Minn. 1982).</w:t>
      </w:r>
    </w:p>
    <w:p w:rsidR="00004B13" w:rsidRPr="00004B13" w:rsidRDefault="00004B13" w:rsidP="00004B13"/>
    <w:p w:rsidR="00004B13" w:rsidRPr="00004B13" w:rsidRDefault="00004B13" w:rsidP="00004B13">
      <w:r w:rsidRPr="00004B13">
        <w:t xml:space="preserve">An appellate court reviews a district court’s decision regarding whether to modify an existing maintenance award for an abuse of discretion.  </w:t>
      </w:r>
      <w:r w:rsidRPr="00004B13">
        <w:rPr>
          <w:i/>
        </w:rPr>
        <w:t>Hecker v. Hecker</w:t>
      </w:r>
      <w:r w:rsidRPr="00004B13">
        <w:t xml:space="preserve">, 568 N.W.2d 705, 710 (Minn. 1997); </w:t>
      </w:r>
      <w:r w:rsidRPr="00004B13">
        <w:rPr>
          <w:i/>
        </w:rPr>
        <w:t>see also</w:t>
      </w:r>
      <w:r w:rsidRPr="00004B13">
        <w:t xml:space="preserve"> </w:t>
      </w:r>
      <w:r w:rsidRPr="00004B13">
        <w:rPr>
          <w:i/>
        </w:rPr>
        <w:t>Claybaugh v. Claybaugh</w:t>
      </w:r>
      <w:r w:rsidRPr="00004B13">
        <w:t>, 312 N.W.2d 447, 449 (Minn. 1981) (stating that “[a]lthough the [district] court is vested with broad discretion to determine the propriety of a modification, we have suggested that [district] courts exercise that discretion carefully and only reluctantly alter the terms of a stipulation governing maintenance”).</w:t>
      </w:r>
    </w:p>
    <w:p w:rsidR="00004B13" w:rsidRPr="00004B13" w:rsidRDefault="00004B13" w:rsidP="00004B13"/>
    <w:p w:rsidR="00004B13" w:rsidRPr="00004B13" w:rsidRDefault="00004B13" w:rsidP="00004B13">
      <w:r w:rsidRPr="00004B13">
        <w:t xml:space="preserve">A district court abuses its discretion regarding maintenance if its findings of fact are unsupported by the record or if it improperly applies the law.  </w:t>
      </w:r>
      <w:r w:rsidRPr="00004B13">
        <w:rPr>
          <w:i/>
        </w:rPr>
        <w:t>Dobrin v. Dobrin</w:t>
      </w:r>
      <w:r w:rsidRPr="00004B13">
        <w:t xml:space="preserve">, 569 N.W.2d 199, 202 &amp; n.3 (Minn. 1997) (citing </w:t>
      </w:r>
      <w:r w:rsidRPr="00004B13">
        <w:rPr>
          <w:i/>
        </w:rPr>
        <w:t>Sefkow v. Sefkow</w:t>
      </w:r>
      <w:r w:rsidRPr="00004B13">
        <w:t xml:space="preserve">, 427 N.W.2d 203, 210 (Minn. 1988)).  </w:t>
      </w:r>
    </w:p>
    <w:p w:rsidR="00004B13" w:rsidRPr="00004B13" w:rsidRDefault="00004B13" w:rsidP="00004B13"/>
    <w:p w:rsidR="00004B13" w:rsidRPr="00004B13" w:rsidRDefault="00004B13" w:rsidP="00004B13">
      <w:r w:rsidRPr="00004B13">
        <w:lastRenderedPageBreak/>
        <w:t xml:space="preserve">“Findings of fact concerning spousal maintenance must be upheld unless they are clearly erroneous.”  </w:t>
      </w:r>
      <w:r w:rsidRPr="00004B13">
        <w:rPr>
          <w:i/>
        </w:rPr>
        <w:t>Gessner v. Gessner</w:t>
      </w:r>
      <w:r w:rsidRPr="00004B13">
        <w:t xml:space="preserve">, 487 N.W.2d 921, 923 (Minn. App. 1992); </w:t>
      </w:r>
      <w:r w:rsidRPr="00004B13">
        <w:rPr>
          <w:i/>
        </w:rPr>
        <w:t>see</w:t>
      </w:r>
      <w:r w:rsidRPr="00004B13">
        <w:t xml:space="preserve"> Minn. R. Civ. P. 52.01 (stating that findings of fact “shall not be set aside unless clearly erroneous”).</w:t>
      </w:r>
    </w:p>
    <w:p w:rsidR="00004B13" w:rsidRPr="00004B13" w:rsidRDefault="00004B13" w:rsidP="00004B13"/>
    <w:p w:rsidR="00004B13" w:rsidRPr="00004B13" w:rsidRDefault="00004B13" w:rsidP="00004B13">
      <w:r w:rsidRPr="00004B13">
        <w:t xml:space="preserve">“A district court’s determination of income for maintenance purposes is a finding of fact and is not set aside unless clearly erroneous.”  </w:t>
      </w:r>
      <w:r w:rsidRPr="00004B13">
        <w:rPr>
          <w:i/>
        </w:rPr>
        <w:t>Peterka v. Peterka</w:t>
      </w:r>
      <w:r w:rsidRPr="00004B13">
        <w:t xml:space="preserve">, 675 N.W.2d 353, 357 (Minn. App. 2004).  </w:t>
      </w:r>
    </w:p>
    <w:p w:rsidR="00004B13" w:rsidRPr="00004B13" w:rsidRDefault="00004B13" w:rsidP="00004B13"/>
    <w:p w:rsidR="00004B13" w:rsidRPr="00004B13" w:rsidRDefault="00004B13" w:rsidP="00004B13">
      <w:r w:rsidRPr="00004B13">
        <w:t xml:space="preserve">“[The appellate courts] review[] questions of law related to spousal maintenance de novo.”  </w:t>
      </w:r>
      <w:r w:rsidRPr="00004B13">
        <w:rPr>
          <w:i/>
        </w:rPr>
        <w:t>Melius v. Melius</w:t>
      </w:r>
      <w:r w:rsidRPr="00004B13">
        <w:t xml:space="preserve">, 765 N.W.2d 411, 414 (Minn. App. 2009), including questions regarding statutory interpretation and jurisdiction, </w:t>
      </w:r>
      <w:r w:rsidRPr="00004B13">
        <w:rPr>
          <w:i/>
        </w:rPr>
        <w:t>Gossman v. Gossman</w:t>
      </w:r>
      <w:r w:rsidRPr="00004B13">
        <w:t>, 847, N.W.2d 718, 721 (Minn. App. Jun. 2, 2014).</w:t>
      </w:r>
    </w:p>
    <w:p w:rsidR="00004B13" w:rsidRPr="00004B13" w:rsidRDefault="00004B13" w:rsidP="00004B13"/>
    <w:p w:rsidR="00004B13" w:rsidRPr="00004B13" w:rsidRDefault="00004B13" w:rsidP="00004B13">
      <w:r w:rsidRPr="00004B13">
        <w:t xml:space="preserve">The district court’s decision regarding the effective date of the modification will be reviewed for an abuse of discretion if the statutory conditions for retroactive modification of maintenance are met.  </w:t>
      </w:r>
      <w:r w:rsidRPr="00004B13">
        <w:rPr>
          <w:i/>
        </w:rPr>
        <w:t>Kemp v. Kemp</w:t>
      </w:r>
      <w:r w:rsidRPr="00004B13">
        <w:t>, 608 N.W.2d 916, 920 (Minn. App. 2000).</w:t>
      </w:r>
    </w:p>
    <w:p w:rsidR="003A397A" w:rsidRPr="000B0D55" w:rsidRDefault="003A397A" w:rsidP="00604DD4">
      <w:pPr>
        <w:pStyle w:val="Heading2"/>
      </w:pPr>
      <w:bookmarkStart w:id="241" w:name="_Toc395604541"/>
      <w:r w:rsidRPr="00CA4465">
        <w:t>D.</w:t>
      </w:r>
      <w:r w:rsidRPr="00CA4465">
        <w:tab/>
        <w:t>CHILDREN</w:t>
      </w:r>
      <w:bookmarkEnd w:id="240"/>
      <w:bookmarkEnd w:id="241"/>
    </w:p>
    <w:p w:rsidR="0046346A" w:rsidRPr="000B0D55" w:rsidRDefault="003A397A" w:rsidP="00337FFA">
      <w:pPr>
        <w:pStyle w:val="Heading3"/>
      </w:pPr>
      <w:bookmarkStart w:id="242" w:name="_Toc48979592"/>
      <w:bookmarkStart w:id="243" w:name="_Toc395604542"/>
      <w:r w:rsidRPr="00CA4465">
        <w:t>1.</w:t>
      </w:r>
      <w:r w:rsidRPr="00CA4465">
        <w:tab/>
        <w:t>Termination of Parental Rights</w:t>
      </w:r>
      <w:bookmarkEnd w:id="242"/>
      <w:bookmarkEnd w:id="243"/>
    </w:p>
    <w:p w:rsidR="00004B13" w:rsidRPr="00004B13" w:rsidRDefault="00004B13" w:rsidP="00004B13">
      <w:pPr>
        <w:ind w:left="720"/>
        <w:rPr>
          <w:szCs w:val="26"/>
        </w:rPr>
      </w:pPr>
      <w:r w:rsidRPr="00004B13">
        <w:rPr>
          <w:szCs w:val="26"/>
        </w:rPr>
        <w:t xml:space="preserve">“Jurisdiction in juvenile court matters is a question of law, reviewed de novo.”  </w:t>
      </w:r>
      <w:r w:rsidRPr="00004B13">
        <w:rPr>
          <w:i/>
          <w:iCs/>
          <w:szCs w:val="26"/>
        </w:rPr>
        <w:t>In re Welfare of Children of A.I. (Deceased)</w:t>
      </w:r>
      <w:r w:rsidRPr="00004B13">
        <w:rPr>
          <w:szCs w:val="26"/>
        </w:rPr>
        <w:t xml:space="preserve">, 779 N.W.2d 886, 894 (Minn. App. 2010), </w:t>
      </w:r>
      <w:r w:rsidRPr="00004B13">
        <w:rPr>
          <w:i/>
          <w:szCs w:val="26"/>
        </w:rPr>
        <w:t xml:space="preserve">pet. for review dismissed </w:t>
      </w:r>
      <w:r w:rsidRPr="00004B13">
        <w:rPr>
          <w:szCs w:val="26"/>
        </w:rPr>
        <w:t>(Minn. Apr. 20, 2010).</w:t>
      </w:r>
    </w:p>
    <w:p w:rsidR="00004B13" w:rsidRPr="00004B13" w:rsidRDefault="00004B13" w:rsidP="00004B13">
      <w:pPr>
        <w:ind w:left="720"/>
        <w:rPr>
          <w:szCs w:val="26"/>
        </w:rPr>
      </w:pPr>
    </w:p>
    <w:p w:rsidR="00004B13" w:rsidRPr="00004B13" w:rsidRDefault="00004B13" w:rsidP="00004B13">
      <w:pPr>
        <w:ind w:left="720"/>
      </w:pPr>
      <w:r w:rsidRPr="00004B13">
        <w:t xml:space="preserve">“Interpretation of a statute involves a question of law, which is subject to de novo review.”  </w:t>
      </w:r>
      <w:r w:rsidRPr="00004B13">
        <w:rPr>
          <w:i/>
        </w:rPr>
        <w:t>In re Welfare of Children of R.W.</w:t>
      </w:r>
      <w:r w:rsidRPr="00004B13">
        <w:t xml:space="preserve">, 678 N.W.2d 49, 54 (Minn. 2004); </w:t>
      </w:r>
      <w:r w:rsidRPr="00004B13">
        <w:rPr>
          <w:i/>
        </w:rPr>
        <w:t>In re Welfare of R.S.</w:t>
      </w:r>
      <w:r w:rsidRPr="00004B13">
        <w:t>, 805 N.W.2d 44, 48-49 (Minn. 2011) (noting that appellate courts review construction of juvenile-protection rules and statutes de novo).</w:t>
      </w:r>
    </w:p>
    <w:p w:rsidR="00004B13" w:rsidRPr="00004B13" w:rsidRDefault="00004B13" w:rsidP="00004B13">
      <w:pPr>
        <w:ind w:left="720"/>
      </w:pPr>
    </w:p>
    <w:p w:rsidR="00004B13" w:rsidRPr="00004B13" w:rsidRDefault="00004B13" w:rsidP="00004B13">
      <w:pPr>
        <w:ind w:left="720"/>
      </w:pPr>
      <w:r w:rsidRPr="00004B13">
        <w:t xml:space="preserve">“This court reviews a juvenile court’s denial of a motion to withdraw an admission under Minn. R. Juv. Prot. P. 35.03, subd. 5(a), for an abuse of discretion.”  </w:t>
      </w:r>
      <w:r w:rsidRPr="00004B13">
        <w:rPr>
          <w:i/>
        </w:rPr>
        <w:t>In re Welfare of M.K.</w:t>
      </w:r>
      <w:r w:rsidRPr="00004B13">
        <w:t xml:space="preserve">, 805 N.W.2d 856, 862 (Minn. App. 2011) (citing </w:t>
      </w:r>
      <w:r w:rsidRPr="00004B13">
        <w:rPr>
          <w:i/>
        </w:rPr>
        <w:t>In re Welfare of Children of M.L.A.</w:t>
      </w:r>
      <w:r w:rsidRPr="00004B13">
        <w:t>, 730 N.W.2d 54, 60 (Minn. App. 2007)).</w:t>
      </w:r>
    </w:p>
    <w:p w:rsidR="00004B13" w:rsidRPr="00004B13" w:rsidRDefault="00004B13" w:rsidP="00004B13">
      <w:pPr>
        <w:ind w:left="720"/>
      </w:pPr>
    </w:p>
    <w:p w:rsidR="00004B13" w:rsidRPr="00004B13" w:rsidRDefault="00004B13" w:rsidP="00004B13">
      <w:pPr>
        <w:ind w:left="720"/>
      </w:pPr>
      <w:r w:rsidRPr="00004B13">
        <w:t xml:space="preserve">Because “‘any admission [of the statutory grounds asserted in a CHIPS petition] must be made under oath[,]’” a district court “erred as a matter of law” where, despite the fact that there was “no dispute” that parents did not make their admissions under oath, the juvenile court accepted those admissions.  </w:t>
      </w:r>
      <w:r w:rsidRPr="00004B13">
        <w:rPr>
          <w:i/>
        </w:rPr>
        <w:t>In re Welfare of M.K.</w:t>
      </w:r>
      <w:r w:rsidRPr="00004B13">
        <w:t>, 805 N.W.2d 856, 865 (Minn. App. 2011) (quoting Minn. R. Juv. Prot.  P. 35.03, subd. 1).</w:t>
      </w:r>
    </w:p>
    <w:p w:rsidR="00004B13" w:rsidRPr="00004B13" w:rsidRDefault="00004B13" w:rsidP="00004B13">
      <w:pPr>
        <w:ind w:left="720"/>
      </w:pPr>
    </w:p>
    <w:p w:rsidR="00004B13" w:rsidRPr="00004B13" w:rsidRDefault="00004B13" w:rsidP="00004B13">
      <w:pPr>
        <w:ind w:left="720"/>
      </w:pPr>
      <w:r w:rsidRPr="00004B13">
        <w:t xml:space="preserve">Appellate courts review the construction of the juvenile-protection rules and statutes de novo.  </w:t>
      </w:r>
      <w:r w:rsidRPr="00004B13">
        <w:rPr>
          <w:i/>
        </w:rPr>
        <w:t>In re Welfare of R.S.</w:t>
      </w:r>
      <w:r w:rsidRPr="00004B13">
        <w:t>, 805 N.W.2d 44, 48-49 (Minn. 2011).</w:t>
      </w:r>
    </w:p>
    <w:p w:rsidR="003A397A" w:rsidRDefault="003A397A" w:rsidP="00300AEE">
      <w:pPr>
        <w:pStyle w:val="Heading4"/>
      </w:pPr>
      <w:bookmarkStart w:id="244" w:name="_Toc395604543"/>
      <w:r w:rsidRPr="00CA4465">
        <w:lastRenderedPageBreak/>
        <w:t>a.</w:t>
      </w:r>
      <w:r w:rsidR="00D03DA8" w:rsidRPr="00CA4465">
        <w:tab/>
      </w:r>
      <w:r w:rsidRPr="00CA4465">
        <w:t>Involuntary Termination of Parental Rights</w:t>
      </w:r>
      <w:bookmarkEnd w:id="244"/>
    </w:p>
    <w:p w:rsidR="00004B13" w:rsidRPr="00004B13" w:rsidRDefault="00004B13" w:rsidP="00566B6A">
      <w:pPr>
        <w:ind w:left="1440"/>
      </w:pPr>
      <w:r w:rsidRPr="00004B13">
        <w:t xml:space="preserve">“[O]n appeal from a district court’s decision to terminate parental rights, we will review the district court’s findings of the underlying or basic facts for clear error, but we review its determination of whether a particular statutory basis for involuntarily terminating parental rights is present for an abuse of discretion.  In doing so, we are mindful that, in termination proceedings, ‘[t]he burden of proof is upon the petitioner and is subject to the presumption that a natural parent is a fit and suitable person to be entrusted with the care of a child.  We require . . . that the evidence relating to termination must address conditions that exist at the time of the hearing, . . . and that it must appear that the present conditions of neglect will continue for a prolonged, indeterminate period.  Finally, this court, while giving deference to the findings of the trial court, will exercise great caution in termination proceedings.’  </w:t>
      </w:r>
      <w:r w:rsidRPr="00004B13">
        <w:rPr>
          <w:i/>
        </w:rPr>
        <w:t>In re Welfare of Chosa</w:t>
      </w:r>
      <w:r w:rsidRPr="00004B13">
        <w:t xml:space="preserve">, 290 N.W.2d 766, 769 (Minn. 1980) (citations omitted).  But parental rights are not absolute, and they should not be “unduly exalted and enforced to the detriment of the child’s welfare and happiness.  The right of parentage is in the nature of a trust and is subject to parents’ correlative duty to protect and care for the child.”  </w:t>
      </w:r>
      <w:r w:rsidRPr="00004B13">
        <w:rPr>
          <w:i/>
        </w:rPr>
        <w:t>In re P.T.</w:t>
      </w:r>
      <w:r w:rsidRPr="00004B13">
        <w:t xml:space="preserve">, 657 N.W.2d 577, 583 (Minn. App. 2003) (quotation omitted), </w:t>
      </w:r>
      <w:r w:rsidRPr="00004B13">
        <w:rPr>
          <w:i/>
        </w:rPr>
        <w:t>review denied</w:t>
      </w:r>
      <w:r w:rsidRPr="00004B13">
        <w:t xml:space="preserve"> (Minn. Apr. 15, 2003).  Moreover, in terminating parental rights, the best interests of the child are the paramount consideration, and conflicts between the rights of the child and rights of the parents are resolved in favor of the child.  Minn. Stat. § 260C.301, subd. 7 (2010).”  </w:t>
      </w:r>
      <w:r w:rsidRPr="00004B13">
        <w:rPr>
          <w:i/>
        </w:rPr>
        <w:t>In re Welfare of Children of J.R.B.</w:t>
      </w:r>
      <w:r w:rsidRPr="00004B13">
        <w:t xml:space="preserve">, 805 N.W.2d 895, 901-02 (Minn. App. 2011), </w:t>
      </w:r>
      <w:r w:rsidRPr="00004B13">
        <w:rPr>
          <w:i/>
        </w:rPr>
        <w:t>review denied</w:t>
      </w:r>
      <w:r w:rsidRPr="00004B13">
        <w:t xml:space="preserve"> (Minn. Jan. 6, 2012); </w:t>
      </w:r>
      <w:r w:rsidRPr="00004B13">
        <w:tab/>
      </w:r>
      <w:r w:rsidRPr="00004B13">
        <w:rPr>
          <w:i/>
        </w:rPr>
        <w:t>see In re Welfare of Children of B.M.</w:t>
      </w:r>
      <w:r w:rsidRPr="00004B13">
        <w:t>, 845 N.W.2d 558, 562-63 (Minn. App. 2014).</w:t>
      </w:r>
    </w:p>
    <w:p w:rsidR="00004B13" w:rsidRPr="00004B13" w:rsidRDefault="00004B13" w:rsidP="00004B13">
      <w:pPr>
        <w:ind w:left="1440"/>
      </w:pPr>
    </w:p>
    <w:p w:rsidR="00004B13" w:rsidRPr="00004B13" w:rsidRDefault="00004B13" w:rsidP="00004B13">
      <w:pPr>
        <w:ind w:left="1440"/>
      </w:pPr>
      <w:r w:rsidRPr="00004B13">
        <w:rPr>
          <w:color w:val="000000"/>
        </w:rPr>
        <w:t xml:space="preserve">“[Appellate courts] review the termination of parental rights to determine whether the district court’s findings address the statutory criteria and whether the district court’s findings are supported by substantial evidence and are not clearly erroneous.  We give considerable deference to the district court’s decision to terminate parental rights.  But we closely inquire into the sufficiency of the evidence to determine whether it was clear and convincing.  We affirm the district court’s termination of parental rights when at least one statutory ground for termination is supported by clear and convincing evidence and termination is in the best interests of the child, provided that the county has made reasonable efforts to reunite the family.”  </w:t>
      </w:r>
      <w:r w:rsidRPr="00004B13">
        <w:rPr>
          <w:i/>
        </w:rPr>
        <w:t>In re Welfare of Children of S.E.P.</w:t>
      </w:r>
      <w:r w:rsidRPr="00004B13">
        <w:t xml:space="preserve">, 744 N.W.2d 381, 385 (Minn. 2008) (citations omitted).  </w:t>
      </w:r>
    </w:p>
    <w:p w:rsidR="00004B13" w:rsidRPr="00004B13" w:rsidRDefault="00004B13" w:rsidP="00004B13">
      <w:pPr>
        <w:ind w:left="1440"/>
      </w:pPr>
    </w:p>
    <w:p w:rsidR="00004B13" w:rsidRPr="00004B13" w:rsidRDefault="00004B13" w:rsidP="00004B13">
      <w:pPr>
        <w:ind w:left="1440"/>
      </w:pPr>
      <w:r w:rsidRPr="00004B13">
        <w:t xml:space="preserve">“We review a district court’s ultimate determination that termination is in a child’s best interest for an abuse of discretion.”  </w:t>
      </w:r>
      <w:r w:rsidRPr="00004B13">
        <w:rPr>
          <w:i/>
        </w:rPr>
        <w:t>In re Welfare of Children of J.R.B.</w:t>
      </w:r>
      <w:r w:rsidRPr="00004B13">
        <w:t xml:space="preserve">, 805 N.W.2d 895, 905 (Minn. App. 2011) (citing </w:t>
      </w:r>
      <w:r w:rsidRPr="00004B13">
        <w:rPr>
          <w:i/>
        </w:rPr>
        <w:t>In re Welfare of Children of D.F.</w:t>
      </w:r>
      <w:r w:rsidRPr="00004B13">
        <w:t xml:space="preserve">, 752 N.W.2d 88, 95 (Minn. App. 2008)), </w:t>
      </w:r>
      <w:r w:rsidRPr="00004B13">
        <w:rPr>
          <w:i/>
        </w:rPr>
        <w:t>review denied</w:t>
      </w:r>
      <w:r w:rsidRPr="00004B13">
        <w:t xml:space="preserve"> (Minn. Jan. 6, 2012).</w:t>
      </w:r>
    </w:p>
    <w:p w:rsidR="00004B13" w:rsidRPr="00004B13" w:rsidRDefault="00004B13" w:rsidP="00004B13">
      <w:pPr>
        <w:ind w:left="1440"/>
      </w:pPr>
    </w:p>
    <w:p w:rsidR="00004B13" w:rsidRPr="00004B13" w:rsidRDefault="00004B13" w:rsidP="00004B13">
      <w:pPr>
        <w:ind w:left="1440"/>
      </w:pPr>
      <w:r w:rsidRPr="00004B13">
        <w:t xml:space="preserve">On review, “[c]onsiderable deference is due to the district court’s decision because a district court is in a superior position to assess the credibility of witnesses.”  </w:t>
      </w:r>
      <w:r w:rsidRPr="00004B13">
        <w:rPr>
          <w:i/>
        </w:rPr>
        <w:t>In re Welfare of L.A.F.</w:t>
      </w:r>
      <w:r w:rsidRPr="00004B13">
        <w:t xml:space="preserve">, 554 N.W.2d 393, 396 (Minn. 1996).  The </w:t>
      </w:r>
      <w:r w:rsidRPr="00004B13">
        <w:lastRenderedPageBreak/>
        <w:t xml:space="preserve">reviewing court closely inquires into the sufficiency of the evidence to determine whether the evidence is clear and convincing.  </w:t>
      </w:r>
      <w:r w:rsidRPr="00004B13">
        <w:rPr>
          <w:i/>
        </w:rPr>
        <w:t>In re Welfare of J.M.</w:t>
      </w:r>
      <w:r w:rsidRPr="00004B13">
        <w:t>, 574 N.W.2d 717, 724 (Minn. 1998).</w:t>
      </w:r>
    </w:p>
    <w:p w:rsidR="00004B13" w:rsidRPr="00004B13" w:rsidRDefault="00004B13" w:rsidP="00004B13">
      <w:pPr>
        <w:ind w:left="1440"/>
      </w:pPr>
    </w:p>
    <w:p w:rsidR="00004B13" w:rsidRPr="00004B13" w:rsidRDefault="00004B13" w:rsidP="00004B13">
      <w:pPr>
        <w:ind w:left="1440"/>
      </w:pPr>
      <w:r w:rsidRPr="00004B13">
        <w:t xml:space="preserve">An appellate court “exercises great caution in termination proceedings, finding such action proper only when the evidence clearly mandates such a result.”  </w:t>
      </w:r>
      <w:r w:rsidRPr="00004B13">
        <w:rPr>
          <w:i/>
        </w:rPr>
        <w:t>In re Welfare of S.Z.</w:t>
      </w:r>
      <w:r w:rsidRPr="00004B13">
        <w:t>, 547 N.W.2d 886, 893 (Minn. 1996).</w:t>
      </w:r>
    </w:p>
    <w:p w:rsidR="00004B13" w:rsidRPr="00004B13" w:rsidRDefault="00004B13" w:rsidP="00004B13">
      <w:pPr>
        <w:ind w:left="1440"/>
      </w:pPr>
    </w:p>
    <w:p w:rsidR="00004B13" w:rsidRPr="00004B13" w:rsidRDefault="00004B13" w:rsidP="00004B13">
      <w:pPr>
        <w:ind w:left="1440"/>
      </w:pPr>
      <w:r w:rsidRPr="00004B13">
        <w:t xml:space="preserve">“[O]n appeal in a termination of parental rights case, while we carefully review the record, we will not overturn the [district] court’s findings of fact unless those findings are clearly erroneous.”  </w:t>
      </w:r>
      <w:r w:rsidRPr="00004B13">
        <w:rPr>
          <w:i/>
        </w:rPr>
        <w:t>In re Welfare of A.D.</w:t>
      </w:r>
      <w:r w:rsidRPr="00004B13">
        <w:t>, 535 N.W.2d 643, 648 (Minn. 1995).</w:t>
      </w:r>
    </w:p>
    <w:p w:rsidR="00004B13" w:rsidRPr="00004B13" w:rsidRDefault="00004B13" w:rsidP="00004B13">
      <w:pPr>
        <w:ind w:left="1440"/>
      </w:pPr>
    </w:p>
    <w:p w:rsidR="00004B13" w:rsidRPr="00004B13" w:rsidRDefault="00004B13" w:rsidP="00004B13">
      <w:pPr>
        <w:ind w:left="1440"/>
      </w:pPr>
      <w:r w:rsidRPr="00004B13">
        <w:t xml:space="preserve">The Indian Child Welfare Act requires that parental rights of Native Americans may be terminated only if supported by “evidence beyond a reasonable doubt, including testimony of qualified expert witnesses, that the continued custody of the child by the parent . . . is likely to result in serious emotional or physical damage to the child.”  </w:t>
      </w:r>
      <w:r w:rsidRPr="00004B13">
        <w:rPr>
          <w:i/>
        </w:rPr>
        <w:t>In re Welfare of Chosa</w:t>
      </w:r>
      <w:r w:rsidRPr="00004B13">
        <w:t>, 290 N.W.2d 766, 769 (Minn. 1980) (citing 25 U.S.C.A. § 1912(f)).</w:t>
      </w:r>
    </w:p>
    <w:p w:rsidR="00004B13" w:rsidRPr="00004B13" w:rsidRDefault="00004B13" w:rsidP="00004B13">
      <w:pPr>
        <w:ind w:left="1440"/>
      </w:pPr>
    </w:p>
    <w:p w:rsidR="00004B13" w:rsidRPr="00004B13" w:rsidRDefault="00004B13" w:rsidP="00004B13">
      <w:pPr>
        <w:ind w:left="1440"/>
      </w:pPr>
      <w:r w:rsidRPr="00004B13">
        <w:t xml:space="preserve">“The question of whether appellant retained any parental rights which could be terminated through a TPR proceeding after she executed a delegation of parental authority involves the application of a statute to undisputed facts, which is a question of law we review de novo.”  </w:t>
      </w:r>
      <w:r w:rsidRPr="00004B13">
        <w:rPr>
          <w:i/>
        </w:rPr>
        <w:t>In re Welfare of Child of T.C.M.</w:t>
      </w:r>
      <w:r w:rsidRPr="00004B13">
        <w:t xml:space="preserve">, 758 N.W.2d 340, 346 (Minn. App. 2008).  </w:t>
      </w:r>
    </w:p>
    <w:p w:rsidR="00004B13" w:rsidRPr="00004B13" w:rsidRDefault="00004B13" w:rsidP="00004B13">
      <w:pPr>
        <w:ind w:left="1440"/>
      </w:pPr>
    </w:p>
    <w:p w:rsidR="00004B13" w:rsidRPr="00004B13" w:rsidRDefault="00004B13" w:rsidP="00004B13">
      <w:pPr>
        <w:ind w:left="1440"/>
      </w:pPr>
      <w:r w:rsidRPr="00004B13">
        <w:rPr>
          <w:szCs w:val="26"/>
        </w:rPr>
        <w:t>A district court’s determination of whether a parent has rebutted a presumption of palpable unfitness created by Minn. Stat. § 260C.301, subd. 1(b)(4</w:t>
      </w:r>
      <w:r w:rsidR="00DA2DDB" w:rsidRPr="00E46CC9">
        <w:rPr>
          <w:szCs w:val="26"/>
        </w:rPr>
        <w:t>) (2012</w:t>
      </w:r>
      <w:r w:rsidRPr="00E46CC9">
        <w:rPr>
          <w:szCs w:val="26"/>
        </w:rPr>
        <w:t>), is</w:t>
      </w:r>
      <w:r w:rsidRPr="00004B13">
        <w:rPr>
          <w:szCs w:val="26"/>
        </w:rPr>
        <w:t xml:space="preserve"> a finding of fact that, on appeal, is reviewed for whether it is supported by substantial evidence and is not clearly erroneous.  </w:t>
      </w:r>
      <w:r w:rsidRPr="00004B13">
        <w:rPr>
          <w:i/>
          <w:szCs w:val="26"/>
        </w:rPr>
        <w:t>See</w:t>
      </w:r>
      <w:r w:rsidRPr="00004B13">
        <w:rPr>
          <w:szCs w:val="26"/>
        </w:rPr>
        <w:t xml:space="preserve"> </w:t>
      </w:r>
      <w:r w:rsidRPr="00004B13">
        <w:rPr>
          <w:i/>
        </w:rPr>
        <w:t>In re Welfare of Child of D.L.D.</w:t>
      </w:r>
      <w:r w:rsidRPr="00004B13">
        <w:t xml:space="preserve">, 771 N.W.2d 538, 544 (Minn. App. 2009) (stating “[y]et the district court concluded [that the parents] failed to rebut the statutory presumption of palpable unfitness.  Having reviewed the record evidence, we conclude that the district court’s findings are supported by substantial evidence and are not clearly erroneous.”).  </w:t>
      </w:r>
    </w:p>
    <w:p w:rsidR="00004B13" w:rsidRPr="00004B13" w:rsidRDefault="00004B13" w:rsidP="00004B13">
      <w:pPr>
        <w:ind w:left="1440"/>
      </w:pPr>
    </w:p>
    <w:p w:rsidR="00004B13" w:rsidRPr="00004B13" w:rsidRDefault="00004B13" w:rsidP="00004B13">
      <w:pPr>
        <w:ind w:left="1440"/>
      </w:pPr>
      <w:r w:rsidRPr="00004B13">
        <w:t xml:space="preserve">“[D]etermination of a child’s best interests ‘is generally not susceptible to an appellate court’s global review of a record,’ and . . . ‘an appellate court’s combing through the record to determine best interests is inappropriate because it involves credibility determinations.’”  </w:t>
      </w:r>
      <w:r w:rsidRPr="00004B13">
        <w:rPr>
          <w:i/>
        </w:rPr>
        <w:t>In re Welfare of Child of D.L.D.</w:t>
      </w:r>
      <w:r w:rsidRPr="00004B13">
        <w:t xml:space="preserve">, 771 N.W.2d 538, 546 (Minn. App. 2009) (quoting </w:t>
      </w:r>
      <w:r w:rsidRPr="00004B13">
        <w:rPr>
          <w:i/>
        </w:rPr>
        <w:t>In re Tanghe</w:t>
      </w:r>
      <w:r w:rsidRPr="00004B13">
        <w:t>, 672 N.W.2d 623, 625 (Minn. App. 2003)).</w:t>
      </w:r>
    </w:p>
    <w:p w:rsidR="003A397A" w:rsidRPr="00CA4465" w:rsidRDefault="003A397A" w:rsidP="00300AEE">
      <w:pPr>
        <w:pStyle w:val="Heading4"/>
      </w:pPr>
      <w:bookmarkStart w:id="245" w:name="_Toc395604544"/>
      <w:r w:rsidRPr="00CA4465">
        <w:t>b.</w:t>
      </w:r>
      <w:r w:rsidR="00406E63" w:rsidRPr="00CA4465">
        <w:tab/>
      </w:r>
      <w:r w:rsidRPr="00CA4465">
        <w:t>Voluntary Termination of Parental Rights</w:t>
      </w:r>
      <w:bookmarkEnd w:id="245"/>
    </w:p>
    <w:p w:rsidR="00566B6A" w:rsidRPr="00566B6A" w:rsidRDefault="00566B6A" w:rsidP="00566B6A">
      <w:pPr>
        <w:ind w:left="1440"/>
      </w:pPr>
      <w:bookmarkStart w:id="246" w:name="_Toc48979593"/>
      <w:r w:rsidRPr="00566B6A">
        <w:t xml:space="preserve">“In general, a voluntary termination order may be rescinded only upon a showing of fraud, duress, or undue influence.  When a [district] court’s findings in a </w:t>
      </w:r>
      <w:r w:rsidRPr="00566B6A">
        <w:lastRenderedPageBreak/>
        <w:t xml:space="preserve">termination case are challenged, appellate courts are limited to determining whether the findings address the statutory criteria, whether those findings are supported by substantial evidence, and whether they are clearly erroneous.  As in all termination cases, our paramount concern is for the child’s best interests.”  </w:t>
      </w:r>
      <w:r w:rsidRPr="00566B6A">
        <w:rPr>
          <w:i/>
        </w:rPr>
        <w:t>In re Welfare of D.D.G.</w:t>
      </w:r>
      <w:r w:rsidRPr="00566B6A">
        <w:t>, 558 N.W.2d 481, 484 (Minn. 1997) (citations omitted).</w:t>
      </w:r>
    </w:p>
    <w:p w:rsidR="00566B6A" w:rsidRPr="00566B6A" w:rsidRDefault="00566B6A" w:rsidP="00566B6A">
      <w:pPr>
        <w:ind w:left="1440"/>
      </w:pPr>
    </w:p>
    <w:p w:rsidR="00566B6A" w:rsidRPr="00566B6A" w:rsidRDefault="00566B6A" w:rsidP="00566B6A">
      <w:pPr>
        <w:ind w:left="1440"/>
        <w:rPr>
          <w:szCs w:val="26"/>
        </w:rPr>
      </w:pPr>
      <w:r w:rsidRPr="00566B6A">
        <w:rPr>
          <w:szCs w:val="26"/>
        </w:rPr>
        <w:t xml:space="preserve">Whether to allow a parent to withdraw a voluntary consent to a termination of parental rights is discretionary with the district court.  </w:t>
      </w:r>
      <w:r w:rsidRPr="00566B6A">
        <w:rPr>
          <w:i/>
          <w:szCs w:val="26"/>
        </w:rPr>
        <w:t>See</w:t>
      </w:r>
      <w:r w:rsidRPr="00566B6A">
        <w:rPr>
          <w:szCs w:val="26"/>
        </w:rPr>
        <w:t xml:space="preserve"> </w:t>
      </w:r>
      <w:r w:rsidRPr="00566B6A">
        <w:rPr>
          <w:i/>
          <w:szCs w:val="26"/>
        </w:rPr>
        <w:t>In re Welfare of the Child of J.L.L.</w:t>
      </w:r>
      <w:r w:rsidRPr="00566B6A">
        <w:rPr>
          <w:szCs w:val="26"/>
        </w:rPr>
        <w:t xml:space="preserve">, 801 N.W.2d 405, 411 (Minn. App. 2011) (concluding that district court “did not abuse its discretion in allowing [the parent] to withdraw her consent to a voluntary TPR”), </w:t>
      </w:r>
      <w:r w:rsidRPr="00566B6A">
        <w:rPr>
          <w:i/>
          <w:szCs w:val="26"/>
        </w:rPr>
        <w:t>review denied</w:t>
      </w:r>
      <w:r w:rsidRPr="00566B6A">
        <w:rPr>
          <w:szCs w:val="26"/>
        </w:rPr>
        <w:t xml:space="preserve"> (Minn. July 28, 2011).  </w:t>
      </w:r>
    </w:p>
    <w:p w:rsidR="00566B6A" w:rsidRPr="00566B6A" w:rsidRDefault="00566B6A" w:rsidP="00566B6A">
      <w:pPr>
        <w:ind w:left="1440"/>
      </w:pPr>
      <w:r w:rsidRPr="00566B6A">
        <w:t xml:space="preserve">  </w:t>
      </w:r>
    </w:p>
    <w:p w:rsidR="00566B6A" w:rsidRPr="00566B6A" w:rsidRDefault="00566B6A" w:rsidP="00566B6A">
      <w:pPr>
        <w:ind w:left="1440"/>
      </w:pPr>
      <w:r w:rsidRPr="00566B6A">
        <w:t xml:space="preserve">“The [district] court’s finding of good cause [for a voluntary termination of parental rights] . . . must be upheld if supported by substantial evidence and not clearly erroneous.  ‘Good cause’ under the voluntary termination statute exists under a variety of circumstances. . . . [T]he test is whether [the parent] had sound reasons for consenting at the time of termination—a determination which is not restricted by the existence of cause for </w:t>
      </w:r>
      <w:r w:rsidRPr="00566B6A">
        <w:rPr>
          <w:i/>
        </w:rPr>
        <w:t>involuntary</w:t>
      </w:r>
      <w:r w:rsidRPr="00566B6A">
        <w:t xml:space="preserve"> termination.”  </w:t>
      </w:r>
      <w:r w:rsidRPr="00566B6A">
        <w:rPr>
          <w:i/>
        </w:rPr>
        <w:t>In re Welfare of D.D.G.</w:t>
      </w:r>
      <w:r w:rsidRPr="00566B6A">
        <w:t xml:space="preserve">, 558 N.W.2d 481, 485-86 (Minn. 1997) (citations omitted).  </w:t>
      </w:r>
    </w:p>
    <w:p w:rsidR="00E051EE" w:rsidRPr="00CA4465" w:rsidRDefault="00E051EE" w:rsidP="00337FFA">
      <w:pPr>
        <w:pStyle w:val="Heading3"/>
      </w:pPr>
      <w:bookmarkStart w:id="247" w:name="_Toc395604545"/>
      <w:r w:rsidRPr="00CA4465">
        <w:t>2.</w:t>
      </w:r>
      <w:r w:rsidRPr="00CA4465">
        <w:tab/>
        <w:t>Child in Need of Protection or Services</w:t>
      </w:r>
      <w:bookmarkEnd w:id="247"/>
    </w:p>
    <w:p w:rsidR="00566B6A" w:rsidRPr="00566B6A" w:rsidRDefault="00566B6A" w:rsidP="00566B6A">
      <w:pPr>
        <w:ind w:left="720"/>
      </w:pPr>
      <w:r w:rsidRPr="00566B6A">
        <w:t xml:space="preserve">“We are . . . bound by a very deferential standard of review [of factual findings on appeal from a district court’s CHIPS determination].”  </w:t>
      </w:r>
      <w:r w:rsidRPr="00566B6A">
        <w:rPr>
          <w:i/>
        </w:rPr>
        <w:t>In re Welfare of Child of S.S.W.</w:t>
      </w:r>
      <w:r w:rsidRPr="00566B6A">
        <w:t>, 767 N.W.2d 723, 734 (Minn. App. 2009).</w:t>
      </w:r>
    </w:p>
    <w:p w:rsidR="00566B6A" w:rsidRPr="00566B6A" w:rsidRDefault="00566B6A" w:rsidP="00566B6A">
      <w:pPr>
        <w:ind w:left="720"/>
      </w:pPr>
    </w:p>
    <w:p w:rsidR="00566B6A" w:rsidRPr="00566B6A" w:rsidRDefault="00566B6A" w:rsidP="00566B6A">
      <w:pPr>
        <w:ind w:left="720"/>
      </w:pPr>
      <w:r w:rsidRPr="00566B6A">
        <w:t xml:space="preserve">“Findings in a CHIPS proceeding will not be reversed unless clearly erroneous or unsupported by substantial evidence.  Under the ‘clearly erroneous’ portion of this court’s review of the district court’s findings, a district court’s individual fact-findings will not be set aside unless the review of the entire record leaves the court with the definite and firm conviction that a mistake has been made.”  </w:t>
      </w:r>
      <w:r w:rsidRPr="00566B6A">
        <w:rPr>
          <w:i/>
        </w:rPr>
        <w:t>In re Welfare of B.A.B.</w:t>
      </w:r>
      <w:r w:rsidRPr="00566B6A">
        <w:t xml:space="preserve">, 572 N.W.2d 776, 778 (Minn. App. 1998) (quotation and citations omitted); </w:t>
      </w:r>
      <w:r w:rsidRPr="00566B6A">
        <w:rPr>
          <w:i/>
        </w:rPr>
        <w:t>see</w:t>
      </w:r>
      <w:r w:rsidRPr="00566B6A">
        <w:t xml:space="preserve"> </w:t>
      </w:r>
      <w:r w:rsidRPr="00566B6A">
        <w:rPr>
          <w:i/>
        </w:rPr>
        <w:t>In re A.R.M.</w:t>
      </w:r>
      <w:r w:rsidRPr="00566B6A">
        <w:t>, 611 N.W.2d 43, 50 (Minn. App. 2000) (stating “[f]indings in CHIPS proceedings are not reversed unless clearly erroneous or unsupported by substantial evidence”).</w:t>
      </w:r>
    </w:p>
    <w:p w:rsidR="003A397A" w:rsidRPr="000B0D55" w:rsidRDefault="00E051EE" w:rsidP="00337FFA">
      <w:pPr>
        <w:pStyle w:val="Heading3"/>
      </w:pPr>
      <w:bookmarkStart w:id="248" w:name="_Toc395604546"/>
      <w:r w:rsidRPr="00CA4465">
        <w:t>3</w:t>
      </w:r>
      <w:r w:rsidR="003A397A" w:rsidRPr="00CA4465">
        <w:t>.</w:t>
      </w:r>
      <w:r w:rsidR="003A397A" w:rsidRPr="00CA4465">
        <w:tab/>
        <w:t>Custody</w:t>
      </w:r>
      <w:bookmarkEnd w:id="246"/>
      <w:bookmarkEnd w:id="248"/>
    </w:p>
    <w:p w:rsidR="003A397A" w:rsidRPr="000B0D55" w:rsidRDefault="003A397A" w:rsidP="00300AEE">
      <w:pPr>
        <w:pStyle w:val="Heading4"/>
      </w:pPr>
      <w:bookmarkStart w:id="249" w:name="_Toc48979594"/>
      <w:bookmarkStart w:id="250" w:name="_Toc395604547"/>
      <w:r w:rsidRPr="00CA4465">
        <w:t>a.</w:t>
      </w:r>
      <w:r w:rsidRPr="00CA4465">
        <w:tab/>
        <w:t>Generally</w:t>
      </w:r>
      <w:bookmarkEnd w:id="249"/>
      <w:bookmarkEnd w:id="250"/>
    </w:p>
    <w:p w:rsidR="00566B6A" w:rsidRPr="00566B6A" w:rsidRDefault="00566B6A" w:rsidP="00566B6A">
      <w:pPr>
        <w:ind w:left="1440"/>
      </w:pPr>
      <w:bookmarkStart w:id="251" w:name="_Toc48979595"/>
      <w:r w:rsidRPr="00566B6A">
        <w:t xml:space="preserve">A district court has broad discretion to provide for the custody of the parties’ children.  </w:t>
      </w:r>
      <w:r w:rsidRPr="00566B6A">
        <w:rPr>
          <w:i/>
        </w:rPr>
        <w:t>Rutten v. Rutten</w:t>
      </w:r>
      <w:r w:rsidRPr="00566B6A">
        <w:t xml:space="preserve">, 347 N.W.2d 47, 50 (Minn. 1984); </w:t>
      </w:r>
      <w:r w:rsidRPr="00566B6A">
        <w:rPr>
          <w:i/>
          <w:szCs w:val="26"/>
        </w:rPr>
        <w:t>In re Best Interest of M.R.P.-C.</w:t>
      </w:r>
      <w:r w:rsidRPr="00566B6A">
        <w:rPr>
          <w:szCs w:val="26"/>
        </w:rPr>
        <w:t>, 794 N.W.2d 373, 378 (Minn. App. 2011).</w:t>
      </w:r>
    </w:p>
    <w:p w:rsidR="00566B6A" w:rsidRPr="00566B6A" w:rsidRDefault="00566B6A" w:rsidP="00566B6A">
      <w:pPr>
        <w:ind w:left="1440"/>
      </w:pPr>
    </w:p>
    <w:p w:rsidR="00566B6A" w:rsidRPr="00566B6A" w:rsidRDefault="00566B6A" w:rsidP="00566B6A">
      <w:pPr>
        <w:ind w:left="1440"/>
      </w:pPr>
      <w:r w:rsidRPr="00566B6A">
        <w:t xml:space="preserve">“Appellate review of custody determinations is limited to whether the [district] court abused its discretion by making findings unsupported by the evidence or by improperly applying the law.”  </w:t>
      </w:r>
      <w:r w:rsidRPr="00566B6A">
        <w:rPr>
          <w:i/>
        </w:rPr>
        <w:t>Pikula v. Pikula</w:t>
      </w:r>
      <w:r w:rsidRPr="00566B6A">
        <w:t>, 374 N.W.2d 705, 710 (Minn. 1985).</w:t>
      </w:r>
    </w:p>
    <w:p w:rsidR="00566B6A" w:rsidRPr="00566B6A" w:rsidRDefault="00566B6A" w:rsidP="00566B6A">
      <w:pPr>
        <w:ind w:left="1440"/>
      </w:pPr>
    </w:p>
    <w:p w:rsidR="00566B6A" w:rsidRPr="00566B6A" w:rsidRDefault="00566B6A" w:rsidP="00566B6A">
      <w:pPr>
        <w:ind w:left="1440"/>
      </w:pPr>
      <w:r w:rsidRPr="00566B6A">
        <w:t xml:space="preserve">A district court’s findings of fact will be sustained unless they are clearly erroneous.  </w:t>
      </w:r>
      <w:r w:rsidRPr="00566B6A">
        <w:rPr>
          <w:i/>
        </w:rPr>
        <w:t>Pikula v. Pikula</w:t>
      </w:r>
      <w:r w:rsidRPr="00566B6A">
        <w:t xml:space="preserve">, 374 N.W.2d 705, 710 (Minn. 1985); </w:t>
      </w:r>
      <w:r w:rsidRPr="00566B6A">
        <w:rPr>
          <w:i/>
        </w:rPr>
        <w:t>see</w:t>
      </w:r>
      <w:r w:rsidRPr="00566B6A">
        <w:t xml:space="preserve"> Minn. R. Civ. P. 52.01 (stating that findings of fact are not set aside unless clearly erroneous).  </w:t>
      </w:r>
    </w:p>
    <w:p w:rsidR="00566B6A" w:rsidRPr="00566B6A" w:rsidRDefault="00566B6A" w:rsidP="00566B6A">
      <w:pPr>
        <w:ind w:left="1440"/>
      </w:pPr>
    </w:p>
    <w:p w:rsidR="00566B6A" w:rsidRPr="00566B6A" w:rsidRDefault="00566B6A" w:rsidP="00566B6A">
      <w:pPr>
        <w:ind w:left="1440"/>
      </w:pPr>
      <w:r w:rsidRPr="00566B6A">
        <w:t xml:space="preserve">“Even though the [district] court is given broad discretion in determining custody matters, it is important that the basis for the court’s decision be set forth with a high degree of particularity.”  </w:t>
      </w:r>
      <w:r w:rsidRPr="00566B6A">
        <w:rPr>
          <w:i/>
        </w:rPr>
        <w:t>Durkin v. Hinich</w:t>
      </w:r>
      <w:r w:rsidRPr="00566B6A">
        <w:t xml:space="preserve">, 442 N.W.2d 148, 151 (Minn. 1989) (quotation omitted). </w:t>
      </w:r>
    </w:p>
    <w:p w:rsidR="00566B6A" w:rsidRPr="00566B6A" w:rsidRDefault="00566B6A" w:rsidP="00566B6A">
      <w:pPr>
        <w:ind w:left="1440"/>
      </w:pPr>
    </w:p>
    <w:p w:rsidR="00566B6A" w:rsidRPr="00566B6A" w:rsidRDefault="00566B6A" w:rsidP="00566B6A">
      <w:pPr>
        <w:ind w:left="1440"/>
      </w:pPr>
      <w:r w:rsidRPr="00566B6A">
        <w:t xml:space="preserve">The law “leaves scant if any room for an appellate court to question the [district] court’s balancing of best-interests considerations.”  </w:t>
      </w:r>
      <w:r w:rsidRPr="00566B6A">
        <w:rPr>
          <w:i/>
        </w:rPr>
        <w:t>Vangsness v. Vangsness</w:t>
      </w:r>
      <w:r w:rsidRPr="00566B6A">
        <w:t>, 607 N.W.2d 468, 477 (Minn. App. 2000).</w:t>
      </w:r>
    </w:p>
    <w:p w:rsidR="00566B6A" w:rsidRPr="00566B6A" w:rsidRDefault="00566B6A" w:rsidP="00566B6A">
      <w:pPr>
        <w:ind w:left="1440"/>
      </w:pPr>
    </w:p>
    <w:p w:rsidR="00566B6A" w:rsidRPr="00566B6A" w:rsidRDefault="00566B6A" w:rsidP="00566B6A">
      <w:pPr>
        <w:ind w:left="1440"/>
      </w:pPr>
      <w:r w:rsidRPr="00566B6A">
        <w:t xml:space="preserve">A district court’s decision regarding whether to order a custody report will not be altered on appeal absent an abuse of discretion. </w:t>
      </w:r>
      <w:r w:rsidRPr="00566B6A">
        <w:rPr>
          <w:i/>
        </w:rPr>
        <w:t>J.W. by D.W. v. C.M.</w:t>
      </w:r>
      <w:r w:rsidRPr="00566B6A">
        <w:t xml:space="preserve">, 627 N.W.2d 687, 696 (Minn. App. 2001), </w:t>
      </w:r>
      <w:r w:rsidRPr="00566B6A">
        <w:rPr>
          <w:i/>
        </w:rPr>
        <w:t>review denied</w:t>
      </w:r>
      <w:r w:rsidRPr="00566B6A">
        <w:t xml:space="preserve"> (Minn. Aug. 15, 2001).  </w:t>
      </w:r>
    </w:p>
    <w:p w:rsidR="00566B6A" w:rsidRPr="00566B6A" w:rsidRDefault="00566B6A" w:rsidP="00566B6A">
      <w:pPr>
        <w:ind w:left="1440"/>
      </w:pPr>
    </w:p>
    <w:p w:rsidR="00566B6A" w:rsidRPr="00566B6A" w:rsidRDefault="00566B6A" w:rsidP="00566B6A">
      <w:pPr>
        <w:ind w:left="1440"/>
      </w:pPr>
      <w:r w:rsidRPr="00566B6A">
        <w:t xml:space="preserve">“The district court has broad discretion in making child custody, parenting time, and child-support determinations and in deciding whether to grant recusal motions.”  </w:t>
      </w:r>
      <w:r w:rsidRPr="00566B6A">
        <w:rPr>
          <w:i/>
        </w:rPr>
        <w:t>Matson v. Matson</w:t>
      </w:r>
      <w:r w:rsidRPr="00566B6A">
        <w:t>, 638 N.W.2d 462, 465 (Minn. App. 2002).</w:t>
      </w:r>
    </w:p>
    <w:p w:rsidR="00566B6A" w:rsidRPr="00566B6A" w:rsidRDefault="00566B6A" w:rsidP="00566B6A">
      <w:pPr>
        <w:ind w:left="1440"/>
      </w:pPr>
    </w:p>
    <w:p w:rsidR="00566B6A" w:rsidRPr="00566B6A" w:rsidRDefault="00566B6A" w:rsidP="00566B6A">
      <w:pPr>
        <w:ind w:left="1440"/>
      </w:pPr>
      <w:r w:rsidRPr="00566B6A">
        <w:rPr>
          <w:szCs w:val="26"/>
        </w:rPr>
        <w:t xml:space="preserve">“[A] district court has an affirmative obligation to inquire into whether [the Indian Child Welfare Act] applies to a custody determination when it has reason to believe that the child subject to the determination is an Indian child as defined by the act.”  </w:t>
      </w:r>
      <w:r w:rsidRPr="00566B6A">
        <w:rPr>
          <w:i/>
          <w:szCs w:val="26"/>
        </w:rPr>
        <w:t>In re Best Interest of M.R.P.-C.</w:t>
      </w:r>
      <w:r w:rsidRPr="00566B6A">
        <w:rPr>
          <w:szCs w:val="26"/>
        </w:rPr>
        <w:t xml:space="preserve">, 794 N.W.2d 373, 379 (Minn. App. 2011).  </w:t>
      </w:r>
    </w:p>
    <w:p w:rsidR="003A397A" w:rsidRPr="000B0D55" w:rsidRDefault="003A397A" w:rsidP="00300AEE">
      <w:pPr>
        <w:pStyle w:val="Heading4"/>
      </w:pPr>
      <w:bookmarkStart w:id="252" w:name="_Toc395604548"/>
      <w:r w:rsidRPr="00CA4465">
        <w:t>b.</w:t>
      </w:r>
      <w:r w:rsidRPr="00CA4465">
        <w:tab/>
        <w:t>Modification</w:t>
      </w:r>
      <w:bookmarkEnd w:id="251"/>
      <w:bookmarkEnd w:id="252"/>
    </w:p>
    <w:p w:rsidR="00566B6A" w:rsidRPr="00566B6A" w:rsidRDefault="00566B6A" w:rsidP="00566B6A">
      <w:pPr>
        <w:ind w:left="1440"/>
      </w:pPr>
      <w:bookmarkStart w:id="253" w:name="_Toc48979596"/>
      <w:r w:rsidRPr="00566B6A">
        <w:t xml:space="preserve">On appeal from a district court’s denial, without an evidentiary hearing, of motions to modify custody and motions to restrict parenting time, this court </w:t>
      </w:r>
    </w:p>
    <w:p w:rsidR="00566B6A" w:rsidRPr="00566B6A" w:rsidRDefault="00566B6A" w:rsidP="00566B6A">
      <w:pPr>
        <w:keepNext/>
      </w:pPr>
    </w:p>
    <w:p w:rsidR="00566B6A" w:rsidRPr="00566B6A" w:rsidRDefault="00566B6A" w:rsidP="00566B6A">
      <w:pPr>
        <w:keepNext/>
        <w:ind w:left="2160" w:right="1440"/>
        <w:rPr>
          <w:szCs w:val="26"/>
        </w:rPr>
      </w:pPr>
      <w:r w:rsidRPr="00566B6A">
        <w:rPr>
          <w:szCs w:val="26"/>
        </w:rPr>
        <w:t>review[s] three discrete determinations. First, we review de novo whether the district court properly treated the allegations in the moving party’s affidavits as true, disregarded the contrary allegations in the nonmoving party‘s affidavits, and considered only the explanatory allegations in the nonmoving party’s affidavits. Second, we review for an abuse of discretion the district court’s determination as to the existence of a prima facie case for the modification or restriction. Finally, we review de novo whether the district court properly determined the need for an evidentiary hearing.</w:t>
      </w:r>
    </w:p>
    <w:p w:rsidR="00566B6A" w:rsidRPr="00566B6A" w:rsidRDefault="00566B6A" w:rsidP="00566B6A">
      <w:pPr>
        <w:ind w:left="1440" w:right="1440"/>
        <w:rPr>
          <w:szCs w:val="26"/>
        </w:rPr>
      </w:pPr>
    </w:p>
    <w:p w:rsidR="00566B6A" w:rsidRPr="00566B6A" w:rsidRDefault="00566B6A" w:rsidP="00566B6A">
      <w:pPr>
        <w:ind w:left="1440"/>
      </w:pPr>
      <w:r w:rsidRPr="00566B6A">
        <w:rPr>
          <w:i/>
        </w:rPr>
        <w:t>Boland v. Murtha</w:t>
      </w:r>
      <w:r w:rsidRPr="00566B6A">
        <w:t>, 800 N.W.2d 179, 185 (Minn. App. 2011).</w:t>
      </w:r>
    </w:p>
    <w:p w:rsidR="00566B6A" w:rsidRPr="00566B6A" w:rsidRDefault="00566B6A" w:rsidP="00566B6A">
      <w:pPr>
        <w:ind w:left="1440" w:hanging="1440"/>
        <w:rPr>
          <w:color w:val="000000"/>
        </w:rPr>
      </w:pPr>
      <w:r w:rsidRPr="00566B6A">
        <w:rPr>
          <w:color w:val="000000"/>
        </w:rPr>
        <w:lastRenderedPageBreak/>
        <w:tab/>
      </w:r>
    </w:p>
    <w:p w:rsidR="00566B6A" w:rsidRPr="00566B6A" w:rsidRDefault="00566B6A" w:rsidP="00566B6A">
      <w:pPr>
        <w:ind w:left="1440"/>
      </w:pPr>
      <w:r w:rsidRPr="00566B6A">
        <w:rPr>
          <w:color w:val="000000"/>
        </w:rPr>
        <w:t xml:space="preserve">“A district court is required under section 518.18(d) to conduct an evidentiary hearing only if the party seeking to modify a custody order makes a prima facie case for modification.”  </w:t>
      </w:r>
      <w:r w:rsidRPr="00566B6A">
        <w:rPr>
          <w:i/>
          <w:color w:val="000000"/>
        </w:rPr>
        <w:t>Goldman v. Greenwood</w:t>
      </w:r>
      <w:r w:rsidRPr="00566B6A">
        <w:rPr>
          <w:color w:val="000000"/>
        </w:rPr>
        <w:t xml:space="preserve">, 748 N.W.2d 279, 284 (Minn. 2008); </w:t>
      </w:r>
      <w:r w:rsidRPr="00566B6A">
        <w:rPr>
          <w:i/>
          <w:color w:val="000000"/>
        </w:rPr>
        <w:t>see</w:t>
      </w:r>
      <w:r w:rsidRPr="00566B6A">
        <w:rPr>
          <w:color w:val="000000"/>
        </w:rPr>
        <w:t xml:space="preserve"> </w:t>
      </w:r>
      <w:r w:rsidRPr="00566B6A">
        <w:rPr>
          <w:i/>
        </w:rPr>
        <w:t>Szarzynski v. Szarzynski</w:t>
      </w:r>
      <w:r w:rsidRPr="00566B6A">
        <w:t xml:space="preserve">, 732 N.W.2d 285, 292 (Minn. App. 2007) (“Whether a party makes a prima facie case to modify custody is dispositive of whether an evidentiary hearing will occur on the motion.  A district court, however, has discretion in deciding whether a moving party makes a prima facie case to modify custody.”  (citations omitted)).  </w:t>
      </w:r>
    </w:p>
    <w:p w:rsidR="003A397A" w:rsidRPr="000B0D55" w:rsidRDefault="003A397A" w:rsidP="00300AEE">
      <w:pPr>
        <w:pStyle w:val="Heading4"/>
      </w:pPr>
      <w:bookmarkStart w:id="254" w:name="_Toc395604549"/>
      <w:r w:rsidRPr="00CA4465">
        <w:t>c.</w:t>
      </w:r>
      <w:r w:rsidRPr="00CA4465">
        <w:tab/>
        <w:t>Joint Physical Custody</w:t>
      </w:r>
      <w:bookmarkEnd w:id="253"/>
      <w:bookmarkEnd w:id="254"/>
    </w:p>
    <w:p w:rsidR="00566B6A" w:rsidRPr="00566B6A" w:rsidRDefault="00566B6A" w:rsidP="00566B6A">
      <w:pPr>
        <w:ind w:left="1440"/>
      </w:pPr>
      <w:bookmarkStart w:id="255" w:name="_Toc48979597"/>
      <w:r w:rsidRPr="00566B6A">
        <w:t xml:space="preserve">In determining the nature of a stipulated custody arrangement, the label put on the arrangement by the parties and adopted by the district court is binding.  </w:t>
      </w:r>
      <w:r w:rsidRPr="00566B6A">
        <w:rPr>
          <w:i/>
        </w:rPr>
        <w:t>Nolte v. Mehrens</w:t>
      </w:r>
      <w:r w:rsidRPr="00566B6A">
        <w:t>, 648 N.W.2d 727, 730 (Minn. App. 2002).  “Although it could be argued that some earlier caselaw indicates that discerning whether a physical-custody award is sole or joint requires an examination of the amount of time the parties spend with their child, [</w:t>
      </w:r>
      <w:r w:rsidRPr="00566B6A">
        <w:rPr>
          <w:i/>
        </w:rPr>
        <w:t>Ayers v. Ayers</w:t>
      </w:r>
      <w:r w:rsidRPr="00566B6A">
        <w:t xml:space="preserve">, 508 N.W.2d 515 (Minn. 1993)] and its progeny have superseded such cases.”  </w:t>
      </w:r>
      <w:r w:rsidRPr="00566B6A">
        <w:rPr>
          <w:i/>
        </w:rPr>
        <w:t>Id.</w:t>
      </w:r>
      <w:r w:rsidRPr="00566B6A">
        <w:t xml:space="preserve"> at 730 n.3.</w:t>
      </w:r>
    </w:p>
    <w:p w:rsidR="003A397A" w:rsidRPr="000B0D55" w:rsidRDefault="003A397A" w:rsidP="00300AEE">
      <w:pPr>
        <w:pStyle w:val="Heading4"/>
      </w:pPr>
      <w:bookmarkStart w:id="256" w:name="_Toc395604550"/>
      <w:r w:rsidRPr="00CA4465">
        <w:t>d.</w:t>
      </w:r>
      <w:r w:rsidRPr="00CA4465">
        <w:tab/>
        <w:t>Removal</w:t>
      </w:r>
      <w:bookmarkEnd w:id="255"/>
      <w:bookmarkEnd w:id="256"/>
    </w:p>
    <w:p w:rsidR="00566B6A" w:rsidRPr="00566B6A" w:rsidRDefault="00566B6A" w:rsidP="00566B6A">
      <w:pPr>
        <w:ind w:left="1440"/>
      </w:pPr>
      <w:r w:rsidRPr="00566B6A">
        <w:t xml:space="preserve">“Whether to hold an evidentiary hearing on a motion generally is a discretionary decision of the district court, which we review for an abuse of discretion.”  </w:t>
      </w:r>
      <w:r w:rsidRPr="00566B6A">
        <w:rPr>
          <w:i/>
        </w:rPr>
        <w:t>Anh Phuong Le v. Holter</w:t>
      </w:r>
      <w:r w:rsidRPr="00566B6A">
        <w:t xml:space="preserve">, 838 N.W.2d 797, 800 (Minn. App. 2013) (quoting </w:t>
      </w:r>
      <w:r w:rsidRPr="00566B6A">
        <w:rPr>
          <w:i/>
        </w:rPr>
        <w:t>Thompson v. Thompson</w:t>
      </w:r>
      <w:r w:rsidRPr="00566B6A">
        <w:t xml:space="preserve">, 739 N.W.2d 424, 430 (Minn. App. 2007)), </w:t>
      </w:r>
      <w:r w:rsidRPr="00566B6A">
        <w:rPr>
          <w:i/>
        </w:rPr>
        <w:t>review denied</w:t>
      </w:r>
      <w:r w:rsidRPr="00566B6A">
        <w:t xml:space="preserve"> (Minn. Dec. 31, 2013).</w:t>
      </w:r>
    </w:p>
    <w:p w:rsidR="00566B6A" w:rsidRPr="00566B6A" w:rsidRDefault="00566B6A" w:rsidP="00566B6A">
      <w:pPr>
        <w:ind w:left="1440"/>
      </w:pPr>
    </w:p>
    <w:p w:rsidR="00566B6A" w:rsidRPr="00566B6A" w:rsidRDefault="00566B6A" w:rsidP="00566B6A">
      <w:pPr>
        <w:ind w:left="1440"/>
      </w:pPr>
      <w:r w:rsidRPr="00566B6A">
        <w:t xml:space="preserve">“Appellate review of custody </w:t>
      </w:r>
      <w:bookmarkStart w:id="257" w:name="SR;3149"/>
      <w:bookmarkStart w:id="258" w:name="SR;3151"/>
      <w:bookmarkEnd w:id="257"/>
      <w:bookmarkEnd w:id="258"/>
      <w:r w:rsidRPr="00566B6A">
        <w:t xml:space="preserve">modification and removal cases is limited to considering whether the [district] court abused its discretion by making findings unsupported by the evidence or by improperly applying the law.  Appellate courts set aside a district court’s findings of fact only if clearly erroneous, giving deference to the district court’s opportunity to evaluate witness credibility.  Findings of fact are clearly erroneous where an appellate court is left with the definite and firm conviction that a mistake has been made.”  </w:t>
      </w:r>
      <w:r w:rsidRPr="00566B6A">
        <w:rPr>
          <w:i/>
        </w:rPr>
        <w:t>Goldman v. Greenwood</w:t>
      </w:r>
      <w:r w:rsidRPr="00566B6A">
        <w:t xml:space="preserve">, 748 N.W.2d 279, 284 (Minn. 2008) (quotations and citations omitted); </w:t>
      </w:r>
      <w:r w:rsidRPr="00566B6A">
        <w:rPr>
          <w:i/>
        </w:rPr>
        <w:t>see</w:t>
      </w:r>
      <w:r w:rsidRPr="00566B6A">
        <w:t xml:space="preserve"> </w:t>
      </w:r>
      <w:r w:rsidRPr="00566B6A">
        <w:rPr>
          <w:i/>
        </w:rPr>
        <w:t>Silbaugh v. Silbaugh</w:t>
      </w:r>
      <w:r w:rsidRPr="00566B6A">
        <w:t xml:space="preserve">, 543 N.W.2d 639, 641 (Minn. 1996); </w:t>
      </w:r>
      <w:r w:rsidRPr="00566B6A">
        <w:rPr>
          <w:i/>
        </w:rPr>
        <w:t>Anh Phuong Le v. Holter</w:t>
      </w:r>
      <w:r w:rsidRPr="00566B6A">
        <w:t xml:space="preserve">, 838 N.W.2d 797, 801 (Minn. App. 2013) (citing and applying </w:t>
      </w:r>
      <w:r w:rsidRPr="00566B6A">
        <w:rPr>
          <w:i/>
        </w:rPr>
        <w:t>Goldman</w:t>
      </w:r>
      <w:r w:rsidRPr="00566B6A">
        <w:t xml:space="preserve">), </w:t>
      </w:r>
      <w:r w:rsidRPr="00566B6A">
        <w:rPr>
          <w:i/>
        </w:rPr>
        <w:t>review denied</w:t>
      </w:r>
      <w:r w:rsidRPr="00566B6A">
        <w:t xml:space="preserve"> (Minn. Dec. 31, 2013)</w:t>
      </w:r>
      <w:r w:rsidRPr="00566B6A">
        <w:rPr>
          <w:i/>
        </w:rPr>
        <w:t xml:space="preserve"> Rutz v. Rutz</w:t>
      </w:r>
      <w:r w:rsidRPr="00566B6A">
        <w:t xml:space="preserve">, 644 N.W.2d 489, 492-93 (Minn. App. 2002), </w:t>
      </w:r>
      <w:r w:rsidRPr="00566B6A">
        <w:rPr>
          <w:i/>
        </w:rPr>
        <w:t>review denied</w:t>
      </w:r>
      <w:r w:rsidRPr="00566B6A">
        <w:t xml:space="preserve"> (Minn. July 16, 2002).</w:t>
      </w:r>
    </w:p>
    <w:p w:rsidR="00566B6A" w:rsidRPr="00566B6A" w:rsidRDefault="00566B6A" w:rsidP="00566B6A">
      <w:pPr>
        <w:ind w:left="1440"/>
      </w:pPr>
    </w:p>
    <w:p w:rsidR="00566B6A" w:rsidRPr="00566B6A" w:rsidRDefault="00566B6A" w:rsidP="00566B6A">
      <w:pPr>
        <w:ind w:left="1440"/>
      </w:pPr>
      <w:r w:rsidRPr="00566B6A">
        <w:t xml:space="preserve">“Determination of the applicable statutory standard, and the interpretation of statutes, are questions of law that [appellate courts] review de novo.”  </w:t>
      </w:r>
      <w:r w:rsidRPr="00566B6A">
        <w:rPr>
          <w:i/>
        </w:rPr>
        <w:t>Anh Phuong Le v. Holter</w:t>
      </w:r>
      <w:r w:rsidRPr="00566B6A">
        <w:t xml:space="preserve">, 838 N.W.2d 797, 801 (Minn. App. 2013) (quoting </w:t>
      </w:r>
      <w:r w:rsidRPr="00566B6A">
        <w:rPr>
          <w:i/>
        </w:rPr>
        <w:t>Goldman v. Greenwood</w:t>
      </w:r>
      <w:r w:rsidRPr="00566B6A">
        <w:t xml:space="preserve">, 748 N.W.2d 279, 282 (Minn. 2008) (citations omitted)), </w:t>
      </w:r>
      <w:r w:rsidRPr="00566B6A">
        <w:rPr>
          <w:i/>
        </w:rPr>
        <w:t>review denied</w:t>
      </w:r>
      <w:r w:rsidRPr="00566B6A">
        <w:t xml:space="preserve"> (Minn. Dec. 31, 2013).</w:t>
      </w:r>
    </w:p>
    <w:p w:rsidR="003A397A" w:rsidRPr="000B0D55" w:rsidRDefault="003A397A" w:rsidP="00300AEE">
      <w:pPr>
        <w:pStyle w:val="Heading4"/>
      </w:pPr>
      <w:bookmarkStart w:id="259" w:name="_Toc395604551"/>
      <w:r w:rsidRPr="00CA4465">
        <w:lastRenderedPageBreak/>
        <w:t>e.</w:t>
      </w:r>
      <w:r w:rsidRPr="00CA4465">
        <w:tab/>
        <w:t>Local</w:t>
      </w:r>
      <w:r w:rsidR="008D5863" w:rsidRPr="00CA4465">
        <w:t>e</w:t>
      </w:r>
      <w:r w:rsidRPr="00CA4465">
        <w:t>/LaChapelle Restrictions</w:t>
      </w:r>
      <w:bookmarkEnd w:id="259"/>
    </w:p>
    <w:p w:rsidR="00566B6A" w:rsidRPr="00566B6A" w:rsidRDefault="00566B6A" w:rsidP="00566B6A">
      <w:pPr>
        <w:ind w:left="1440"/>
      </w:pPr>
      <w:r w:rsidRPr="00566B6A">
        <w:t xml:space="preserve">“As a threshold issue, we consider whether the locale restriction in the district court’s custody order is valid.  Appellate review of custody </w:t>
      </w:r>
      <w:bookmarkStart w:id="260" w:name="SR;1716"/>
      <w:bookmarkStart w:id="261" w:name="SR;1718"/>
      <w:bookmarkEnd w:id="260"/>
      <w:bookmarkEnd w:id="261"/>
      <w:r w:rsidRPr="00566B6A">
        <w:t xml:space="preserve">determinations is limited to whether the district court abused its discretion by making findings unsupported by the evidence or by improperly applying the law.  District courts have broad discretion in determining custody matters, and we agree with the recognition of the court of appeals in </w:t>
      </w:r>
      <w:r w:rsidRPr="00566B6A">
        <w:rPr>
          <w:i/>
          <w:iCs/>
        </w:rPr>
        <w:t xml:space="preserve">Dailey v. Chermak </w:t>
      </w:r>
      <w:r w:rsidRPr="00566B6A">
        <w:rPr>
          <w:iCs/>
        </w:rPr>
        <w:t>‘</w:t>
      </w:r>
      <w:r w:rsidRPr="00566B6A">
        <w:t xml:space="preserve">that there is no absolute prohibition under Minnesota law against awarding child custody on the condition of maintaining a specific geographic residence for the child, as long as that residence is shown clearly and genuinely to serve the child’s best interests,’ 709 N.W.2d 626, 630 (Minn. App. 2006), </w:t>
      </w:r>
      <w:r w:rsidRPr="00566B6A">
        <w:rPr>
          <w:i/>
          <w:iCs/>
        </w:rPr>
        <w:t>review denied</w:t>
      </w:r>
      <w:r w:rsidRPr="00566B6A">
        <w:t xml:space="preserve"> (Minn. May 16, 2006).”  </w:t>
      </w:r>
      <w:r w:rsidRPr="00566B6A">
        <w:rPr>
          <w:i/>
        </w:rPr>
        <w:t>Goldman v. Greenwood</w:t>
      </w:r>
      <w:r w:rsidRPr="00566B6A">
        <w:t>, 748 N.W.2d 279, 281-82 (Minn. 2008) (other quotations and citations omitted).</w:t>
      </w:r>
    </w:p>
    <w:p w:rsidR="00566B6A" w:rsidRPr="00566B6A" w:rsidRDefault="00566B6A" w:rsidP="00566B6A">
      <w:pPr>
        <w:ind w:left="1440" w:hanging="1440"/>
        <w:rPr>
          <w:color w:val="000000"/>
        </w:rPr>
      </w:pPr>
    </w:p>
    <w:p w:rsidR="00566B6A" w:rsidRPr="00566B6A" w:rsidRDefault="00566B6A" w:rsidP="00566B6A">
      <w:pPr>
        <w:ind w:left="1440"/>
      </w:pPr>
      <w:r w:rsidRPr="00566B6A">
        <w:t xml:space="preserve">Addressing a district court’s ability to place in-state limits on a child’s residence, this court has stated: </w:t>
      </w:r>
    </w:p>
    <w:p w:rsidR="00566B6A" w:rsidRPr="00566B6A" w:rsidRDefault="00566B6A" w:rsidP="00566B6A">
      <w:pPr>
        <w:ind w:left="1440"/>
      </w:pPr>
    </w:p>
    <w:p w:rsidR="00566B6A" w:rsidRPr="00566B6A" w:rsidRDefault="00566B6A" w:rsidP="00566B6A">
      <w:pPr>
        <w:ind w:left="2160" w:right="720"/>
      </w:pPr>
      <w:r w:rsidRPr="00566B6A">
        <w:t>The bedrock principle underlying any decision affecting the custody of minor children is that their best interests must be protected and fostered.  A child’s best interests are the fundamental focus of custody decisions.  In determining issues of custody and residence under the authority granted in Minn. Stat</w:t>
      </w:r>
      <w:r w:rsidR="00DA2DDB">
        <w:t>. § 518.17, subd. 3(a)(2) [(2012</w:t>
      </w:r>
      <w:r w:rsidRPr="00566B6A">
        <w:t>)], the district court enjoys broad discretion.  The appellate courts will not reverse the district court’s custody decision absent a showing of a clear abuse of discretion.  The district court abuses its discretion if its findings are clearly erroneous.  The court also abuses its discretion if its findings are insufficient to support its custody ruling.</w:t>
      </w:r>
    </w:p>
    <w:p w:rsidR="00566B6A" w:rsidRPr="00566B6A" w:rsidRDefault="00566B6A" w:rsidP="00566B6A">
      <w:pPr>
        <w:ind w:left="2160" w:right="720"/>
      </w:pPr>
    </w:p>
    <w:p w:rsidR="00566B6A" w:rsidRPr="00566B6A" w:rsidRDefault="00566B6A" w:rsidP="00566B6A">
      <w:pPr>
        <w:spacing w:line="480" w:lineRule="auto"/>
        <w:ind w:left="1440"/>
      </w:pPr>
      <w:r w:rsidRPr="00566B6A">
        <w:rPr>
          <w:i/>
        </w:rPr>
        <w:t>Schisel v. Schisel</w:t>
      </w:r>
      <w:r w:rsidRPr="00566B6A">
        <w:t>, 762 N.W.2d 265, 270 (Minn. App. 2009) (citations omitted).</w:t>
      </w:r>
    </w:p>
    <w:p w:rsidR="003A397A" w:rsidRPr="00CA4465" w:rsidRDefault="003A397A" w:rsidP="00300AEE">
      <w:pPr>
        <w:pStyle w:val="Heading4"/>
      </w:pPr>
      <w:bookmarkStart w:id="262" w:name="_Toc395604552"/>
      <w:r w:rsidRPr="00CA4465">
        <w:t>f.</w:t>
      </w:r>
      <w:r w:rsidR="00B03E8E" w:rsidRPr="00CA4465">
        <w:tab/>
      </w:r>
      <w:r w:rsidRPr="00CA4465">
        <w:t>Third-Party Custody</w:t>
      </w:r>
      <w:r w:rsidR="00F33A1F">
        <w:t xml:space="preserve"> </w:t>
      </w:r>
      <w:r w:rsidR="00CF6465">
        <w:t>and</w:t>
      </w:r>
      <w:r w:rsidR="00F33A1F">
        <w:t xml:space="preserve"> Visitation</w:t>
      </w:r>
      <w:bookmarkEnd w:id="262"/>
    </w:p>
    <w:p w:rsidR="00566B6A" w:rsidRPr="00566B6A" w:rsidRDefault="00566B6A" w:rsidP="00566B6A">
      <w:pPr>
        <w:ind w:left="1440"/>
      </w:pPr>
      <w:bookmarkStart w:id="263" w:name="_Toc48979598"/>
      <w:r w:rsidRPr="00566B6A">
        <w:t xml:space="preserve">“Appellate review of custody determinations is generally limited to determining whether the district court has abused its discretion.  However, the interpretation and construction of statutes are questions of law that [appellate courts] review de novo.”  </w:t>
      </w:r>
      <w:r w:rsidRPr="00566B6A">
        <w:rPr>
          <w:i/>
        </w:rPr>
        <w:t>Lewis-Miller v. Ross</w:t>
      </w:r>
      <w:r w:rsidRPr="00566B6A">
        <w:t xml:space="preserve">, 710 N.W.2d 565, 568 (Minn. 2006) (citation omitted); </w:t>
      </w:r>
      <w:r w:rsidRPr="00566B6A">
        <w:rPr>
          <w:i/>
        </w:rPr>
        <w:t>see</w:t>
      </w:r>
      <w:r w:rsidRPr="00566B6A">
        <w:t xml:space="preserve"> </w:t>
      </w:r>
      <w:r w:rsidRPr="00566B6A">
        <w:rPr>
          <w:i/>
        </w:rPr>
        <w:t>In re Custody of N.A.K.</w:t>
      </w:r>
      <w:r w:rsidRPr="00566B6A">
        <w:t>, 649 N.W.2d 166, 174 (Minn. 2002) (“District courts have broad discretion to determine matters of custody.  Appellate review of custody determinations is limited to whether the district court abused its discretion by making findings unsupported by the evidence or by improperly applying the law.  When determining whether findings are clearly erroneous, an appellate court views the record in the light most favorable to the [district] court’s findings.  As a general matter, appellate courts review questions of law de novo.” (citations omitted)).</w:t>
      </w:r>
    </w:p>
    <w:p w:rsidR="003A397A" w:rsidRPr="00A17436" w:rsidRDefault="00E051EE" w:rsidP="00337FFA">
      <w:pPr>
        <w:pStyle w:val="Heading3"/>
      </w:pPr>
      <w:bookmarkStart w:id="264" w:name="_Toc395604553"/>
      <w:r w:rsidRPr="00CA4465">
        <w:lastRenderedPageBreak/>
        <w:t>4</w:t>
      </w:r>
      <w:r w:rsidR="003A397A" w:rsidRPr="00CA4465">
        <w:t>.</w:t>
      </w:r>
      <w:r w:rsidR="003A397A" w:rsidRPr="00CA4465">
        <w:tab/>
        <w:t>Parenting Time</w:t>
      </w:r>
      <w:bookmarkEnd w:id="263"/>
      <w:bookmarkEnd w:id="264"/>
    </w:p>
    <w:p w:rsidR="00566B6A" w:rsidRPr="00566B6A" w:rsidRDefault="00566B6A" w:rsidP="00566B6A">
      <w:pPr>
        <w:ind w:left="720"/>
      </w:pPr>
      <w:r w:rsidRPr="00566B6A">
        <w:t xml:space="preserve">“In 2000, legislation was passed replacing the term ‘visitation’ with ‘parenting time’ and allowing parties to create ‘parenting plans.’  2000 Minn. Laws ch. 444, art. 1, §§ 1-8.  Minnesota statutes now refer to parenting time, not visitation.”  </w:t>
      </w:r>
      <w:r w:rsidRPr="00566B6A">
        <w:rPr>
          <w:i/>
        </w:rPr>
        <w:t>In re Welfare of B.K.P.</w:t>
      </w:r>
      <w:r w:rsidRPr="00566B6A">
        <w:t xml:space="preserve">, 662 N.W.2d 913, 914 n.1 (Minn. App. 2003); </w:t>
      </w:r>
      <w:r w:rsidRPr="00566B6A">
        <w:rPr>
          <w:i/>
        </w:rPr>
        <w:t>see</w:t>
      </w:r>
      <w:r w:rsidRPr="00566B6A">
        <w:t xml:space="preserve"> </w:t>
      </w:r>
      <w:r w:rsidRPr="00566B6A">
        <w:rPr>
          <w:i/>
        </w:rPr>
        <w:t>Hagen v. Schirmers</w:t>
      </w:r>
      <w:r w:rsidRPr="00566B6A">
        <w:t xml:space="preserve">, 783 N.W.2d 212, 215 (Minn. App. 2010) (stating “[t]his dispute concerns allocation of parenting time, formerly known as visitation, </w:t>
      </w:r>
      <w:r w:rsidRPr="00566B6A">
        <w:rPr>
          <w:i/>
        </w:rPr>
        <w:t>see</w:t>
      </w:r>
      <w:r w:rsidRPr="00566B6A">
        <w:t xml:space="preserve"> 2000 Minn. Laws ch. 444, art. 1, §§ 1-8 (changing visitation provisions to parenting-time provisions)”).</w:t>
      </w:r>
    </w:p>
    <w:p w:rsidR="00566B6A" w:rsidRPr="00566B6A" w:rsidRDefault="00566B6A" w:rsidP="00566B6A">
      <w:pPr>
        <w:ind w:left="720"/>
      </w:pPr>
    </w:p>
    <w:p w:rsidR="00566B6A" w:rsidRPr="00566B6A" w:rsidRDefault="00566B6A" w:rsidP="00566B6A">
      <w:pPr>
        <w:ind w:left="720"/>
      </w:pPr>
      <w:r w:rsidRPr="00566B6A">
        <w:t xml:space="preserve">“Parenting plans must include a number of elements, one of which is a schedule of the time each parent spends with a child.”  </w:t>
      </w:r>
      <w:r w:rsidRPr="00566B6A">
        <w:rPr>
          <w:i/>
        </w:rPr>
        <w:t>In re Welfare of B.K.P.</w:t>
      </w:r>
      <w:r w:rsidRPr="00566B6A">
        <w:t>, 662 N.W.2d 913, 914 n.1 (Minn. App. 2003).</w:t>
      </w:r>
    </w:p>
    <w:p w:rsidR="00566B6A" w:rsidRPr="00566B6A" w:rsidRDefault="00566B6A" w:rsidP="00566B6A">
      <w:pPr>
        <w:ind w:left="720"/>
      </w:pPr>
    </w:p>
    <w:p w:rsidR="00566B6A" w:rsidRPr="00566B6A" w:rsidRDefault="00566B6A" w:rsidP="00566B6A">
      <w:pPr>
        <w:ind w:left="720"/>
      </w:pPr>
      <w:r w:rsidRPr="00566B6A">
        <w:t xml:space="preserve">The district court has broad discretion in deciding parenting-time questions based on the best interests of the child and will not be reversed absent an abuse of discretion.  </w:t>
      </w:r>
      <w:r w:rsidRPr="00566B6A">
        <w:rPr>
          <w:i/>
        </w:rPr>
        <w:t xml:space="preserve"> Olson v. Olson</w:t>
      </w:r>
      <w:r w:rsidRPr="00566B6A">
        <w:t xml:space="preserve">, 534 N.W.2d 547, 550 (Minn. 1995); </w:t>
      </w:r>
      <w:r w:rsidRPr="00566B6A">
        <w:rPr>
          <w:i/>
        </w:rPr>
        <w:t>Matson v. Matson</w:t>
      </w:r>
      <w:r w:rsidRPr="00566B6A">
        <w:t xml:space="preserve">, 638 N.W.2d 462, 465 (Minn. App. 2002); </w:t>
      </w:r>
      <w:r w:rsidRPr="00566B6A">
        <w:rPr>
          <w:i/>
        </w:rPr>
        <w:t>Braith v. Fischer</w:t>
      </w:r>
      <w:r w:rsidRPr="00566B6A">
        <w:t xml:space="preserve">, 632 N.W.2d 716, 721 (Minn. App. 2001), </w:t>
      </w:r>
      <w:r w:rsidRPr="00566B6A">
        <w:rPr>
          <w:i/>
        </w:rPr>
        <w:t>review denied</w:t>
      </w:r>
      <w:r w:rsidRPr="00566B6A">
        <w:t xml:space="preserve"> (Minn. Oct. 24, 2001).</w:t>
      </w:r>
    </w:p>
    <w:p w:rsidR="00566B6A" w:rsidRPr="00566B6A" w:rsidRDefault="00566B6A" w:rsidP="00566B6A">
      <w:pPr>
        <w:ind w:left="720"/>
      </w:pPr>
    </w:p>
    <w:p w:rsidR="00566B6A" w:rsidRPr="00566B6A" w:rsidRDefault="00566B6A" w:rsidP="00566B6A">
      <w:pPr>
        <w:ind w:left="720"/>
      </w:pPr>
      <w:r w:rsidRPr="00566B6A">
        <w:t xml:space="preserve">“A district court abuses [its] discretion [regarding parenting time] by making findings unsupported by the evidence or improperly applying the law.”  </w:t>
      </w:r>
      <w:r w:rsidRPr="00566B6A">
        <w:rPr>
          <w:i/>
        </w:rPr>
        <w:t>Hagen v. Schirmers</w:t>
      </w:r>
      <w:r w:rsidRPr="00566B6A">
        <w:t xml:space="preserve">, 783 N.W.2d 212, 215 (Minn. App. 2010) (citing </w:t>
      </w:r>
      <w:r w:rsidRPr="00566B6A">
        <w:rPr>
          <w:i/>
        </w:rPr>
        <w:t>Pikula v. Pikula</w:t>
      </w:r>
      <w:r w:rsidRPr="00566B6A">
        <w:t>, 374 N.W.2d 705, 710 (Minn. 1985)).</w:t>
      </w:r>
    </w:p>
    <w:p w:rsidR="00566B6A" w:rsidRPr="00566B6A" w:rsidRDefault="00566B6A" w:rsidP="00566B6A">
      <w:pPr>
        <w:ind w:left="720"/>
      </w:pPr>
    </w:p>
    <w:p w:rsidR="00566B6A" w:rsidRPr="00566B6A" w:rsidRDefault="00566B6A" w:rsidP="00566B6A">
      <w:pPr>
        <w:ind w:left="720"/>
      </w:pPr>
      <w:r w:rsidRPr="00566B6A">
        <w:t xml:space="preserve">A district court’s findings of fact, on which a parenting-time decision is based, will be upheld unless they are clearly erroneous.  </w:t>
      </w:r>
      <w:r w:rsidRPr="00566B6A">
        <w:rPr>
          <w:i/>
        </w:rPr>
        <w:t>Griffin v. Van Griffin</w:t>
      </w:r>
      <w:r w:rsidRPr="00566B6A">
        <w:t xml:space="preserve">, 267 N.W.2d 733, 735 (Minn. 1978). </w:t>
      </w:r>
    </w:p>
    <w:p w:rsidR="00566B6A" w:rsidRPr="00566B6A" w:rsidRDefault="00566B6A" w:rsidP="00566B6A">
      <w:pPr>
        <w:ind w:left="720"/>
      </w:pPr>
    </w:p>
    <w:p w:rsidR="00566B6A" w:rsidRPr="00566B6A" w:rsidRDefault="00566B6A" w:rsidP="00566B6A">
      <w:pPr>
        <w:ind w:left="720"/>
      </w:pPr>
      <w:r w:rsidRPr="00566B6A">
        <w:t xml:space="preserve">“Determining the legal standard applicable to a change in parenting time is a question of law and is subject to de novo review.”  </w:t>
      </w:r>
      <w:r w:rsidRPr="00566B6A">
        <w:rPr>
          <w:i/>
        </w:rPr>
        <w:t>Dahl v. Dahl</w:t>
      </w:r>
      <w:r w:rsidRPr="00566B6A">
        <w:t>, 765 N.W.2d 118, 123 (Minn. App. 2009).</w:t>
      </w:r>
    </w:p>
    <w:p w:rsidR="00566B6A" w:rsidRPr="00566B6A" w:rsidRDefault="00566B6A" w:rsidP="00566B6A">
      <w:pPr>
        <w:ind w:left="720"/>
      </w:pPr>
    </w:p>
    <w:p w:rsidR="00566B6A" w:rsidRPr="00566B6A" w:rsidRDefault="00566B6A" w:rsidP="00566B6A">
      <w:pPr>
        <w:ind w:left="720"/>
      </w:pPr>
      <w:r w:rsidRPr="00566B6A">
        <w:t xml:space="preserve">“It is well established that the ultimate question in all disputes over visitation is what is in the best interest of the child.”  </w:t>
      </w:r>
      <w:r w:rsidRPr="00566B6A">
        <w:rPr>
          <w:i/>
        </w:rPr>
        <w:t>Clark v. Clark</w:t>
      </w:r>
      <w:r w:rsidRPr="00566B6A">
        <w:t xml:space="preserve">, 346 N.W.2d 383, 385 (Minn. App. 1984), </w:t>
      </w:r>
      <w:r w:rsidRPr="00566B6A">
        <w:rPr>
          <w:i/>
        </w:rPr>
        <w:t>review denied</w:t>
      </w:r>
      <w:r w:rsidRPr="00566B6A">
        <w:t xml:space="preserve"> (Minn. June 12, 1984).</w:t>
      </w:r>
    </w:p>
    <w:p w:rsidR="00566B6A" w:rsidRPr="00566B6A" w:rsidRDefault="00566B6A" w:rsidP="00566B6A">
      <w:pPr>
        <w:ind w:left="720"/>
      </w:pPr>
    </w:p>
    <w:p w:rsidR="00566B6A" w:rsidRPr="00566B6A" w:rsidRDefault="00566B6A" w:rsidP="00566B6A">
      <w:pPr>
        <w:ind w:left="720"/>
      </w:pPr>
      <w:r w:rsidRPr="00566B6A">
        <w:t xml:space="preserve">“Substantial modifications of visitation rights require an evidentiary hearing when, by affidavit, the moving party makes a prima facie showing that visitation is likely to endanger the child’s physical or emotional well being.  Insubstantial modifications or adjustments of visitation, on the other hand, do not require an evidentiary hearing and are appropriate if they serve the child’s best interests.”  </w:t>
      </w:r>
      <w:r w:rsidRPr="00566B6A">
        <w:rPr>
          <w:i/>
        </w:rPr>
        <w:t>Braith v. Fischer</w:t>
      </w:r>
      <w:r w:rsidRPr="00566B6A">
        <w:t xml:space="preserve">, 632 N.W.2d 716, 721 (Minn. App. 2001) (citations omitted), </w:t>
      </w:r>
      <w:r w:rsidRPr="00566B6A">
        <w:rPr>
          <w:i/>
        </w:rPr>
        <w:t>review denied</w:t>
      </w:r>
      <w:r w:rsidRPr="00566B6A">
        <w:t xml:space="preserve"> (Minn. Oct. 24, 2001).</w:t>
      </w:r>
    </w:p>
    <w:p w:rsidR="00AF1372" w:rsidRPr="00A17436" w:rsidRDefault="00E051EE" w:rsidP="00337FFA">
      <w:pPr>
        <w:pStyle w:val="Heading3"/>
      </w:pPr>
      <w:bookmarkStart w:id="265" w:name="_Toc395604554"/>
      <w:r w:rsidRPr="00CA4465">
        <w:lastRenderedPageBreak/>
        <w:t>5</w:t>
      </w:r>
      <w:r w:rsidR="003A397A" w:rsidRPr="00CA4465">
        <w:t>.</w:t>
      </w:r>
      <w:r w:rsidR="003A397A" w:rsidRPr="00CA4465">
        <w:tab/>
      </w:r>
      <w:bookmarkStart w:id="266" w:name="_Toc48979599"/>
      <w:r w:rsidR="003A397A" w:rsidRPr="00CA4465">
        <w:t>Child Support</w:t>
      </w:r>
      <w:bookmarkEnd w:id="266"/>
      <w:bookmarkEnd w:id="265"/>
    </w:p>
    <w:p w:rsidR="007D7AF6" w:rsidRPr="007D7AF6" w:rsidRDefault="007D7AF6" w:rsidP="007D7AF6">
      <w:pPr>
        <w:ind w:left="720"/>
      </w:pPr>
      <w:bookmarkStart w:id="267" w:name="_Toc48979600"/>
      <w:r w:rsidRPr="007D7AF6">
        <w:rPr>
          <w:b/>
        </w:rPr>
        <w:t>Note:</w:t>
      </w:r>
      <w:r w:rsidRPr="007D7AF6">
        <w:t xml:space="preserve"> Before the effective date of the 2006 amendments of the child-support statutes, child support was governed by the child-support guidelines of Minn. Stat. § 518.551 and related provisions in chapter 518.  Most of the cases cited below involve review of child-support decisions made under those child-support guidelines, related statutes, and their predecessors.  In 2006, the child-support guidelines were replaced by the income-shares child-support calculations, and most of the child-support-related statutes were removed from chapter 518 and codified in what is now chapter 518A </w:t>
      </w:r>
      <w:r w:rsidRPr="00E46CC9">
        <w:t>(201</w:t>
      </w:r>
      <w:r w:rsidR="00E93605" w:rsidRPr="00E46CC9">
        <w:t>2 &amp; Supp. 2013</w:t>
      </w:r>
      <w:r w:rsidRPr="00E46CC9">
        <w:t>).</w:t>
      </w:r>
      <w:r w:rsidRPr="007D7AF6">
        <w:t xml:space="preserve">  Generally, the provisions of the 2006 amendments of the child-support statutes became effective January 1, 2007, with the new provisions applying to all child-support orders in effect before January 1, 2007, except that (a) “[t]he provisions [of the new statute] used to calculate [the] parties’ [child-]support obligations apply to actions or motions filed after January 1, 2007”; and (b) the provisions of the statute “used to calculate [the] parties’ support obligations apply to actions or motions for past support or reimbursement filed after January 1, 2007.”  2006 Minn. Laws ch. 280, § 44, at 1145.  As of the release of this document, there is still limited published authority addressing the new income-shares child-support statutes.</w:t>
      </w:r>
    </w:p>
    <w:p w:rsidR="003A397A" w:rsidRPr="00A17436" w:rsidRDefault="003A397A" w:rsidP="00300AEE">
      <w:pPr>
        <w:pStyle w:val="Heading4"/>
      </w:pPr>
      <w:bookmarkStart w:id="268" w:name="_Toc395604555"/>
      <w:r w:rsidRPr="00CA4465">
        <w:t>a.</w:t>
      </w:r>
      <w:r w:rsidRPr="00CA4465">
        <w:tab/>
        <w:t>In General</w:t>
      </w:r>
      <w:bookmarkEnd w:id="267"/>
      <w:bookmarkEnd w:id="268"/>
    </w:p>
    <w:p w:rsidR="007D7AF6" w:rsidRPr="007D7AF6" w:rsidRDefault="007D7AF6" w:rsidP="007D7AF6">
      <w:pPr>
        <w:ind w:left="1440"/>
      </w:pPr>
      <w:bookmarkStart w:id="269" w:name="_Toc48979601"/>
      <w:r w:rsidRPr="007D7AF6">
        <w:t xml:space="preserve">The district court has broad discretion to provide for the support of the parties’ children.  </w:t>
      </w:r>
      <w:r w:rsidRPr="007D7AF6">
        <w:rPr>
          <w:i/>
        </w:rPr>
        <w:t>Rutten v. Rutten</w:t>
      </w:r>
      <w:r w:rsidRPr="007D7AF6">
        <w:t xml:space="preserve">, 347 N.W.2d 47, 50 (Minn. 1984).  A district court abuses its discretion when it sets support in a manner that is against logic and the facts on record or it misapplies the law.  </w:t>
      </w:r>
      <w:r w:rsidRPr="007D7AF6">
        <w:rPr>
          <w:i/>
        </w:rPr>
        <w:t>See id.</w:t>
      </w:r>
      <w:r w:rsidRPr="007D7AF6">
        <w:t xml:space="preserve"> (addressing the setting of support in manner that is against logic and facts on record); </w:t>
      </w:r>
      <w:r w:rsidRPr="007D7AF6">
        <w:rPr>
          <w:i/>
        </w:rPr>
        <w:t>Ver Kuilen v. Ver Kuilen</w:t>
      </w:r>
      <w:r w:rsidRPr="007D7AF6">
        <w:t xml:space="preserve">, 578 N.W.2d 790, 792 (Minn. App. 1998) (addressing an improper application of law).  </w:t>
      </w:r>
    </w:p>
    <w:p w:rsidR="007D7AF6" w:rsidRPr="007D7AF6" w:rsidRDefault="007D7AF6" w:rsidP="007D7AF6">
      <w:pPr>
        <w:ind w:left="1440"/>
      </w:pPr>
    </w:p>
    <w:p w:rsidR="007D7AF6" w:rsidRPr="007D7AF6" w:rsidRDefault="007D7AF6" w:rsidP="007D7AF6">
      <w:pPr>
        <w:ind w:left="1440"/>
      </w:pPr>
      <w:r w:rsidRPr="007D7AF6">
        <w:t xml:space="preserve">“The district court’s determination of net income must be based in fact and it will not be overturned unless it is clearly erroneous.  If the court’s determination of income is challenged on appeal, we look to both the court’s findings and the evidence of record to ascertain whether there has been clear error.  We are unable to conduct a meaningful review if an essential finding has been omitted.”  </w:t>
      </w:r>
      <w:r w:rsidRPr="007D7AF6">
        <w:rPr>
          <w:i/>
        </w:rPr>
        <w:t>Schisel v. Schisel</w:t>
      </w:r>
      <w:r w:rsidRPr="007D7AF6">
        <w:t>, 762 N.W.2d 265, 272 (Minn. App. 2009) (citations omitted).</w:t>
      </w:r>
    </w:p>
    <w:p w:rsidR="007D7AF6" w:rsidRPr="007D7AF6" w:rsidRDefault="007D7AF6" w:rsidP="007D7AF6">
      <w:pPr>
        <w:ind w:left="1440"/>
      </w:pPr>
    </w:p>
    <w:p w:rsidR="007D7AF6" w:rsidRPr="007D7AF6" w:rsidRDefault="007D7AF6" w:rsidP="007D7AF6">
      <w:pPr>
        <w:ind w:left="1440"/>
      </w:pPr>
      <w:r w:rsidRPr="007D7AF6">
        <w:t xml:space="preserve">Whether a source of funds is considered to be income for child-support purposes is a legal question reviewed de novo.  </w:t>
      </w:r>
      <w:r w:rsidRPr="007D7AF6">
        <w:rPr>
          <w:i/>
        </w:rPr>
        <w:t>Sherburne Cnty. Soc. Servs. ex rel. Schafer v. Riedle</w:t>
      </w:r>
      <w:r w:rsidRPr="007D7AF6">
        <w:t>, 481 N.W.2d 111, 112 (Minn. App. 1992).</w:t>
      </w:r>
    </w:p>
    <w:p w:rsidR="007D7AF6" w:rsidRPr="007D7AF6" w:rsidRDefault="007D7AF6" w:rsidP="007D7AF6">
      <w:pPr>
        <w:ind w:left="1440"/>
      </w:pPr>
    </w:p>
    <w:p w:rsidR="007D7AF6" w:rsidRPr="007D7AF6" w:rsidRDefault="007D7AF6" w:rsidP="007D7AF6">
      <w:pPr>
        <w:ind w:left="1440"/>
      </w:pPr>
      <w:r w:rsidRPr="007D7AF6">
        <w:t xml:space="preserve">Whether distributions from subchapter-S corporations should be treated as income for child-support purposes is generally treated as a question of fact.  </w:t>
      </w:r>
      <w:r w:rsidRPr="007D7AF6">
        <w:rPr>
          <w:i/>
        </w:rPr>
        <w:t>Williams v. Williams</w:t>
      </w:r>
      <w:r w:rsidRPr="007D7AF6">
        <w:t xml:space="preserve">, 635 N.W.2d 99, 103 (Minn. App. 2001). </w:t>
      </w:r>
    </w:p>
    <w:p w:rsidR="007D7AF6" w:rsidRPr="007D7AF6" w:rsidRDefault="007D7AF6" w:rsidP="007D7AF6">
      <w:pPr>
        <w:ind w:left="1440"/>
      </w:pPr>
    </w:p>
    <w:p w:rsidR="007D7AF6" w:rsidRPr="007D7AF6" w:rsidRDefault="007D7AF6" w:rsidP="007D7AF6">
      <w:pPr>
        <w:ind w:left="1440"/>
      </w:pPr>
      <w:r w:rsidRPr="007D7AF6">
        <w:t>Determinations of past child support due under Minn. Stat. § 257.66, subd. 4</w:t>
      </w:r>
      <w:r w:rsidR="00E93605">
        <w:t xml:space="preserve"> (2012)</w:t>
      </w:r>
      <w:r w:rsidRPr="007D7AF6">
        <w:t xml:space="preserve"> are reviewed under an abuse-of-discretion standard.  </w:t>
      </w:r>
      <w:r w:rsidRPr="007D7AF6">
        <w:rPr>
          <w:i/>
        </w:rPr>
        <w:t>LaChapelle v. Mitten</w:t>
      </w:r>
      <w:r w:rsidRPr="007D7AF6">
        <w:t xml:space="preserve">, 607 N.W.2d 151, 166 (Minn. App. 2000), </w:t>
      </w:r>
      <w:r w:rsidRPr="007D7AF6">
        <w:rPr>
          <w:i/>
        </w:rPr>
        <w:t>review denied</w:t>
      </w:r>
      <w:r w:rsidRPr="007D7AF6">
        <w:t xml:space="preserve"> (Minn. May 16, 2000).</w:t>
      </w:r>
    </w:p>
    <w:p w:rsidR="007D7AF6" w:rsidRPr="007D7AF6" w:rsidRDefault="007D7AF6" w:rsidP="007D7AF6">
      <w:pPr>
        <w:ind w:left="1440"/>
      </w:pPr>
    </w:p>
    <w:p w:rsidR="007D7AF6" w:rsidRPr="007D7AF6" w:rsidRDefault="007D7AF6" w:rsidP="007D7AF6">
      <w:pPr>
        <w:ind w:left="1440"/>
      </w:pPr>
      <w:r w:rsidRPr="007D7AF6">
        <w:lastRenderedPageBreak/>
        <w:t>An appellate court will not reverse a district court’s decision denying additional child support under Minn. Stat. § 256.87</w:t>
      </w:r>
      <w:r w:rsidR="00E93605">
        <w:t xml:space="preserve"> (2012)</w:t>
      </w:r>
      <w:r w:rsidRPr="007D7AF6">
        <w:t xml:space="preserve"> absent an abuse of discretion.  </w:t>
      </w:r>
      <w:r w:rsidRPr="007D7AF6">
        <w:rPr>
          <w:i/>
        </w:rPr>
        <w:t>Ver Kuilen v. Ver Kuilen</w:t>
      </w:r>
      <w:r w:rsidRPr="007D7AF6">
        <w:t xml:space="preserve">, 578 N.W.2d 790, 792 (Minn. App. 1998).  It is an abuse of discretion when the district court improperly applies the law to the facts.  </w:t>
      </w:r>
      <w:r w:rsidRPr="007D7AF6">
        <w:rPr>
          <w:i/>
        </w:rPr>
        <w:t>Id.</w:t>
      </w:r>
      <w:r w:rsidRPr="007D7AF6">
        <w:t xml:space="preserve"> (citing </w:t>
      </w:r>
      <w:r w:rsidRPr="007D7AF6">
        <w:rPr>
          <w:i/>
        </w:rPr>
        <w:t>Sefkow v. Sefkow</w:t>
      </w:r>
      <w:r w:rsidRPr="007D7AF6">
        <w:t>, 427 N.W.2d 203, 210 (Minn. 1988)).</w:t>
      </w:r>
    </w:p>
    <w:p w:rsidR="007D7AF6" w:rsidRPr="007D7AF6" w:rsidRDefault="007D7AF6" w:rsidP="007D7AF6">
      <w:pPr>
        <w:ind w:left="1440"/>
      </w:pPr>
    </w:p>
    <w:p w:rsidR="007D7AF6" w:rsidRPr="007D7AF6" w:rsidRDefault="007D7AF6" w:rsidP="007D7AF6">
      <w:pPr>
        <w:ind w:left="1440"/>
      </w:pPr>
      <w:r w:rsidRPr="007D7AF6">
        <w:t xml:space="preserve">Whether to require a child-support obligor to provide life insurance on the obligor’s life to insure his or her support obligation is discretionary with the district court.  </w:t>
      </w:r>
      <w:r w:rsidRPr="007D7AF6">
        <w:rPr>
          <w:i/>
        </w:rPr>
        <w:t>Hunley v. Hunley</w:t>
      </w:r>
      <w:r w:rsidRPr="007D7AF6">
        <w:t>, 757 N.W.2d 898, 900-01 (Minn. App. 2008).</w:t>
      </w:r>
    </w:p>
    <w:p w:rsidR="007D7AF6" w:rsidRPr="007D7AF6" w:rsidRDefault="007D7AF6" w:rsidP="007D7AF6">
      <w:pPr>
        <w:ind w:left="1440"/>
      </w:pPr>
    </w:p>
    <w:p w:rsidR="007D7AF6" w:rsidRPr="007D7AF6" w:rsidRDefault="007D7AF6" w:rsidP="007D7AF6">
      <w:pPr>
        <w:ind w:left="1440"/>
      </w:pPr>
      <w:r w:rsidRPr="007D7AF6">
        <w:t xml:space="preserve">Allocation of federal-tax exemptions is discretionary with the district court.  </w:t>
      </w:r>
      <w:r w:rsidRPr="007D7AF6">
        <w:rPr>
          <w:i/>
        </w:rPr>
        <w:t>Ludwigson v. Ludwigson</w:t>
      </w:r>
      <w:r w:rsidRPr="007D7AF6">
        <w:t xml:space="preserve">, 642 N.W.2d 441, 449 (Minn. App. 2002).  </w:t>
      </w:r>
    </w:p>
    <w:p w:rsidR="007D7AF6" w:rsidRPr="007D7AF6" w:rsidRDefault="007D7AF6" w:rsidP="007D7AF6">
      <w:pPr>
        <w:ind w:left="1440"/>
      </w:pPr>
    </w:p>
    <w:p w:rsidR="007D7AF6" w:rsidRPr="007D7AF6" w:rsidRDefault="007D7AF6" w:rsidP="007D7AF6">
      <w:pPr>
        <w:ind w:left="1440"/>
      </w:pPr>
      <w:r w:rsidRPr="007D7AF6">
        <w:t xml:space="preserve">Interpreting the parenting-expense-adjustment statute “is a legal issue reviewed de novo.”  </w:t>
      </w:r>
      <w:r w:rsidRPr="007D7AF6">
        <w:rPr>
          <w:i/>
        </w:rPr>
        <w:t>Hesse v. Hesse</w:t>
      </w:r>
      <w:r w:rsidRPr="007D7AF6">
        <w:t>, 778 N.W.2d 98, 102 (Minn. App. 2009).</w:t>
      </w:r>
    </w:p>
    <w:p w:rsidR="007D7AF6" w:rsidRPr="007D7AF6" w:rsidRDefault="007D7AF6" w:rsidP="007D7AF6">
      <w:pPr>
        <w:ind w:left="1440"/>
      </w:pPr>
    </w:p>
    <w:p w:rsidR="007D7AF6" w:rsidRPr="007D7AF6" w:rsidRDefault="007D7AF6" w:rsidP="007D7AF6">
      <w:pPr>
        <w:ind w:left="1440"/>
      </w:pPr>
      <w:r w:rsidRPr="007D7AF6">
        <w:t xml:space="preserve">“Whether a parent is voluntarily unemployed is a finding of fact, which we review for clear error.”  </w:t>
      </w:r>
      <w:r w:rsidRPr="007D7AF6">
        <w:rPr>
          <w:i/>
        </w:rPr>
        <w:t>Welsh v. Welsh</w:t>
      </w:r>
      <w:r w:rsidRPr="007D7AF6">
        <w:t xml:space="preserve">, 775 N.W.2d 364, 370 (Minn. App. 2009).  </w:t>
      </w:r>
    </w:p>
    <w:p w:rsidR="007D7AF6" w:rsidRPr="007D7AF6" w:rsidRDefault="007D7AF6" w:rsidP="007D7AF6">
      <w:pPr>
        <w:ind w:left="1440"/>
      </w:pPr>
    </w:p>
    <w:p w:rsidR="007D7AF6" w:rsidRPr="007D7AF6" w:rsidRDefault="007D7AF6" w:rsidP="007D7AF6">
      <w:pPr>
        <w:ind w:left="1440"/>
      </w:pPr>
      <w:r w:rsidRPr="007D7AF6">
        <w:t xml:space="preserve">Where a child support obligee receives a lump sum of social security disability benefits on behalf of the parties’ children that is based on the obligor’s eligibility for those benefits, and where the amount of that lump sum exceeds the obligor’s existing child support arrears, the district court must credit the excess portion of the lump sum against the obligor’s prospective support obligation, but the manner in which the district court does so is discretionary with the district court.  </w:t>
      </w:r>
      <w:r w:rsidRPr="007D7AF6">
        <w:rPr>
          <w:i/>
        </w:rPr>
        <w:t>County of Grant v. Kosar</w:t>
      </w:r>
      <w:r w:rsidRPr="007D7AF6">
        <w:t>, 809 N.W.2d 237, 244 (Minn. App. 2012).</w:t>
      </w:r>
    </w:p>
    <w:p w:rsidR="003A397A" w:rsidRPr="00A17436" w:rsidRDefault="003A397A" w:rsidP="00300AEE">
      <w:pPr>
        <w:pStyle w:val="Heading4"/>
      </w:pPr>
      <w:bookmarkStart w:id="270" w:name="_Toc395604556"/>
      <w:r w:rsidRPr="00CA4465">
        <w:t>b.</w:t>
      </w:r>
      <w:r w:rsidRPr="00CA4465">
        <w:tab/>
        <w:t>Child Support Magistrates</w:t>
      </w:r>
      <w:bookmarkEnd w:id="270"/>
    </w:p>
    <w:p w:rsidR="007D7AF6" w:rsidRPr="007D7AF6" w:rsidRDefault="007D7AF6" w:rsidP="007D7AF6">
      <w:pPr>
        <w:ind w:left="1440"/>
      </w:pPr>
      <w:bookmarkStart w:id="271" w:name="_Toc48979602"/>
      <w:bookmarkEnd w:id="269"/>
      <w:r w:rsidRPr="007D7AF6">
        <w:t xml:space="preserve">On appeal from a child-support magistrate’s order which has not been reviewed by the district court, this court uses the same standard to review issues as would be applied if the order had been issued by a district court.  </w:t>
      </w:r>
      <w:r w:rsidRPr="007D7AF6">
        <w:rPr>
          <w:i/>
        </w:rPr>
        <w:t>Hesse v. Hesse</w:t>
      </w:r>
      <w:r w:rsidRPr="007D7AF6">
        <w:t xml:space="preserve">, 778 N.W.2d 98, 102 (Minn. App. 2009); </w:t>
      </w:r>
      <w:r w:rsidRPr="007D7AF6">
        <w:rPr>
          <w:i/>
        </w:rPr>
        <w:t>Brazinsky v. Brazinsky</w:t>
      </w:r>
      <w:r w:rsidRPr="007D7AF6">
        <w:t xml:space="preserve">, 610 N.W.2d 707, 710 (Minn. App. 2000); </w:t>
      </w:r>
      <w:r w:rsidRPr="007D7AF6">
        <w:rPr>
          <w:i/>
        </w:rPr>
        <w:t>see Putz v. Putz</w:t>
      </w:r>
      <w:r w:rsidRPr="007D7AF6">
        <w:t>, 645 N.W.2d 343, 348 (Minn. 2002) (wherein supreme court, in a case where the CSM’s ruling was not reviewed by the district court, stated that it had “never addressed” the question of the proper standard for reviewing a CSM’s decision but nonetheless applied an abuse-of-discretion standard, noting that “the court of appeals applied the abuse of discretion standard and the parties agree that it is the appropriate standard of review”).</w:t>
      </w:r>
    </w:p>
    <w:p w:rsidR="007D7AF6" w:rsidRPr="007D7AF6" w:rsidRDefault="007D7AF6" w:rsidP="007D7AF6">
      <w:pPr>
        <w:ind w:left="1440"/>
      </w:pPr>
    </w:p>
    <w:p w:rsidR="007D7AF6" w:rsidRPr="007D7AF6" w:rsidRDefault="007D7AF6" w:rsidP="007D7AF6">
      <w:pPr>
        <w:ind w:left="1440"/>
      </w:pPr>
      <w:r w:rsidRPr="007D7AF6">
        <w:t xml:space="preserve">If there is district-court review of a child-support magistrate’s decision, “[t]he district court reviews the CSM’s decision de novo.”  </w:t>
      </w:r>
      <w:r w:rsidRPr="007D7AF6">
        <w:rPr>
          <w:i/>
        </w:rPr>
        <w:t>Davis v. Davis</w:t>
      </w:r>
      <w:r w:rsidRPr="007D7AF6">
        <w:t>, 631 N.W.2d 822, 825 (Minn. App. 2001).</w:t>
      </w:r>
    </w:p>
    <w:p w:rsidR="007D7AF6" w:rsidRPr="007D7AF6" w:rsidRDefault="007D7AF6" w:rsidP="007D7AF6">
      <w:pPr>
        <w:ind w:left="1440"/>
      </w:pPr>
    </w:p>
    <w:p w:rsidR="007D7AF6" w:rsidRPr="007D7AF6" w:rsidRDefault="007D7AF6" w:rsidP="007D7AF6">
      <w:pPr>
        <w:ind w:left="1440"/>
      </w:pPr>
      <w:r w:rsidRPr="007D7AF6">
        <w:t xml:space="preserve">“[T]o the extent the reviewer of the CSM’s original decision affirms the CSM’s original decision, that original decision becomes the decision of the reviewer.”  </w:t>
      </w:r>
      <w:r w:rsidRPr="007D7AF6">
        <w:rPr>
          <w:i/>
        </w:rPr>
        <w:t>Kilpatrick v. Kilpatrick</w:t>
      </w:r>
      <w:r w:rsidRPr="007D7AF6">
        <w:t>, 673 N.W.2d 528, 530 n.2 (Minn. App. 2004).</w:t>
      </w:r>
    </w:p>
    <w:p w:rsidR="007D7AF6" w:rsidRPr="007D7AF6" w:rsidRDefault="007D7AF6" w:rsidP="007D7AF6">
      <w:pPr>
        <w:ind w:left="1440"/>
      </w:pPr>
    </w:p>
    <w:p w:rsidR="007D7AF6" w:rsidRPr="007D7AF6" w:rsidRDefault="007D7AF6" w:rsidP="007D7AF6">
      <w:pPr>
        <w:ind w:left="1440"/>
      </w:pPr>
      <w:r w:rsidRPr="007D7AF6">
        <w:t xml:space="preserve">On appeal from a child support magistrate’s ruling that has been affirmed by the district court, the standard of review is the same standard as would have been applied if the decision had been made by a district court in the first instance.  </w:t>
      </w:r>
      <w:r w:rsidRPr="007D7AF6">
        <w:rPr>
          <w:i/>
        </w:rPr>
        <w:t>Ludwigson v. Ludwigson</w:t>
      </w:r>
      <w:r w:rsidRPr="007D7AF6">
        <w:t>, 642 N.W.2d 441, 445-46 (Minn. App. 2002).</w:t>
      </w:r>
    </w:p>
    <w:p w:rsidR="007D7AF6" w:rsidRPr="007D7AF6" w:rsidRDefault="007D7AF6" w:rsidP="007D7AF6">
      <w:pPr>
        <w:ind w:left="1440"/>
      </w:pPr>
    </w:p>
    <w:p w:rsidR="007D7AF6" w:rsidRPr="007D7AF6" w:rsidRDefault="007D7AF6" w:rsidP="007D7AF6">
      <w:pPr>
        <w:ind w:left="1440"/>
      </w:pPr>
      <w:r w:rsidRPr="007D7AF6">
        <w:t xml:space="preserve">“Failure to submit a transcript to the district court for review of the CSM’s decision precludes consideration of the transcript on appeal because the transcript is not part of the record on appeal.”  </w:t>
      </w:r>
      <w:r w:rsidRPr="007D7AF6">
        <w:rPr>
          <w:i/>
        </w:rPr>
        <w:t>Davis v. Davis</w:t>
      </w:r>
      <w:r w:rsidRPr="007D7AF6">
        <w:t>, 631 N.W.2d 822, 826 (Minn. App. 2001).</w:t>
      </w:r>
    </w:p>
    <w:p w:rsidR="003A397A" w:rsidRPr="00A17436" w:rsidRDefault="003A397A" w:rsidP="00300AEE">
      <w:pPr>
        <w:pStyle w:val="Heading4"/>
      </w:pPr>
      <w:bookmarkStart w:id="272" w:name="_Toc395604557"/>
      <w:r w:rsidRPr="00CA4465">
        <w:t>c.</w:t>
      </w:r>
      <w:r w:rsidRPr="00CA4465">
        <w:tab/>
        <w:t>Joint Physical Custody</w:t>
      </w:r>
      <w:bookmarkEnd w:id="271"/>
      <w:r w:rsidRPr="00CA4465">
        <w:t xml:space="preserve"> and Child Support</w:t>
      </w:r>
      <w:bookmarkEnd w:id="272"/>
    </w:p>
    <w:p w:rsidR="007D7AF6" w:rsidRPr="007D7AF6" w:rsidRDefault="007D7AF6" w:rsidP="007D7AF6">
      <w:pPr>
        <w:ind w:left="1440"/>
      </w:pPr>
      <w:bookmarkStart w:id="273" w:name="_Toc48979603"/>
      <w:r w:rsidRPr="007D7AF6">
        <w:t>“[W]hen parents stipulate to a physical-custody arrangement and the district court adopts that arrangement, the dispositive factor in determining whether the arrangement establishes sole physical custody for one parent or joint physical custody for both parents, and therefore whether it is presumptively appropriate to apply the [</w:t>
      </w:r>
      <w:r w:rsidRPr="007D7AF6">
        <w:rPr>
          <w:i/>
        </w:rPr>
        <w:t>Hortis/Valento</w:t>
      </w:r>
      <w:r w:rsidRPr="007D7AF6">
        <w:t xml:space="preserve">] child support formula, is the district court’s description of the physical-custody arrangement.”  </w:t>
      </w:r>
      <w:r w:rsidRPr="007D7AF6">
        <w:rPr>
          <w:i/>
        </w:rPr>
        <w:t>Nolte v. Mehrens</w:t>
      </w:r>
      <w:r w:rsidRPr="007D7AF6">
        <w:t>, 648 N.W.2d 727, 730 (Minn. App. 2002).</w:t>
      </w:r>
    </w:p>
    <w:p w:rsidR="007D7AF6" w:rsidRPr="007D7AF6" w:rsidRDefault="007D7AF6" w:rsidP="007D7AF6">
      <w:pPr>
        <w:ind w:left="1440"/>
      </w:pPr>
    </w:p>
    <w:p w:rsidR="007D7AF6" w:rsidRPr="007D7AF6" w:rsidRDefault="007D7AF6" w:rsidP="007D7AF6">
      <w:pPr>
        <w:ind w:left="1440"/>
      </w:pPr>
      <w:r w:rsidRPr="007D7AF6">
        <w:t xml:space="preserve">“We apply the abuse-of-discretion standard to the district court’s application of [the] </w:t>
      </w:r>
      <w:r w:rsidRPr="007D7AF6">
        <w:rPr>
          <w:i/>
        </w:rPr>
        <w:t>Hortis</w:t>
      </w:r>
      <w:r w:rsidRPr="007D7AF6">
        <w:t>/</w:t>
      </w:r>
      <w:r w:rsidRPr="007D7AF6">
        <w:rPr>
          <w:i/>
        </w:rPr>
        <w:t>Valento</w:t>
      </w:r>
      <w:r w:rsidRPr="007D7AF6">
        <w:t xml:space="preserve"> [formula].”  </w:t>
      </w:r>
      <w:r w:rsidRPr="007D7AF6">
        <w:rPr>
          <w:i/>
        </w:rPr>
        <w:t>Schisel v. Schisel</w:t>
      </w:r>
      <w:r w:rsidRPr="007D7AF6">
        <w:t>, 762 N.W.2d 265, 273 (Minn. App. 2009).</w:t>
      </w:r>
    </w:p>
    <w:p w:rsidR="003A397A" w:rsidRPr="00A17436" w:rsidRDefault="003A397A" w:rsidP="00300AEE">
      <w:pPr>
        <w:pStyle w:val="Heading4"/>
      </w:pPr>
      <w:bookmarkStart w:id="274" w:name="_Toc395604558"/>
      <w:r w:rsidRPr="00CA4465">
        <w:t>d.</w:t>
      </w:r>
      <w:r w:rsidRPr="00CA4465">
        <w:tab/>
        <w:t>Modification of Child Support</w:t>
      </w:r>
      <w:bookmarkEnd w:id="273"/>
      <w:bookmarkEnd w:id="274"/>
    </w:p>
    <w:p w:rsidR="007D7AF6" w:rsidRPr="007D7AF6" w:rsidRDefault="007D7AF6" w:rsidP="007D7AF6">
      <w:pPr>
        <w:ind w:left="1440"/>
      </w:pPr>
      <w:r w:rsidRPr="007D7AF6">
        <w:t xml:space="preserve">Whether to modify child support is discretionary with the district court, and its decision will be altered on appeal only if it resolved the matter in a manner that is against logic and the facts on record.  </w:t>
      </w:r>
      <w:r w:rsidRPr="007D7AF6">
        <w:rPr>
          <w:i/>
        </w:rPr>
        <w:t>Putz v. Putz</w:t>
      </w:r>
      <w:r w:rsidRPr="007D7AF6">
        <w:t xml:space="preserve">, 645 N.W.2d 343, 347 (Minn. 2002); </w:t>
      </w:r>
      <w:r w:rsidRPr="007D7AF6">
        <w:rPr>
          <w:i/>
        </w:rPr>
        <w:t>Moylan v. Moylan</w:t>
      </w:r>
      <w:r w:rsidRPr="007D7AF6">
        <w:t xml:space="preserve">, 384 N.W.2d 859, 864 (Minn. 1986); </w:t>
      </w:r>
      <w:r w:rsidRPr="007D7AF6">
        <w:rPr>
          <w:i/>
        </w:rPr>
        <w:t>see</w:t>
      </w:r>
      <w:r w:rsidRPr="007D7AF6">
        <w:t xml:space="preserve"> </w:t>
      </w:r>
      <w:r w:rsidRPr="007D7AF6">
        <w:rPr>
          <w:i/>
        </w:rPr>
        <w:t>Haefele v. Haefele</w:t>
      </w:r>
      <w:r w:rsidRPr="007D7AF6">
        <w:t>, 837 N.W.2d 703, 708 (Minn. May 29, 2013) (stating that “[g]enerally, [appellate courts] review orders modifying child support for abuse of discretion”).</w:t>
      </w:r>
    </w:p>
    <w:p w:rsidR="007D7AF6" w:rsidRPr="007D7AF6" w:rsidRDefault="007D7AF6" w:rsidP="007D7AF6">
      <w:pPr>
        <w:ind w:left="1440"/>
      </w:pPr>
    </w:p>
    <w:p w:rsidR="007D7AF6" w:rsidRPr="007D7AF6" w:rsidRDefault="007D7AF6" w:rsidP="007D7AF6">
      <w:pPr>
        <w:ind w:left="1440"/>
      </w:pPr>
      <w:r w:rsidRPr="007D7AF6">
        <w:t xml:space="preserve">A district court has discretion to set the effective date of a child-support modification.  </w:t>
      </w:r>
      <w:r w:rsidRPr="007D7AF6">
        <w:rPr>
          <w:i/>
        </w:rPr>
        <w:t>Finch v. Marusich</w:t>
      </w:r>
      <w:r w:rsidRPr="007D7AF6">
        <w:t xml:space="preserve">, 457 N.W.2d 767, 770 (Minn. App. 1990); </w:t>
      </w:r>
      <w:r w:rsidRPr="007D7AF6">
        <w:rPr>
          <w:i/>
        </w:rPr>
        <w:t>see</w:t>
      </w:r>
      <w:r w:rsidRPr="007D7AF6">
        <w:t xml:space="preserve"> </w:t>
      </w:r>
      <w:r w:rsidRPr="007D7AF6">
        <w:rPr>
          <w:i/>
        </w:rPr>
        <w:t>Bauerly v. Bauerly</w:t>
      </w:r>
      <w:r w:rsidRPr="007D7AF6">
        <w:t>, 765 N.W.2d 108, 111 (Minn. App. 2009) (same).</w:t>
      </w:r>
    </w:p>
    <w:p w:rsidR="007D7AF6" w:rsidRPr="007D7AF6" w:rsidRDefault="007D7AF6" w:rsidP="007D7AF6">
      <w:pPr>
        <w:ind w:left="1440"/>
      </w:pPr>
    </w:p>
    <w:p w:rsidR="007D7AF6" w:rsidRPr="007D7AF6" w:rsidRDefault="007D7AF6" w:rsidP="007D7AF6">
      <w:pPr>
        <w:ind w:left="1440"/>
      </w:pPr>
      <w:r w:rsidRPr="007D7AF6">
        <w:t xml:space="preserve">“[M]odification of support is generally retroactive to the date the moving party served notice of the motion on the responding party[,]” and when no statutory exception to the general rule applied and there was no indication that the district court had exercised its discretion to make a child-support modification effective as of some other date, modification would be effective as of the date the motion was served.  </w:t>
      </w:r>
      <w:r w:rsidRPr="007D7AF6">
        <w:rPr>
          <w:i/>
        </w:rPr>
        <w:t>Bormann v. Bormann</w:t>
      </w:r>
      <w:r w:rsidRPr="007D7AF6">
        <w:t xml:space="preserve">, 644 N.W.2d 478, 482-83 (Minn. App. 2002). </w:t>
      </w:r>
    </w:p>
    <w:p w:rsidR="00B36562" w:rsidRDefault="00F33A1F" w:rsidP="00337FFA">
      <w:pPr>
        <w:pStyle w:val="Heading3"/>
      </w:pPr>
      <w:bookmarkStart w:id="275" w:name="_Toc395604559"/>
      <w:r>
        <w:lastRenderedPageBreak/>
        <w:t>6.</w:t>
      </w:r>
      <w:r>
        <w:tab/>
      </w:r>
      <w:r w:rsidR="00B36562" w:rsidRPr="00CA4465">
        <w:t>Parentage</w:t>
      </w:r>
      <w:r>
        <w:t>/Adoption/Name Change</w:t>
      </w:r>
      <w:bookmarkEnd w:id="275"/>
    </w:p>
    <w:p w:rsidR="007D7AF6" w:rsidRPr="007D7AF6" w:rsidRDefault="007D7AF6" w:rsidP="007D7AF6">
      <w:pPr>
        <w:pStyle w:val="Heading4"/>
      </w:pPr>
      <w:bookmarkStart w:id="276" w:name="_Toc395604560"/>
      <w:r>
        <w:t>a.</w:t>
      </w:r>
      <w:r>
        <w:tab/>
        <w:t>Parentage</w:t>
      </w:r>
      <w:bookmarkEnd w:id="276"/>
    </w:p>
    <w:p w:rsidR="007D7AF6" w:rsidRPr="007D7AF6" w:rsidRDefault="007D7AF6" w:rsidP="00CA0EB7">
      <w:pPr>
        <w:ind w:left="1440"/>
      </w:pPr>
      <w:r w:rsidRPr="007D7AF6">
        <w:t xml:space="preserve">Interpretation of the Minnesota Parentage Act is a question of law that appellate courts review de novo.  </w:t>
      </w:r>
      <w:r w:rsidRPr="007D7AF6">
        <w:rPr>
          <w:i/>
        </w:rPr>
        <w:t>Cnty. of Dakota v. Blackwell</w:t>
      </w:r>
      <w:r w:rsidRPr="007D7AF6">
        <w:t xml:space="preserve">, 809 N.W.2d 226, 228 (Minn. App. 2011); </w:t>
      </w:r>
      <w:r w:rsidRPr="007D7AF6">
        <w:rPr>
          <w:i/>
        </w:rPr>
        <w:t>Dorman v. Steffen</w:t>
      </w:r>
      <w:r w:rsidRPr="007D7AF6">
        <w:t xml:space="preserve">, 666 N.W.2d 409, 411 (Minn. App. 2003).  </w:t>
      </w:r>
    </w:p>
    <w:p w:rsidR="007D7AF6" w:rsidRPr="007D7AF6" w:rsidRDefault="007D7AF6" w:rsidP="00CA0EB7">
      <w:pPr>
        <w:ind w:left="1440"/>
      </w:pPr>
    </w:p>
    <w:p w:rsidR="007D7AF6" w:rsidRPr="007D7AF6" w:rsidRDefault="007D7AF6" w:rsidP="00CA0EB7">
      <w:pPr>
        <w:ind w:left="1440"/>
      </w:pPr>
      <w:r w:rsidRPr="007D7AF6">
        <w:t xml:space="preserve">Standing to bring a paternity action is “an issue of statutory interpretation reviewed de novo.”  </w:t>
      </w:r>
      <w:r w:rsidRPr="007D7AF6">
        <w:rPr>
          <w:i/>
        </w:rPr>
        <w:t>Zentz v. Graber</w:t>
      </w:r>
      <w:r w:rsidRPr="007D7AF6">
        <w:t xml:space="preserve">, 760 N.W.2d 1, 4 (Minn. App. 2009), </w:t>
      </w:r>
      <w:r w:rsidRPr="007D7AF6">
        <w:rPr>
          <w:i/>
        </w:rPr>
        <w:t>review denied</w:t>
      </w:r>
      <w:r w:rsidRPr="007D7AF6">
        <w:t xml:space="preserve"> (Minn. Mar. 31, 2009); </w:t>
      </w:r>
      <w:r w:rsidRPr="007D7AF6">
        <w:rPr>
          <w:i/>
        </w:rPr>
        <w:t>see</w:t>
      </w:r>
      <w:r w:rsidRPr="007D7AF6">
        <w:t xml:space="preserve"> </w:t>
      </w:r>
      <w:r w:rsidRPr="007D7AF6">
        <w:rPr>
          <w:i/>
        </w:rPr>
        <w:t>also</w:t>
      </w:r>
      <w:r w:rsidRPr="007D7AF6">
        <w:t xml:space="preserve"> </w:t>
      </w:r>
      <w:r w:rsidRPr="007D7AF6">
        <w:rPr>
          <w:i/>
          <w:szCs w:val="26"/>
        </w:rPr>
        <w:t>In re Custody of D.T.R.</w:t>
      </w:r>
      <w:r w:rsidRPr="007D7AF6">
        <w:rPr>
          <w:szCs w:val="26"/>
        </w:rPr>
        <w:t xml:space="preserve">, 796 N.W.2d 509, 512 (Minn. 2011); </w:t>
      </w:r>
      <w:r w:rsidRPr="007D7AF6">
        <w:rPr>
          <w:i/>
        </w:rPr>
        <w:t>Witso v. Overby</w:t>
      </w:r>
      <w:r w:rsidRPr="007D7AF6">
        <w:t>, 627 N.W.2d 63, 65-66 (Minn. 2001).</w:t>
      </w:r>
    </w:p>
    <w:p w:rsidR="002F6E1D" w:rsidRDefault="00CA0EB7" w:rsidP="00CA0EB7">
      <w:pPr>
        <w:pStyle w:val="Heading4"/>
      </w:pPr>
      <w:bookmarkStart w:id="277" w:name="_Toc395604561"/>
      <w:r>
        <w:t>b.</w:t>
      </w:r>
      <w:r>
        <w:tab/>
        <w:t>Adoption</w:t>
      </w:r>
      <w:bookmarkEnd w:id="277"/>
    </w:p>
    <w:p w:rsidR="00CA0EB7" w:rsidRPr="00CA0EB7" w:rsidRDefault="00CA0EB7" w:rsidP="00CA0EB7">
      <w:pPr>
        <w:ind w:left="1440"/>
      </w:pPr>
      <w:bookmarkStart w:id="278" w:name="_Toc48979604"/>
      <w:r w:rsidRPr="00CA0EB7">
        <w:t>On appeal from a district court’s dismissal, without an evidentiary hearing, of a motion for adoptive placement, the court of appeals adopted the standard of review applicable to the denial, without an evidentiary hearing, of a motion to modify custody, and stated:</w:t>
      </w:r>
    </w:p>
    <w:p w:rsidR="00CA0EB7" w:rsidRPr="00CA0EB7" w:rsidRDefault="00CA0EB7" w:rsidP="00CA0EB7">
      <w:pPr>
        <w:ind w:left="1440"/>
      </w:pPr>
    </w:p>
    <w:p w:rsidR="00CA0EB7" w:rsidRPr="00CA0EB7" w:rsidRDefault="00CA0EB7" w:rsidP="00CA0EB7">
      <w:pPr>
        <w:ind w:left="2880" w:right="1440"/>
      </w:pPr>
      <w:r w:rsidRPr="00CA0EB7">
        <w:tab/>
        <w:t>Applying the custody-modification standard, we first review de novo whether the district court properly treated the parties’ supporting documents.  The district court must accept facts in appellants’ supporting documents as true, disregard contrary allegations, and consider the non-moving party’s supporting documents only to the extent that they explain or provide context.  Second, we review the district court’s determination of whether appellants established a prima facie case for abuse of discretion.  Third, we review de novo whether the district court properly determined the need for an evidentiary hearing.  Whether a party makes a prima facie case ... is dispositive of whether an evidentiary hearing will occur....</w:t>
      </w:r>
    </w:p>
    <w:p w:rsidR="00CA0EB7" w:rsidRPr="00CA0EB7" w:rsidRDefault="00CA0EB7" w:rsidP="00CA0EB7">
      <w:pPr>
        <w:ind w:left="1440" w:right="1440"/>
      </w:pPr>
    </w:p>
    <w:p w:rsidR="00CA0EB7" w:rsidRPr="00CA0EB7" w:rsidRDefault="00CA0EB7" w:rsidP="00CA0EB7">
      <w:pPr>
        <w:ind w:left="1440"/>
      </w:pPr>
      <w:r w:rsidRPr="00CA0EB7">
        <w:rPr>
          <w:i/>
        </w:rPr>
        <w:t>In re Welfare of Children of L.L.P.</w:t>
      </w:r>
      <w:r w:rsidRPr="00CA0EB7">
        <w:t>, 836 N.W.2d 563, 570 (Minn. App. 2013) (citations and quotation marks omitted).</w:t>
      </w:r>
    </w:p>
    <w:p w:rsidR="00CA0EB7" w:rsidRPr="00CA0EB7" w:rsidRDefault="00CA0EB7" w:rsidP="00CA0EB7">
      <w:pPr>
        <w:ind w:left="1440"/>
      </w:pPr>
    </w:p>
    <w:p w:rsidR="00CA0EB7" w:rsidRPr="00CA0EB7" w:rsidRDefault="00CA0EB7" w:rsidP="00CA0EB7">
      <w:pPr>
        <w:ind w:left="1440"/>
      </w:pPr>
      <w:r w:rsidRPr="00CA0EB7">
        <w:t xml:space="preserve">Appellate courts review a district court’s decision of whether to grant an adoption petition for an abuse of discretion.  </w:t>
      </w:r>
      <w:r w:rsidRPr="00CA0EB7">
        <w:rPr>
          <w:i/>
        </w:rPr>
        <w:t>In re S.G.</w:t>
      </w:r>
      <w:r w:rsidRPr="00CA0EB7">
        <w:t xml:space="preserve">, 828 N.W.2d 118, 125-26 (Minn. 2013).  When doing so, the appellate court recognizes both the substantial latitude conferred on the district court by the statutory and best-interests factors involved in addressing whether a particular adoption should be by a relative or nonrelative, and that a district court’s exercise of its discretion must be supported by findings showing that the child’s best interests are being served.  </w:t>
      </w:r>
      <w:r w:rsidRPr="00CA0EB7">
        <w:rPr>
          <w:i/>
        </w:rPr>
        <w:t>Id.</w:t>
      </w:r>
    </w:p>
    <w:p w:rsidR="00CA0EB7" w:rsidRPr="00CA0EB7" w:rsidRDefault="00CA0EB7" w:rsidP="00CA0EB7">
      <w:pPr>
        <w:ind w:left="1440"/>
      </w:pPr>
    </w:p>
    <w:p w:rsidR="00CA0EB7" w:rsidRDefault="00CA0EB7" w:rsidP="00CA0EB7">
      <w:pPr>
        <w:ind w:left="1440"/>
        <w:rPr>
          <w:szCs w:val="26"/>
        </w:rPr>
      </w:pPr>
      <w:r w:rsidRPr="00CA0EB7">
        <w:rPr>
          <w:szCs w:val="26"/>
        </w:rPr>
        <w:lastRenderedPageBreak/>
        <w:t xml:space="preserve">An appellant’s “fail[ure] to challenge” the district court’s “independent, procedural basis” for its ruling granting an adoption was “fatal to her appeal.”  </w:t>
      </w:r>
      <w:r w:rsidRPr="00CA0EB7">
        <w:rPr>
          <w:i/>
          <w:szCs w:val="26"/>
        </w:rPr>
        <w:t>In re Adoption of T.A.M.</w:t>
      </w:r>
      <w:r w:rsidRPr="00CA0EB7">
        <w:rPr>
          <w:szCs w:val="26"/>
        </w:rPr>
        <w:t xml:space="preserve">, 791 N.W.2d 573, 577 (Minn. App. 2010).  </w:t>
      </w:r>
    </w:p>
    <w:p w:rsidR="00CA0EB7" w:rsidRDefault="00CA0EB7" w:rsidP="00CA0EB7">
      <w:pPr>
        <w:pStyle w:val="Heading4"/>
      </w:pPr>
      <w:bookmarkStart w:id="279" w:name="_Toc395604562"/>
      <w:r>
        <w:t>c.</w:t>
      </w:r>
      <w:r>
        <w:tab/>
        <w:t>Name Change</w:t>
      </w:r>
      <w:bookmarkEnd w:id="279"/>
    </w:p>
    <w:p w:rsidR="00CA0EB7" w:rsidRPr="00CA0EB7" w:rsidRDefault="00CA0EB7" w:rsidP="005F75C8">
      <w:pPr>
        <w:ind w:left="1440"/>
      </w:pPr>
      <w:r w:rsidRPr="00CA0EB7">
        <w:rPr>
          <w:szCs w:val="26"/>
        </w:rPr>
        <w:t xml:space="preserve">“We review a district court’s grant of a request to change a child’s name for abuse of discretion.  A district court abuses its discretion when evidence in the record does not support the factual findings, the court misapplied the law, or the court settles a dispute in a way that is against logic and the facts on record.”  </w:t>
      </w:r>
      <w:r w:rsidRPr="00CA0EB7">
        <w:rPr>
          <w:i/>
          <w:szCs w:val="26"/>
        </w:rPr>
        <w:t>Foster v. Foster</w:t>
      </w:r>
      <w:r w:rsidRPr="00CA0EB7">
        <w:rPr>
          <w:szCs w:val="26"/>
        </w:rPr>
        <w:t>, 802 N.W.2d 755, 756 (Minn. App. 2011) (citation and quotation omitted).</w:t>
      </w:r>
    </w:p>
    <w:p w:rsidR="003A397A" w:rsidRPr="00A17436" w:rsidRDefault="003A397A" w:rsidP="00604DD4">
      <w:pPr>
        <w:pStyle w:val="Heading2"/>
      </w:pPr>
      <w:bookmarkStart w:id="280" w:name="_Toc395604563"/>
      <w:r w:rsidRPr="00CA4465">
        <w:t>E.</w:t>
      </w:r>
      <w:r w:rsidRPr="00CA4465">
        <w:tab/>
        <w:t>ATTORNEY FEES</w:t>
      </w:r>
      <w:bookmarkEnd w:id="278"/>
      <w:bookmarkEnd w:id="280"/>
      <w:r w:rsidRPr="00CA4465">
        <w:tab/>
      </w:r>
    </w:p>
    <w:p w:rsidR="003A397A" w:rsidRPr="00A17436" w:rsidRDefault="0014336F" w:rsidP="00337FFA">
      <w:pPr>
        <w:pStyle w:val="Heading3"/>
      </w:pPr>
      <w:bookmarkStart w:id="281" w:name="_Toc395604564"/>
      <w:r w:rsidRPr="00CA4465">
        <w:t>1</w:t>
      </w:r>
      <w:r w:rsidR="003A397A" w:rsidRPr="00CA4465">
        <w:t>.</w:t>
      </w:r>
      <w:r w:rsidR="003A397A" w:rsidRPr="00CA4465">
        <w:tab/>
        <w:t>Need-Based Attorney Fees</w:t>
      </w:r>
      <w:bookmarkEnd w:id="281"/>
    </w:p>
    <w:p w:rsidR="00CA0EB7" w:rsidRPr="00CA0EB7" w:rsidRDefault="00CA0EB7" w:rsidP="00CA0EB7">
      <w:pPr>
        <w:ind w:left="720"/>
      </w:pPr>
      <w:r w:rsidRPr="00CA0EB7">
        <w:t xml:space="preserve">In the context of reviewing a need-based award of attorney fees, the Minnesota Supreme Court has stated:  “The standard of review for an appellate court examining an award of attorney fees is whether the district court abused its discretion.”  </w:t>
      </w:r>
      <w:r w:rsidRPr="00CA0EB7">
        <w:rPr>
          <w:i/>
        </w:rPr>
        <w:t>Gully v. Gully</w:t>
      </w:r>
      <w:r w:rsidRPr="00CA0EB7">
        <w:t xml:space="preserve">, 599 N.W.2d 814, 825 (Minn. 1999).  </w:t>
      </w:r>
      <w:r w:rsidRPr="00CA0EB7">
        <w:rPr>
          <w:i/>
        </w:rPr>
        <w:t>But cf.</w:t>
      </w:r>
      <w:r w:rsidRPr="00CA0EB7">
        <w:t xml:space="preserve"> Minn. Stat. § 518.14, subd. 1 (2012) (stating that district court “shall” award need-based attorney fees if statutory requirements are met); </w:t>
      </w:r>
      <w:r w:rsidRPr="00CA0EB7">
        <w:rPr>
          <w:i/>
        </w:rPr>
        <w:t>Holmberg v. Holmberg</w:t>
      </w:r>
      <w:r w:rsidRPr="00CA0EB7">
        <w:t xml:space="preserve">, 588 N.W.2d 720, 727 (Minn. 1999) (stating that Minn. Stat. § 518.14, subd. 1, “requires the court to award attorney fees if the fees are necessary to allow a party to continue an action brought in good faith, the party from whom fees are requested has the means to pay the fees, and the party seeking fees cannot pay the fees”).  </w:t>
      </w:r>
      <w:r w:rsidRPr="00CA0EB7">
        <w:rPr>
          <w:i/>
        </w:rPr>
        <w:t>See generally</w:t>
      </w:r>
      <w:r w:rsidRPr="00CA0EB7">
        <w:t xml:space="preserve"> </w:t>
      </w:r>
      <w:r w:rsidRPr="00CA0EB7">
        <w:rPr>
          <w:i/>
        </w:rPr>
        <w:t>Geske v. Marcolina</w:t>
      </w:r>
      <w:r w:rsidRPr="00CA0EB7">
        <w:t>, 624 N.W.2d 813, 816-19 (Minn. App. 2001) (addressing 1990 amendments to Minn. Stat. § 518.14, as well as recovery of attorney fees under Minn. Stat. § 518.14, subd. 1, in both district court and appellate court).</w:t>
      </w:r>
    </w:p>
    <w:p w:rsidR="003A397A" w:rsidRPr="00CA4465" w:rsidRDefault="0014336F" w:rsidP="00337FFA">
      <w:pPr>
        <w:pStyle w:val="Heading3"/>
      </w:pPr>
      <w:bookmarkStart w:id="282" w:name="_Toc395604565"/>
      <w:r w:rsidRPr="00CA4465">
        <w:t>2</w:t>
      </w:r>
      <w:r w:rsidR="00AE66D1" w:rsidRPr="00CA4465">
        <w:t>.</w:t>
      </w:r>
      <w:r w:rsidR="00AE66D1" w:rsidRPr="00CA4465">
        <w:tab/>
      </w:r>
      <w:r w:rsidR="003A397A" w:rsidRPr="00CA4465">
        <w:t>Conduct-Based Attorney Fees</w:t>
      </w:r>
      <w:bookmarkEnd w:id="282"/>
    </w:p>
    <w:p w:rsidR="00CA0EB7" w:rsidRPr="00CA0EB7" w:rsidRDefault="00CA0EB7" w:rsidP="00CA0EB7">
      <w:pPr>
        <w:ind w:left="720"/>
      </w:pPr>
      <w:bookmarkStart w:id="283" w:name="_Toc48979605"/>
      <w:r w:rsidRPr="00CA0EB7">
        <w:t xml:space="preserve">Conduct-based fee awards “are discretionary with the district court.”  </w:t>
      </w:r>
      <w:r w:rsidRPr="00CA0EB7">
        <w:rPr>
          <w:i/>
        </w:rPr>
        <w:t>Szarzynski v. Szarzynski</w:t>
      </w:r>
      <w:r w:rsidRPr="00CA0EB7">
        <w:t xml:space="preserve">, 732 N.W.2d 285, 295 (Minn. App. 2007); </w:t>
      </w:r>
      <w:r w:rsidRPr="00CA0EB7">
        <w:rPr>
          <w:i/>
        </w:rPr>
        <w:t xml:space="preserve">see also </w:t>
      </w:r>
      <w:r w:rsidRPr="00CA0EB7">
        <w:t xml:space="preserve">Minn. Stat. § 518.14, subd. 1 (2012) (stating that conduct-based fees “may” be awarded against a party who unreasonably contributes to the length or expense of the proceeding); </w:t>
      </w:r>
      <w:r w:rsidRPr="00CA0EB7">
        <w:rPr>
          <w:i/>
          <w:szCs w:val="26"/>
        </w:rPr>
        <w:t>In re Adoption of T.A.M.</w:t>
      </w:r>
      <w:r w:rsidRPr="00CA0EB7">
        <w:rPr>
          <w:szCs w:val="26"/>
        </w:rPr>
        <w:t>, 791 N.W.2d 573, 578 (Minn. App. 2010) (stating, in context of reviewing conduct-based award of attorney fees, that “[a]mong other ways, a district court abuses its discretion if it acts against logic and the facts on record, or if it enters fact findings that are unsupported by the record, or if it misapplies the law”) (quotations and citations omitted))</w:t>
      </w:r>
      <w:r w:rsidRPr="00CA0EB7">
        <w:t xml:space="preserve">.  </w:t>
      </w:r>
    </w:p>
    <w:p w:rsidR="003A397A" w:rsidRPr="00A17436" w:rsidRDefault="003A397A" w:rsidP="00604DD4">
      <w:pPr>
        <w:pStyle w:val="Heading2"/>
      </w:pPr>
      <w:bookmarkStart w:id="284" w:name="_Toc395604566"/>
      <w:r w:rsidRPr="00CA4465">
        <w:t>F.</w:t>
      </w:r>
      <w:r w:rsidRPr="00CA4465">
        <w:tab/>
        <w:t>CONTEMPT</w:t>
      </w:r>
      <w:bookmarkEnd w:id="283"/>
      <w:bookmarkEnd w:id="284"/>
    </w:p>
    <w:p w:rsidR="00CA0EB7" w:rsidRPr="00CA0EB7" w:rsidRDefault="00CA0EB7" w:rsidP="00CA0EB7">
      <w:bookmarkStart w:id="285" w:name="_Toc48979606"/>
      <w:r w:rsidRPr="00CA0EB7">
        <w:t xml:space="preserve">In reviewing a district court’s decision whether to hold a party in contempt, the factual findings are subject to reversal only if they are clearly erroneous, while the district court’s decision to invoke its contempt powers is subject to reversal only for an abuse of discretion.  </w:t>
      </w:r>
      <w:r w:rsidRPr="00CA0EB7">
        <w:rPr>
          <w:i/>
        </w:rPr>
        <w:t>Mower Cnty. Human Servs. ex rel. Swancutt v. Swancutt</w:t>
      </w:r>
      <w:r w:rsidRPr="00CA0EB7">
        <w:t>, 551 N.W.2d 219, 222 (Minn. 1996).</w:t>
      </w:r>
    </w:p>
    <w:p w:rsidR="00CA0EB7" w:rsidRPr="00CA0EB7" w:rsidRDefault="00CA0EB7" w:rsidP="00CA0EB7"/>
    <w:p w:rsidR="00CA0EB7" w:rsidRPr="00CA0EB7" w:rsidRDefault="00CA0EB7" w:rsidP="00CA0EB7">
      <w:r w:rsidRPr="00CA0EB7">
        <w:lastRenderedPageBreak/>
        <w:t xml:space="preserve">In reviewing a contempt order, appellate courts consider whether the order “was arbitrary and unreasonable or whether it finds support in the record.”  </w:t>
      </w:r>
      <w:r w:rsidRPr="00CA0EB7">
        <w:rPr>
          <w:i/>
        </w:rPr>
        <w:t>Gustafson v. Gustafson</w:t>
      </w:r>
      <w:r w:rsidRPr="00CA0EB7">
        <w:t>, 414 N.W.2d 235, 237 (Minn. App. 1987) (quotation omitted).</w:t>
      </w:r>
    </w:p>
    <w:p w:rsidR="00CA0EB7" w:rsidRPr="00CA0EB7" w:rsidRDefault="00CA0EB7" w:rsidP="00CA0EB7"/>
    <w:p w:rsidR="00CA0EB7" w:rsidRPr="00CA0EB7" w:rsidRDefault="00CA0EB7" w:rsidP="00CA0EB7">
      <w:r w:rsidRPr="00CA0EB7">
        <w:t xml:space="preserve">“The district court has broad discretion to hold an individual in contempt.  This court reviews a district court’s decision to invoke its contempt power under an abuse-of-discretion standard.”  </w:t>
      </w:r>
      <w:r w:rsidRPr="00CA0EB7">
        <w:rPr>
          <w:i/>
        </w:rPr>
        <w:t>Crockarell v. Crockarell</w:t>
      </w:r>
      <w:r w:rsidRPr="00CA0EB7">
        <w:t xml:space="preserve">, 631 N.W.2d 829, 833 (Minn. App. 2001) (citation omitted), </w:t>
      </w:r>
      <w:r w:rsidRPr="00CA0EB7">
        <w:rPr>
          <w:i/>
        </w:rPr>
        <w:t>review denied</w:t>
      </w:r>
      <w:r w:rsidRPr="00CA0EB7">
        <w:t xml:space="preserve"> (Minn. Oct. 16, 2001).  </w:t>
      </w:r>
    </w:p>
    <w:p w:rsidR="003A397A" w:rsidRPr="00A17436" w:rsidRDefault="003A397A" w:rsidP="00604DD4">
      <w:pPr>
        <w:pStyle w:val="Heading2"/>
      </w:pPr>
      <w:bookmarkStart w:id="286" w:name="_Toc395604567"/>
      <w:r w:rsidRPr="00CA4465">
        <w:t>G.</w:t>
      </w:r>
      <w:r w:rsidRPr="00CA4465">
        <w:tab/>
        <w:t>PROTECTIVE ORDERS</w:t>
      </w:r>
      <w:bookmarkEnd w:id="285"/>
      <w:bookmarkEnd w:id="286"/>
    </w:p>
    <w:p w:rsidR="00B36562" w:rsidRPr="00CA4465" w:rsidRDefault="00B36562" w:rsidP="00337FFA">
      <w:pPr>
        <w:pStyle w:val="Heading3"/>
      </w:pPr>
      <w:bookmarkStart w:id="287" w:name="_Toc395604568"/>
      <w:r w:rsidRPr="00CA4465">
        <w:t>1.</w:t>
      </w:r>
      <w:r w:rsidRPr="00CA4465">
        <w:tab/>
        <w:t>Harassment Restraining Orders</w:t>
      </w:r>
      <w:bookmarkEnd w:id="287"/>
      <w:r w:rsidRPr="00CA4465">
        <w:t xml:space="preserve"> </w:t>
      </w:r>
    </w:p>
    <w:p w:rsidR="00CA0EB7" w:rsidRPr="00CA0EB7" w:rsidRDefault="00CA0EB7" w:rsidP="00CA0EB7">
      <w:pPr>
        <w:ind w:left="720"/>
      </w:pPr>
      <w:r w:rsidRPr="00CA0EB7">
        <w:t xml:space="preserve">“Ultimately, the issuance of an HRO is reviewed for abuse of discretion.”  </w:t>
      </w:r>
      <w:r w:rsidRPr="00CA0EB7">
        <w:rPr>
          <w:i/>
        </w:rPr>
        <w:t>Peterson v. Johnson</w:t>
      </w:r>
      <w:r w:rsidRPr="00CA0EB7">
        <w:t>, 755 N.W.2d 758, 761 (Minn. App. 2008).</w:t>
      </w:r>
    </w:p>
    <w:p w:rsidR="00CA0EB7" w:rsidRPr="00CA0EB7" w:rsidRDefault="00CA0EB7" w:rsidP="00CA0EB7">
      <w:pPr>
        <w:ind w:left="720"/>
      </w:pPr>
    </w:p>
    <w:p w:rsidR="00CA0EB7" w:rsidRPr="00CA0EB7" w:rsidRDefault="00CA0EB7" w:rsidP="00CA0EB7">
      <w:pPr>
        <w:ind w:left="720"/>
      </w:pPr>
      <w:r w:rsidRPr="00CA0EB7">
        <w:t xml:space="preserve">The district court exercises its discretion in issuing a harassment restraining order.  </w:t>
      </w:r>
      <w:r w:rsidRPr="00CA0EB7">
        <w:rPr>
          <w:i/>
        </w:rPr>
        <w:t>Kush v. Mathison</w:t>
      </w:r>
      <w:r w:rsidRPr="00CA0EB7">
        <w:t xml:space="preserve">, 683 N.W.2d 841, 843 (Minn. App. 2004), </w:t>
      </w:r>
      <w:r w:rsidRPr="00CA0EB7">
        <w:rPr>
          <w:i/>
        </w:rPr>
        <w:t>review denied</w:t>
      </w:r>
      <w:r w:rsidRPr="00CA0EB7">
        <w:t xml:space="preserve"> (Minn. Sept. 29, 2004).</w:t>
      </w:r>
    </w:p>
    <w:p w:rsidR="00B36562" w:rsidRPr="00CA4465" w:rsidRDefault="00B36562" w:rsidP="00337FFA">
      <w:pPr>
        <w:pStyle w:val="Heading3"/>
      </w:pPr>
      <w:bookmarkStart w:id="288" w:name="_Toc395604569"/>
      <w:r w:rsidRPr="00CA4465">
        <w:t>2.</w:t>
      </w:r>
      <w:r w:rsidRPr="00CA4465">
        <w:tab/>
        <w:t>Domestic Abuse Orders for Protection</w:t>
      </w:r>
      <w:bookmarkEnd w:id="288"/>
      <w:r w:rsidRPr="00CA4465">
        <w:t xml:space="preserve"> </w:t>
      </w:r>
    </w:p>
    <w:p w:rsidR="00CA0EB7" w:rsidRPr="00CA0EB7" w:rsidRDefault="00CA0EB7" w:rsidP="00CA0EB7">
      <w:pPr>
        <w:ind w:left="720"/>
      </w:pPr>
      <w:bookmarkStart w:id="289" w:name="_Toc48979607"/>
      <w:r w:rsidRPr="00CA0EB7">
        <w:t xml:space="preserve">“‘The decision to grant an OFP under the Minnesota Domestic Abuse Act, Minn. Stat. § 518B.01 . . . is within the district court’s discretion.  A district court abuses its discretion if its findings are unsupported by the record or if it misapplies the law.’”  </w:t>
      </w:r>
      <w:r w:rsidRPr="00CA0EB7">
        <w:rPr>
          <w:i/>
        </w:rPr>
        <w:t>Pechovnik v. Pechovnik</w:t>
      </w:r>
      <w:r w:rsidRPr="00CA0EB7">
        <w:t xml:space="preserve">, 765 N.W.2d 94, 98 (Minn. App. 2009) (quoting </w:t>
      </w:r>
      <w:r w:rsidRPr="00CA0EB7">
        <w:rPr>
          <w:i/>
        </w:rPr>
        <w:t>Braend ex rel. Minor Children v. Braend</w:t>
      </w:r>
      <w:r w:rsidRPr="00CA0EB7">
        <w:t xml:space="preserve">, 721 N.W.2d 924, 926-27 (Minn. App. 2006)); </w:t>
      </w:r>
      <w:r w:rsidRPr="00CA0EB7">
        <w:rPr>
          <w:i/>
        </w:rPr>
        <w:t>see</w:t>
      </w:r>
      <w:r w:rsidRPr="00CA0EB7">
        <w:t xml:space="preserve"> </w:t>
      </w:r>
      <w:r w:rsidRPr="00CA0EB7">
        <w:rPr>
          <w:i/>
        </w:rPr>
        <w:t>Sperle v. Orth</w:t>
      </w:r>
      <w:r w:rsidRPr="00CA0EB7">
        <w:t>, 763 N.W.2d 670, 672-73 (Minn. App. 2009).</w:t>
      </w:r>
    </w:p>
    <w:p w:rsidR="00CA0EB7" w:rsidRPr="00CA0EB7" w:rsidRDefault="00CA0EB7" w:rsidP="00CA0EB7">
      <w:pPr>
        <w:ind w:left="720" w:firstLine="360"/>
      </w:pPr>
    </w:p>
    <w:p w:rsidR="00CA0EB7" w:rsidRPr="00CA0EB7" w:rsidRDefault="00CA0EB7" w:rsidP="00CA0EB7">
      <w:pPr>
        <w:ind w:left="720"/>
      </w:pPr>
      <w:r w:rsidRPr="00CA0EB7">
        <w:t xml:space="preserve">“Whether to grant relief under the Domestic Abuse Act (Minn. Stat. ch. 518B) is discretionary with the district court.”  </w:t>
      </w:r>
      <w:r w:rsidRPr="00CA0EB7">
        <w:rPr>
          <w:i/>
        </w:rPr>
        <w:t>McIntosh v. McIntosh</w:t>
      </w:r>
      <w:r w:rsidRPr="00CA0EB7">
        <w:t xml:space="preserve">, 740 N.W.2d 1, 9 (Minn. App. 2007); </w:t>
      </w:r>
      <w:r w:rsidRPr="00CA0EB7">
        <w:rPr>
          <w:i/>
        </w:rPr>
        <w:t>see Braend ex rel. Minor Children v. Braend</w:t>
      </w:r>
      <w:r w:rsidRPr="00CA0EB7">
        <w:t>, 721 N.W.2d 924, 926-27 (Minn. App. 2006).</w:t>
      </w:r>
    </w:p>
    <w:p w:rsidR="00CA0EB7" w:rsidRPr="00CA0EB7" w:rsidRDefault="00CA0EB7" w:rsidP="00CA0EB7">
      <w:pPr>
        <w:ind w:left="720" w:firstLine="360"/>
      </w:pPr>
    </w:p>
    <w:p w:rsidR="00CA0EB7" w:rsidRPr="00CA0EB7" w:rsidRDefault="00CA0EB7" w:rsidP="00CA0EB7">
      <w:pPr>
        <w:ind w:left="720"/>
      </w:pPr>
      <w:r w:rsidRPr="00CA0EB7">
        <w:t xml:space="preserve">“[I]n our review of an OFP, we review the record in the light most favorable to the district court’s findings, and we will reverse those findings only if we are left with the definite and firm conviction that a mistake has been made.  We will not reverse merely because we view the evidence differently.  And we neither reconcile conflicting evidence nor decide issues of witness credibility, which are exclusively the province of the factfinder.”  </w:t>
      </w:r>
      <w:r w:rsidRPr="00CA0EB7">
        <w:rPr>
          <w:i/>
        </w:rPr>
        <w:t>Pechovnik v. Pechovnik</w:t>
      </w:r>
      <w:r w:rsidRPr="00CA0EB7">
        <w:t>, 765 N.W.2d 94, 99 (Minn. App. 2009) (quotations and citations omitted).</w:t>
      </w:r>
    </w:p>
    <w:p w:rsidR="00CA0EB7" w:rsidRPr="00CA0EB7" w:rsidRDefault="00CA0EB7" w:rsidP="00CA0EB7">
      <w:pPr>
        <w:ind w:left="720" w:firstLine="360"/>
      </w:pPr>
    </w:p>
    <w:p w:rsidR="00CA0EB7" w:rsidRPr="00CA0EB7" w:rsidRDefault="00CA0EB7" w:rsidP="00CA0EB7">
      <w:pPr>
        <w:ind w:left="720"/>
      </w:pPr>
      <w:r w:rsidRPr="00CA0EB7">
        <w:t xml:space="preserve">Absent sufficient evidence, we will reverse an order for protection issued under Minn. Stat. § 518B.01.  </w:t>
      </w:r>
      <w:r w:rsidRPr="00CA0EB7">
        <w:rPr>
          <w:i/>
        </w:rPr>
        <w:t>Bjergum v. Bjergum</w:t>
      </w:r>
      <w:r w:rsidRPr="00CA0EB7">
        <w:t>, 392 N.W.2d 604, 606-07 (Minn. App. 1986).</w:t>
      </w:r>
    </w:p>
    <w:p w:rsidR="00CA0EB7" w:rsidRPr="00CA0EB7" w:rsidRDefault="00CA0EB7" w:rsidP="00CA0EB7">
      <w:pPr>
        <w:ind w:left="720" w:firstLine="360"/>
      </w:pPr>
    </w:p>
    <w:p w:rsidR="00CA0EB7" w:rsidRPr="00CA0EB7" w:rsidRDefault="00CA0EB7" w:rsidP="00CA0EB7">
      <w:pPr>
        <w:ind w:left="720"/>
      </w:pPr>
      <w:r w:rsidRPr="00CA0EB7">
        <w:t xml:space="preserve">“The Domestic Abuse Act, as a remedial statute, receives liberal construction but it ‘may not be expanded in a way that does not advance its remedial purpose.’”  </w:t>
      </w:r>
      <w:r w:rsidRPr="00CA0EB7">
        <w:rPr>
          <w:i/>
        </w:rPr>
        <w:t>Sperle v. Orth</w:t>
      </w:r>
      <w:r w:rsidRPr="00CA0EB7">
        <w:t xml:space="preserve">, </w:t>
      </w:r>
      <w:r w:rsidRPr="00CA0EB7">
        <w:lastRenderedPageBreak/>
        <w:t xml:space="preserve">763 N.W.2d 670, 673 (Minn. App. 2009) (quoting </w:t>
      </w:r>
      <w:r w:rsidRPr="00CA0EB7">
        <w:rPr>
          <w:i/>
        </w:rPr>
        <w:t>Swenson v. Swenson</w:t>
      </w:r>
      <w:r w:rsidRPr="00CA0EB7">
        <w:t>, 490 N.W.2d 668, 670 (Minn. App. 1992)).</w:t>
      </w:r>
    </w:p>
    <w:p w:rsidR="00CA0EB7" w:rsidRPr="00CA0EB7" w:rsidRDefault="00CA0EB7" w:rsidP="00CA0EB7">
      <w:pPr>
        <w:ind w:left="720" w:firstLine="360"/>
      </w:pPr>
    </w:p>
    <w:p w:rsidR="00CA0EB7" w:rsidRPr="00CA0EB7" w:rsidRDefault="00CA0EB7" w:rsidP="00CA0EB7">
      <w:pPr>
        <w:ind w:left="720"/>
      </w:pPr>
      <w:r w:rsidRPr="00CA0EB7">
        <w:t xml:space="preserve">Whether to grant an injunction is discretionary with the district court and its decision will not be altered on appeal unless the record shows that the district court abused its discretion.  </w:t>
      </w:r>
      <w:r w:rsidRPr="00CA0EB7">
        <w:rPr>
          <w:i/>
        </w:rPr>
        <w:t>Geske v. Marcolina</w:t>
      </w:r>
      <w:r w:rsidRPr="00CA0EB7">
        <w:t xml:space="preserve">, 642 N.W.2d 62, 67 (Minn. App. 2002).  </w:t>
      </w:r>
    </w:p>
    <w:p w:rsidR="003A397A" w:rsidRPr="00A17436" w:rsidRDefault="003A397A" w:rsidP="00604DD4">
      <w:pPr>
        <w:pStyle w:val="Heading2"/>
      </w:pPr>
      <w:bookmarkStart w:id="290" w:name="_Toc395604570"/>
      <w:r w:rsidRPr="00CA4465">
        <w:t>H.</w:t>
      </w:r>
      <w:r w:rsidRPr="00CA4465">
        <w:tab/>
        <w:t>OTHER</w:t>
      </w:r>
      <w:bookmarkEnd w:id="289"/>
      <w:bookmarkEnd w:id="290"/>
    </w:p>
    <w:p w:rsidR="00CA0EB7" w:rsidRPr="00CA0EB7" w:rsidRDefault="00CA0EB7" w:rsidP="00CA0EB7">
      <w:bookmarkStart w:id="291" w:name="_Toc48979608"/>
      <w:r w:rsidRPr="00CA0EB7">
        <w:t xml:space="preserve">An appellant’s “fail[ure] to challenge” the district court’s “independent, procedural basis” for its ruling granting an adoption was “fatal to her appeal.”  </w:t>
      </w:r>
      <w:r w:rsidRPr="00CA0EB7">
        <w:rPr>
          <w:i/>
        </w:rPr>
        <w:t>In re Adoption of T.A.M.</w:t>
      </w:r>
      <w:r w:rsidRPr="00CA0EB7">
        <w:t>, 791 N.W.2d 573, 577 (Minn. App. 2010).</w:t>
      </w:r>
    </w:p>
    <w:p w:rsidR="00CA0EB7" w:rsidRPr="00CA0EB7" w:rsidRDefault="00CA0EB7" w:rsidP="00CA0EB7"/>
    <w:p w:rsidR="00CA0EB7" w:rsidRPr="00CA0EB7" w:rsidRDefault="00CA0EB7" w:rsidP="00CA0EB7">
      <w:r w:rsidRPr="00CA0EB7">
        <w:t xml:space="preserve">“Whether a person is a putative spouse is a question of fact[,]” the district court’s resolution of which will not be set aside unless, upon review of the record, the appellate court is left with a definite and firm conviction that a mistake has been made.  </w:t>
      </w:r>
      <w:r w:rsidRPr="00CA0EB7">
        <w:rPr>
          <w:i/>
        </w:rPr>
        <w:t>Xiong v. Xiong</w:t>
      </w:r>
      <w:r w:rsidRPr="00CA0EB7">
        <w:t xml:space="preserve">, 800 N.W.2d 187, 191 (Minn. App. 2011), </w:t>
      </w:r>
      <w:r w:rsidRPr="00CA0EB7">
        <w:rPr>
          <w:i/>
        </w:rPr>
        <w:t>review denied</w:t>
      </w:r>
      <w:r w:rsidRPr="00CA0EB7">
        <w:t xml:space="preserve"> (Minn. Aug. 16, 2011).</w:t>
      </w:r>
    </w:p>
    <w:p w:rsidR="00CA0EB7" w:rsidRPr="00CA0EB7" w:rsidRDefault="00CA0EB7" w:rsidP="00CA0EB7"/>
    <w:p w:rsidR="00CA0EB7" w:rsidRPr="00CA0EB7" w:rsidRDefault="00CA0EB7" w:rsidP="00CA0EB7">
      <w:r w:rsidRPr="00CA0EB7">
        <w:t xml:space="preserve">To be a putative spouse under Minn. Stat. § 518.055, a person must have a good faith but incorrect belief that he or she is a spouse.  In Minnesota, the existence of a “good faith” belief is judged subjectively while the existence of a “reasonable belief” is measured objectively.  Thus, whether a person is a putative spouse under Minn. Stat. § 518.055 is measured subjectively.  </w:t>
      </w:r>
      <w:r w:rsidRPr="00CA0EB7">
        <w:rPr>
          <w:i/>
        </w:rPr>
        <w:t>Xiong v. Xiong</w:t>
      </w:r>
      <w:r w:rsidRPr="00CA0EB7">
        <w:t xml:space="preserve">, 800 N.W.2d 187, 191 (Minn. App. 2011), </w:t>
      </w:r>
      <w:r w:rsidRPr="00CA0EB7">
        <w:rPr>
          <w:i/>
        </w:rPr>
        <w:t>review denied</w:t>
      </w:r>
      <w:r w:rsidRPr="00CA0EB7">
        <w:t xml:space="preserve"> (Minn. Aug. 16, 2011).</w:t>
      </w:r>
    </w:p>
    <w:p w:rsidR="00CA0EB7" w:rsidRPr="00CA0EB7" w:rsidRDefault="00CA0EB7" w:rsidP="00CA0EB7"/>
    <w:p w:rsidR="00CA0EB7" w:rsidRPr="00CA0EB7" w:rsidRDefault="00CA0EB7" w:rsidP="00CA0EB7">
      <w:pPr>
        <w:rPr>
          <w:szCs w:val="26"/>
        </w:rPr>
      </w:pPr>
      <w:r w:rsidRPr="00CA0EB7">
        <w:rPr>
          <w:szCs w:val="26"/>
        </w:rPr>
        <w:t xml:space="preserve">“The interpretation of a statute or case law is . . . reviewed de novo.”  </w:t>
      </w:r>
      <w:r w:rsidRPr="00CA0EB7">
        <w:rPr>
          <w:i/>
          <w:szCs w:val="26"/>
        </w:rPr>
        <w:t>In re Custody of D.T.R.</w:t>
      </w:r>
      <w:r w:rsidRPr="00CA0EB7">
        <w:rPr>
          <w:szCs w:val="26"/>
        </w:rPr>
        <w:t>, 796 N.W.2d 509, 512 (Minn. 2011).</w:t>
      </w:r>
    </w:p>
    <w:p w:rsidR="00CA0EB7" w:rsidRPr="00CA0EB7" w:rsidRDefault="00CA0EB7" w:rsidP="00CA0EB7"/>
    <w:p w:rsidR="00CA0EB7" w:rsidRPr="00CA0EB7" w:rsidRDefault="00CA0EB7" w:rsidP="00CA0EB7">
      <w:r w:rsidRPr="00CA0EB7">
        <w:t xml:space="preserve">Questions of statutory interpretation are reviewed de novo.  </w:t>
      </w:r>
      <w:r w:rsidRPr="00CA0EB7">
        <w:rPr>
          <w:i/>
        </w:rPr>
        <w:t>Burkstrand v. Burkstrand</w:t>
      </w:r>
      <w:r w:rsidRPr="00CA0EB7">
        <w:t xml:space="preserve">, 632 N.W.2d 206, 209 (Minn. 2001); </w:t>
      </w:r>
      <w:r w:rsidRPr="00CA0EB7">
        <w:rPr>
          <w:i/>
          <w:szCs w:val="26"/>
        </w:rPr>
        <w:t>see</w:t>
      </w:r>
      <w:r w:rsidRPr="00CA0EB7">
        <w:rPr>
          <w:szCs w:val="26"/>
        </w:rPr>
        <w:t xml:space="preserve"> </w:t>
      </w:r>
      <w:r w:rsidRPr="00CA0EB7">
        <w:rPr>
          <w:i/>
          <w:szCs w:val="26"/>
        </w:rPr>
        <w:t>Dahlin v. Kroening</w:t>
      </w:r>
      <w:r w:rsidRPr="00CA0EB7">
        <w:rPr>
          <w:szCs w:val="26"/>
        </w:rPr>
        <w:t>, 796 N.W.2d 503, 508 (Minn. 2011) (stating that “[w]hen interpreting the statutes, it is our role to rely on what the Legislature intended over what may appear to be supported by public policy”).</w:t>
      </w:r>
      <w:r w:rsidRPr="00CA0EB7">
        <w:t xml:space="preserve">  </w:t>
      </w:r>
    </w:p>
    <w:p w:rsidR="00CA0EB7" w:rsidRPr="00CA0EB7" w:rsidRDefault="00CA0EB7" w:rsidP="00CA0EB7"/>
    <w:p w:rsidR="00CA0EB7" w:rsidRPr="00CA0EB7" w:rsidRDefault="00CA0EB7" w:rsidP="00CA0EB7">
      <w:r w:rsidRPr="00CA0EB7">
        <w:t xml:space="preserve">“The applicability of a statute is an issue of statutory interpretation, which appellate courts review de novo.”  </w:t>
      </w:r>
      <w:r w:rsidRPr="00CA0EB7">
        <w:rPr>
          <w:i/>
        </w:rPr>
        <w:t>Ramirez v. Ramirez</w:t>
      </w:r>
      <w:r w:rsidRPr="00CA0EB7">
        <w:t xml:space="preserve">, 630 N.W.2d 463, 465 (Minn. App. 2001). </w:t>
      </w:r>
    </w:p>
    <w:p w:rsidR="00CA0EB7" w:rsidRPr="00CA0EB7" w:rsidRDefault="00CA0EB7" w:rsidP="00CA0EB7">
      <w:r w:rsidRPr="00CA0EB7">
        <w:t xml:space="preserve"> </w:t>
      </w:r>
    </w:p>
    <w:p w:rsidR="00CA0EB7" w:rsidRPr="00CA0EB7" w:rsidRDefault="00CA0EB7" w:rsidP="00CA0EB7">
      <w:r w:rsidRPr="00CA0EB7">
        <w:t xml:space="preserve">“Application of a statute to the undisputed facts of a case involves a question of law, and the district court’s decision is not binding on this court.”  </w:t>
      </w:r>
      <w:r w:rsidRPr="00CA0EB7">
        <w:rPr>
          <w:i/>
        </w:rPr>
        <w:t>Branch v. Branch</w:t>
      </w:r>
      <w:r w:rsidRPr="00CA0EB7">
        <w:t xml:space="preserve">, 632 N.W.2d 261, 263 (Minn. App. 2001).  </w:t>
      </w:r>
    </w:p>
    <w:p w:rsidR="00CA0EB7" w:rsidRPr="00CA0EB7" w:rsidRDefault="00CA0EB7" w:rsidP="00CA0EB7"/>
    <w:p w:rsidR="00CA0EB7" w:rsidRPr="00CA0EB7" w:rsidRDefault="00CA0EB7" w:rsidP="00CA0EB7">
      <w:r w:rsidRPr="00CA0EB7">
        <w:t xml:space="preserve">“This court reviews purely legal issues, such as case law relied upon by the district court, de novo.”  </w:t>
      </w:r>
      <w:r w:rsidRPr="00CA0EB7">
        <w:rPr>
          <w:i/>
        </w:rPr>
        <w:t>Haefele v. Haefele</w:t>
      </w:r>
      <w:r w:rsidRPr="00CA0EB7">
        <w:t xml:space="preserve">, 621 N.W.2d 758, 761 (Minn. App. 2001), </w:t>
      </w:r>
      <w:r w:rsidRPr="00CA0EB7">
        <w:rPr>
          <w:i/>
        </w:rPr>
        <w:t>review denied</w:t>
      </w:r>
      <w:r w:rsidRPr="00CA0EB7">
        <w:t xml:space="preserve"> (Minn. Feb. 21, 2001).  </w:t>
      </w:r>
    </w:p>
    <w:p w:rsidR="00CA0EB7" w:rsidRPr="00CA0EB7" w:rsidRDefault="00CA0EB7" w:rsidP="00CA0EB7"/>
    <w:p w:rsidR="00CA0EB7" w:rsidRPr="00CA0EB7" w:rsidRDefault="00CA0EB7" w:rsidP="00CA0EB7">
      <w:r w:rsidRPr="00CA0EB7">
        <w:t xml:space="preserve">“Interpretation and application of procedural rules are legal issues that are reviewed de novo.”  </w:t>
      </w:r>
      <w:r w:rsidRPr="00CA0EB7">
        <w:rPr>
          <w:i/>
        </w:rPr>
        <w:t>Clark v. Clark</w:t>
      </w:r>
      <w:r w:rsidRPr="00CA0EB7">
        <w:t>, 642 N.W.2d 459, 464 (Minn. App. 2002).</w:t>
      </w:r>
    </w:p>
    <w:p w:rsidR="00CA0EB7" w:rsidRPr="00CA0EB7" w:rsidRDefault="00CA0EB7" w:rsidP="00CA0EB7"/>
    <w:p w:rsidR="00CA0EB7" w:rsidRPr="00CA0EB7" w:rsidRDefault="00CA0EB7" w:rsidP="00CA0EB7">
      <w:r w:rsidRPr="00CA0EB7">
        <w:lastRenderedPageBreak/>
        <w:t xml:space="preserve">Appellate courts defer to district court credibility determinations.  </w:t>
      </w:r>
      <w:r w:rsidRPr="00CA0EB7">
        <w:rPr>
          <w:i/>
        </w:rPr>
        <w:t>Sefkow v. Sefkow</w:t>
      </w:r>
      <w:r w:rsidRPr="00CA0EB7">
        <w:t xml:space="preserve">, 427 N.W.2d 203, 210 (Minn. 1988); </w:t>
      </w:r>
      <w:r w:rsidRPr="00CA0EB7">
        <w:rPr>
          <w:i/>
        </w:rPr>
        <w:t>see Gada v. Dedefo</w:t>
      </w:r>
      <w:r w:rsidRPr="00CA0EB7">
        <w:t>, 684 N.W.2d 512, 514 (Minn. App. 2004) (stating that, on appeal, appellate courts “neither reconcile conflicting evidence nor decide issues of witness credibility, which are exclusively the province of the factfinder”).</w:t>
      </w:r>
    </w:p>
    <w:p w:rsidR="00CA0EB7" w:rsidRPr="00CA0EB7" w:rsidRDefault="00CA0EB7" w:rsidP="00CA0EB7"/>
    <w:p w:rsidR="00CA0EB7" w:rsidRPr="00CA0EB7" w:rsidRDefault="00CA0EB7" w:rsidP="00CA0EB7">
      <w:r w:rsidRPr="00CA0EB7">
        <w:t xml:space="preserve">Procedural and evidentiary rulings are within the district court’s discretion and are reviewed for an abuse of that discretion.  </w:t>
      </w:r>
      <w:r w:rsidRPr="00CA0EB7">
        <w:rPr>
          <w:i/>
        </w:rPr>
        <w:t>Braith v. Fischer</w:t>
      </w:r>
      <w:r w:rsidRPr="00CA0EB7">
        <w:t xml:space="preserve">, 632 N.W.2d 716, 721 (Minn. App. 2001), </w:t>
      </w:r>
      <w:r w:rsidRPr="00CA0EB7">
        <w:rPr>
          <w:i/>
        </w:rPr>
        <w:t>review denied</w:t>
      </w:r>
      <w:r w:rsidRPr="00CA0EB7">
        <w:t xml:space="preserve"> (Minn. Oct. 24, 2001). </w:t>
      </w:r>
    </w:p>
    <w:p w:rsidR="00CA0EB7" w:rsidRPr="00CA0EB7" w:rsidRDefault="00CA0EB7" w:rsidP="00CA0EB7"/>
    <w:p w:rsidR="00CA0EB7" w:rsidRPr="00CA0EB7" w:rsidRDefault="00CA0EB7" w:rsidP="00CA0EB7">
      <w:r w:rsidRPr="00CA0EB7">
        <w:t xml:space="preserve">“Among other ways, a district court abuses its discretion if it acts against logic and the facts on record, or if it enters fact findings that are unsupported by the record, or if it misapplies the law.”  </w:t>
      </w:r>
      <w:r w:rsidRPr="00CA0EB7">
        <w:rPr>
          <w:i/>
        </w:rPr>
        <w:t>In re Adoption of T.A.M.</w:t>
      </w:r>
      <w:r w:rsidRPr="00CA0EB7">
        <w:t>, 791 N.W.2d 573, 578 (Minn. App. 2010) (quotations and citations omitted).</w:t>
      </w:r>
    </w:p>
    <w:p w:rsidR="00CA0EB7" w:rsidRPr="00CA0EB7" w:rsidRDefault="00CA0EB7" w:rsidP="00CA0EB7"/>
    <w:p w:rsidR="00CA0EB7" w:rsidRPr="00CA0EB7" w:rsidRDefault="00CA0EB7" w:rsidP="00CA0EB7">
      <w:r w:rsidRPr="00CA0EB7">
        <w:t xml:space="preserve">“Whether to receive evidence is discretionary with the district court.”  </w:t>
      </w:r>
      <w:r w:rsidRPr="00CA0EB7">
        <w:rPr>
          <w:i/>
        </w:rPr>
        <w:t>J.W. by D.W. v. C.M.</w:t>
      </w:r>
      <w:r w:rsidRPr="00CA0EB7">
        <w:t xml:space="preserve">, 627 N.W.2d 687, 697 (Minn. App. 2001), </w:t>
      </w:r>
      <w:r w:rsidRPr="00CA0EB7">
        <w:rPr>
          <w:i/>
        </w:rPr>
        <w:t>review denied</w:t>
      </w:r>
      <w:r w:rsidRPr="00CA0EB7">
        <w:t xml:space="preserve"> (Minn. Aug. 15, 2001).</w:t>
      </w:r>
      <w:r w:rsidRPr="00CA0EB7" w:rsidDel="003D02FF">
        <w:t xml:space="preserve"> </w:t>
      </w:r>
    </w:p>
    <w:p w:rsidR="00CA0EB7" w:rsidRPr="00CA0EB7" w:rsidRDefault="00CA0EB7" w:rsidP="00CA0EB7"/>
    <w:p w:rsidR="00CA0EB7" w:rsidRPr="00CA0EB7" w:rsidRDefault="00CA0EB7" w:rsidP="00CA0EB7">
      <w:pPr>
        <w:rPr>
          <w:szCs w:val="26"/>
        </w:rPr>
      </w:pPr>
      <w:r w:rsidRPr="00CA0EB7">
        <w:rPr>
          <w:szCs w:val="26"/>
        </w:rPr>
        <w:t xml:space="preserve">“A petition for a writ of prohibition is the proper means of challenging a district court judge’s denial of a notice of removal.”  </w:t>
      </w:r>
      <w:r w:rsidRPr="00CA0EB7">
        <w:rPr>
          <w:i/>
          <w:szCs w:val="26"/>
        </w:rPr>
        <w:t>Ihde v. Ihde</w:t>
      </w:r>
      <w:r w:rsidRPr="00CA0EB7">
        <w:rPr>
          <w:szCs w:val="26"/>
        </w:rPr>
        <w:t xml:space="preserve">, 800 N.W.2d 808, 809-10 (Minn. App. 2011) (citing </w:t>
      </w:r>
      <w:r w:rsidRPr="00CA0EB7">
        <w:rPr>
          <w:i/>
          <w:szCs w:val="26"/>
        </w:rPr>
        <w:t>McClelland v. Pierce</w:t>
      </w:r>
      <w:r w:rsidRPr="00CA0EB7">
        <w:rPr>
          <w:szCs w:val="26"/>
        </w:rPr>
        <w:t>, 376 N.W.2d 217, 219 (Minn. 1985)).</w:t>
      </w:r>
    </w:p>
    <w:p w:rsidR="00CA0EB7" w:rsidRPr="00CA0EB7" w:rsidRDefault="00CA0EB7" w:rsidP="00CA0EB7"/>
    <w:p w:rsidR="00CA0EB7" w:rsidRPr="00CA0EB7" w:rsidRDefault="00CA0EB7" w:rsidP="00CA0EB7">
      <w:r w:rsidRPr="00CA0EB7">
        <w:t xml:space="preserve">Whether a district court should recuse from a case is discretionary with the district court.  </w:t>
      </w:r>
      <w:r w:rsidRPr="00CA0EB7">
        <w:rPr>
          <w:i/>
        </w:rPr>
        <w:t>Carlson v. Carlson</w:t>
      </w:r>
      <w:r w:rsidRPr="00CA0EB7">
        <w:t xml:space="preserve">, 390 N.W.2d 780, 785 (Minn. App. 1986), </w:t>
      </w:r>
      <w:r w:rsidRPr="00CA0EB7">
        <w:rPr>
          <w:i/>
        </w:rPr>
        <w:t>review denied</w:t>
      </w:r>
      <w:r w:rsidRPr="00CA0EB7">
        <w:t xml:space="preserve"> (Minn. Aug. 20, 1986).  </w:t>
      </w:r>
    </w:p>
    <w:p w:rsidR="00CA0EB7" w:rsidRPr="00CA0EB7" w:rsidRDefault="00CA0EB7" w:rsidP="00CA0EB7"/>
    <w:p w:rsidR="00CA0EB7" w:rsidRPr="00CA0EB7" w:rsidRDefault="00CA0EB7" w:rsidP="00CA0EB7">
      <w:pPr>
        <w:rPr>
          <w:szCs w:val="26"/>
        </w:rPr>
      </w:pPr>
      <w:r w:rsidRPr="00CA0EB7">
        <w:rPr>
          <w:szCs w:val="26"/>
        </w:rPr>
        <w:t xml:space="preserve">“[W]e review de novo the question of whether federal law preempts state law.”  </w:t>
      </w:r>
      <w:r w:rsidRPr="00CA0EB7">
        <w:rPr>
          <w:i/>
          <w:szCs w:val="26"/>
        </w:rPr>
        <w:t>Angell v. Angell</w:t>
      </w:r>
      <w:r w:rsidRPr="00CA0EB7">
        <w:rPr>
          <w:szCs w:val="26"/>
        </w:rPr>
        <w:t xml:space="preserve">, 791 N.W.2d 530, 534 (Minn. 2010).  </w:t>
      </w:r>
    </w:p>
    <w:p w:rsidR="00CA0EB7" w:rsidRPr="00CA0EB7" w:rsidRDefault="00CA0EB7" w:rsidP="00CA0EB7">
      <w:pPr>
        <w:rPr>
          <w:szCs w:val="26"/>
        </w:rPr>
      </w:pPr>
    </w:p>
    <w:p w:rsidR="00CA0EB7" w:rsidRPr="00CA0EB7" w:rsidRDefault="00CA0EB7" w:rsidP="00CA0EB7">
      <w:r w:rsidRPr="00CA0EB7">
        <w:t xml:space="preserve">“Although some accommodations may be made for pro se litigants, this court has repeatedly emphasized that pro se litigants are generally held to the same standards as attorneys and must comply with court rules.”  </w:t>
      </w:r>
      <w:r w:rsidRPr="00CA0EB7">
        <w:rPr>
          <w:i/>
        </w:rPr>
        <w:t>Fitzgerald v. Fitzgerald</w:t>
      </w:r>
      <w:r w:rsidRPr="00CA0EB7">
        <w:t xml:space="preserve">, 629 N.W.2d 115, 119 (Minn. App. 2001).  </w:t>
      </w:r>
    </w:p>
    <w:p w:rsidR="00CA0EB7" w:rsidRPr="00CA0EB7" w:rsidRDefault="00CA0EB7" w:rsidP="00CA0EB7"/>
    <w:p w:rsidR="00CA0EB7" w:rsidRPr="00CA0EB7" w:rsidRDefault="00CA0EB7" w:rsidP="00CA0EB7">
      <w:r w:rsidRPr="00CA0EB7">
        <w:t xml:space="preserve">“Permissive intervention rulings are reviewed under an abuse-of-discretion standard.”  </w:t>
      </w:r>
      <w:r w:rsidRPr="00CA0EB7">
        <w:rPr>
          <w:i/>
        </w:rPr>
        <w:t>J.W. by D.W. v. C.M.</w:t>
      </w:r>
      <w:r w:rsidRPr="00CA0EB7">
        <w:t xml:space="preserve">, 627 N.W.2d 687, 691 (Minn. App. 2001), </w:t>
      </w:r>
      <w:r w:rsidRPr="00CA0EB7">
        <w:rPr>
          <w:i/>
        </w:rPr>
        <w:t>review denied</w:t>
      </w:r>
      <w:r w:rsidRPr="00CA0EB7">
        <w:t xml:space="preserve"> (Minn. Aug. 15, 2001). </w:t>
      </w:r>
    </w:p>
    <w:p w:rsidR="00CA0EB7" w:rsidRPr="00CA0EB7" w:rsidRDefault="00CA0EB7" w:rsidP="00CA0EB7"/>
    <w:p w:rsidR="00CA0EB7" w:rsidRPr="00CA0EB7" w:rsidRDefault="00CA0EB7" w:rsidP="00CA0EB7">
      <w:r w:rsidRPr="00CA0EB7">
        <w:t xml:space="preserve">If a district court has authority to vacate an order allowing transfer of a juvenile-protection case to tribal court, whether to do so is discretionary with the district court.  </w:t>
      </w:r>
      <w:r w:rsidRPr="00CA0EB7">
        <w:rPr>
          <w:i/>
        </w:rPr>
        <w:t>See</w:t>
      </w:r>
      <w:r w:rsidRPr="00CA0EB7">
        <w:t xml:space="preserve"> </w:t>
      </w:r>
      <w:r w:rsidRPr="00CA0EB7">
        <w:rPr>
          <w:i/>
        </w:rPr>
        <w:t>In re Welfare of Children of R.A.J.</w:t>
      </w:r>
      <w:r w:rsidRPr="00CA0EB7">
        <w:t>, 769 N.W.2d 297, 304 (Minn. App. 2009) (concluding, on appeal from an order vacating a transfer of a juvenile-protection case to tribal court, “that the district court did not abuse its discretion by vacating the transfer order”).</w:t>
      </w:r>
    </w:p>
    <w:p w:rsidR="00CA0EB7" w:rsidRPr="00CA0EB7" w:rsidRDefault="00CA0EB7" w:rsidP="00CA0EB7">
      <w:r w:rsidRPr="00CA0EB7">
        <w:t xml:space="preserve"> </w:t>
      </w:r>
    </w:p>
    <w:p w:rsidR="00CA0EB7" w:rsidRPr="00CA0EB7" w:rsidRDefault="00CA0EB7" w:rsidP="00CA0EB7">
      <w:r w:rsidRPr="00CA0EB7">
        <w:t xml:space="preserve">“Uniform laws are interpreted to effect their general purpose to make uniform the laws of those states that enact them.  Accordingly, we give great weight to other states’ interpretations of a uniform law.”  </w:t>
      </w:r>
      <w:r w:rsidRPr="00CA0EB7">
        <w:rPr>
          <w:i/>
        </w:rPr>
        <w:t>Johnson v. Murray</w:t>
      </w:r>
      <w:r w:rsidRPr="00CA0EB7">
        <w:t xml:space="preserve">, 648 N.W.2d 664, 670 (Minn. 2002) (citation omitted); </w:t>
      </w:r>
      <w:r w:rsidRPr="00CA0EB7">
        <w:rPr>
          <w:i/>
        </w:rPr>
        <w:t>see</w:t>
      </w:r>
      <w:r w:rsidR="003C11E5">
        <w:t xml:space="preserve"> Minn. Stat. § 645.22 (2012</w:t>
      </w:r>
      <w:r w:rsidRPr="00CA0EB7">
        <w:t>).</w:t>
      </w:r>
    </w:p>
    <w:p w:rsidR="00CA0EB7" w:rsidRPr="00CA0EB7" w:rsidRDefault="00CA0EB7" w:rsidP="00CA0EB7"/>
    <w:p w:rsidR="00A17436" w:rsidRDefault="005551F2" w:rsidP="008429C3">
      <w:pPr>
        <w:pStyle w:val="Heading1"/>
      </w:pPr>
      <w:bookmarkStart w:id="292" w:name="_Toc395604571"/>
      <w:r>
        <w:lastRenderedPageBreak/>
        <w:t>III.</w:t>
      </w:r>
      <w:r>
        <w:tab/>
      </w:r>
      <w:r w:rsidR="00634166">
        <w:t xml:space="preserve">CIVIL – </w:t>
      </w:r>
      <w:r w:rsidR="00DC4D3C">
        <w:t>PROBATE</w:t>
      </w:r>
      <w:bookmarkEnd w:id="292"/>
      <w:r w:rsidR="00CC4207">
        <w:t xml:space="preserve"> </w:t>
      </w:r>
    </w:p>
    <w:p w:rsidR="00634166" w:rsidRPr="00634166" w:rsidRDefault="00634166" w:rsidP="00604DD4">
      <w:pPr>
        <w:pStyle w:val="Heading2"/>
      </w:pPr>
      <w:bookmarkStart w:id="293" w:name="_Toc395604572"/>
      <w:r w:rsidRPr="00634166">
        <w:t>A.</w:t>
      </w:r>
      <w:r w:rsidRPr="00634166">
        <w:tab/>
        <w:t>WILLS</w:t>
      </w:r>
      <w:bookmarkEnd w:id="293"/>
    </w:p>
    <w:p w:rsidR="00AB53DA" w:rsidRDefault="00F63033" w:rsidP="00337FFA">
      <w:pPr>
        <w:pStyle w:val="Heading3"/>
      </w:pPr>
      <w:bookmarkStart w:id="294" w:name="_Toc395604573"/>
      <w:r>
        <w:t>1.</w:t>
      </w:r>
      <w:r>
        <w:tab/>
        <w:t>Interpretation/Construction</w:t>
      </w:r>
      <w:bookmarkEnd w:id="294"/>
    </w:p>
    <w:p w:rsidR="00AB53DA" w:rsidRDefault="00AB53DA" w:rsidP="00F63033">
      <w:pPr>
        <w:ind w:left="720"/>
      </w:pPr>
      <w:r>
        <w:t>“</w:t>
      </w:r>
      <w:r w:rsidR="00F63033">
        <w:t>We review a district court’</w:t>
      </w:r>
      <w:r>
        <w:t xml:space="preserve">s construction of an unambiguous instrument de novo.  But where critical evidence in the case turns on extrinsic language </w:t>
      </w:r>
      <w:r w:rsidR="00F63033">
        <w:t>about the testator’</w:t>
      </w:r>
      <w:r>
        <w:t>s intent and disputed expert opinions about the language of the instrument, a ‘clearly erroneous’ standard of review applies.</w:t>
      </w:r>
      <w:r w:rsidR="00F63033">
        <w:t>”</w:t>
      </w:r>
      <w:r>
        <w:t xml:space="preserve">  </w:t>
      </w:r>
      <w:r w:rsidRPr="00AB53DA">
        <w:rPr>
          <w:i/>
        </w:rPr>
        <w:t>In re Estate and Trust of Anderson</w:t>
      </w:r>
      <w:r>
        <w:t>, 654 N.W.2d 682,</w:t>
      </w:r>
      <w:r w:rsidRPr="00AB53DA">
        <w:t xml:space="preserve"> </w:t>
      </w:r>
      <w:r>
        <w:t>687 (Minn.</w:t>
      </w:r>
      <w:r w:rsidR="006E1F23">
        <w:t xml:space="preserve"> </w:t>
      </w:r>
      <w:r>
        <w:t>App. 2002)</w:t>
      </w:r>
      <w:r w:rsidR="00F63033">
        <w:t xml:space="preserve"> (citation omitted)</w:t>
      </w:r>
      <w:r w:rsidR="000961A3">
        <w:t xml:space="preserve">, </w:t>
      </w:r>
      <w:r w:rsidR="000961A3">
        <w:rPr>
          <w:i/>
        </w:rPr>
        <w:t>review denied</w:t>
      </w:r>
      <w:r w:rsidR="000961A3">
        <w:t xml:space="preserve"> (Minn. Feb. 26, 2003)</w:t>
      </w:r>
      <w:r w:rsidR="00F63033">
        <w:t xml:space="preserve">.  </w:t>
      </w:r>
    </w:p>
    <w:p w:rsidR="00F63033" w:rsidRDefault="00F63033" w:rsidP="00F63033">
      <w:pPr>
        <w:ind w:left="720"/>
      </w:pPr>
    </w:p>
    <w:p w:rsidR="00F63033" w:rsidRDefault="00F63033" w:rsidP="00F63033">
      <w:pPr>
        <w:ind w:left="720"/>
      </w:pPr>
      <w:r>
        <w:t xml:space="preserve">“Whether a will is ambiguous is a question of law that this court reviews de novo.”  </w:t>
      </w:r>
      <w:r>
        <w:rPr>
          <w:i/>
        </w:rPr>
        <w:t xml:space="preserve">In re </w:t>
      </w:r>
      <w:r w:rsidR="000961A3">
        <w:rPr>
          <w:i/>
        </w:rPr>
        <w:t xml:space="preserve">Trust of </w:t>
      </w:r>
      <w:r>
        <w:rPr>
          <w:i/>
        </w:rPr>
        <w:t>Shields</w:t>
      </w:r>
      <w:r>
        <w:t xml:space="preserve">, 552 N.W.2d 581, 582 (Minn. App. 1996), </w:t>
      </w:r>
      <w:r>
        <w:rPr>
          <w:i/>
        </w:rPr>
        <w:t xml:space="preserve">review denied </w:t>
      </w:r>
      <w:r>
        <w:t xml:space="preserve">(Minn. Oct. 29, 1996).  </w:t>
      </w:r>
    </w:p>
    <w:p w:rsidR="00604FBC" w:rsidRDefault="00604FBC" w:rsidP="00337FFA">
      <w:pPr>
        <w:pStyle w:val="Heading3"/>
      </w:pPr>
      <w:bookmarkStart w:id="295" w:name="_Toc395604574"/>
      <w:r>
        <w:t>2.</w:t>
      </w:r>
      <w:r>
        <w:tab/>
        <w:t>Findings of Fact</w:t>
      </w:r>
      <w:bookmarkEnd w:id="295"/>
    </w:p>
    <w:p w:rsidR="00D35B29" w:rsidRPr="00541441" w:rsidRDefault="00D35B29" w:rsidP="00541441">
      <w:pPr>
        <w:ind w:left="720"/>
      </w:pPr>
      <w:r>
        <w:t xml:space="preserve">“On appeal from a probate court’s decision after a trial without a jury, findings of fact will be disturbed only if clearly erroneous.”  </w:t>
      </w:r>
      <w:r>
        <w:rPr>
          <w:i/>
        </w:rPr>
        <w:t>In re Estate of Torgersen</w:t>
      </w:r>
      <w:r>
        <w:t xml:space="preserve">, 711 N.W.2d 545, </w:t>
      </w:r>
      <w:r w:rsidR="00541441">
        <w:t xml:space="preserve">550 (Minn. App. 2006), </w:t>
      </w:r>
      <w:r w:rsidR="00541441">
        <w:rPr>
          <w:i/>
        </w:rPr>
        <w:t>review denied</w:t>
      </w:r>
      <w:r w:rsidR="00541441">
        <w:t xml:space="preserve"> (Minn. June 20, 2006).  </w:t>
      </w:r>
    </w:p>
    <w:p w:rsidR="00604FBC" w:rsidRDefault="00604FBC" w:rsidP="00604FBC">
      <w:pPr>
        <w:pStyle w:val="Heading4"/>
      </w:pPr>
      <w:bookmarkStart w:id="296" w:name="_Toc395604575"/>
      <w:r>
        <w:t>a.</w:t>
      </w:r>
      <w:r>
        <w:tab/>
        <w:t>Undue influence</w:t>
      </w:r>
      <w:bookmarkEnd w:id="296"/>
    </w:p>
    <w:p w:rsidR="00604FBC" w:rsidRDefault="00830A5E" w:rsidP="00604FBC">
      <w:pPr>
        <w:ind w:left="1440"/>
      </w:pPr>
      <w:r>
        <w:t xml:space="preserve">“The trial court’s findings on undue influence are not to be set aside unless clearly erroneous.”  </w:t>
      </w:r>
      <w:r>
        <w:rPr>
          <w:i/>
        </w:rPr>
        <w:t>In re Estate of Larson</w:t>
      </w:r>
      <w:r>
        <w:t xml:space="preserve">, 394 N.W.2d 617, 620 (Minn. App. 1986), </w:t>
      </w:r>
      <w:r>
        <w:rPr>
          <w:i/>
        </w:rPr>
        <w:t>review denied</w:t>
      </w:r>
      <w:r>
        <w:t xml:space="preserve"> (Minn. Dec. 12, 1986).  </w:t>
      </w:r>
    </w:p>
    <w:p w:rsidR="009616A6" w:rsidRDefault="009616A6" w:rsidP="00604FBC">
      <w:pPr>
        <w:ind w:left="1440"/>
      </w:pPr>
    </w:p>
    <w:p w:rsidR="009616A6" w:rsidRPr="00830A5E" w:rsidRDefault="009616A6" w:rsidP="00604FBC">
      <w:pPr>
        <w:ind w:left="1440"/>
      </w:pPr>
      <w:r>
        <w:t>“</w:t>
      </w:r>
      <w:r w:rsidRPr="009616A6">
        <w:t>Like the question of mental capacity, the question of undue influence is usually one of fact, of which the Supreme Court has only the limited review of inquiring as to the sufficiency of the evidence to sustain the conclusion reached.</w:t>
      </w:r>
      <w:r>
        <w:t>”</w:t>
      </w:r>
      <w:r w:rsidRPr="009616A6">
        <w:t xml:space="preserve">   </w:t>
      </w:r>
      <w:r w:rsidRPr="009616A6">
        <w:rPr>
          <w:i/>
        </w:rPr>
        <w:t>Borstad</w:t>
      </w:r>
      <w:r w:rsidR="000829B0">
        <w:rPr>
          <w:i/>
        </w:rPr>
        <w:t xml:space="preserve"> v. Ulstad</w:t>
      </w:r>
      <w:r>
        <w:t xml:space="preserve">, </w:t>
      </w:r>
      <w:r w:rsidRPr="009616A6">
        <w:t>232</w:t>
      </w:r>
      <w:r>
        <w:t xml:space="preserve"> Minn. 365, 371, 45 N.W.2d 828, </w:t>
      </w:r>
      <w:r w:rsidR="000829B0">
        <w:t>8</w:t>
      </w:r>
      <w:r>
        <w:t xml:space="preserve">32 (1951).  </w:t>
      </w:r>
    </w:p>
    <w:p w:rsidR="00604FBC" w:rsidRDefault="00604FBC" w:rsidP="00604FBC">
      <w:pPr>
        <w:pStyle w:val="Heading4"/>
      </w:pPr>
      <w:bookmarkStart w:id="297" w:name="_Toc395604576"/>
      <w:r>
        <w:t>b.</w:t>
      </w:r>
      <w:r>
        <w:tab/>
        <w:t>Lack of testamentary capacity</w:t>
      </w:r>
      <w:bookmarkEnd w:id="297"/>
    </w:p>
    <w:p w:rsidR="00B76BB7" w:rsidRDefault="00B76BB7" w:rsidP="00B76BB7">
      <w:pPr>
        <w:ind w:left="1440"/>
      </w:pPr>
      <w:r>
        <w:t>“</w:t>
      </w:r>
      <w:r w:rsidRPr="00B76BB7">
        <w:t>The fact-finding function in cases of testamentary capacity is in the trial court.  In a case such as this, where the weight of the evidence depends in a large measure upon the appearance and interest of the witnesses, the trial court is peculiarly qualified to discharge the factfinding function.  Under well</w:t>
      </w:r>
      <w:r w:rsidR="006E1F23">
        <w:t>-settled rules, the trial court’</w:t>
      </w:r>
      <w:r w:rsidRPr="00B76BB7">
        <w:t>s finding upon this fact issue is binding upon us if such finding is not clearly and ma</w:t>
      </w:r>
      <w:r>
        <w:t xml:space="preserve">nifestly against the evidence.”  </w:t>
      </w:r>
      <w:r>
        <w:rPr>
          <w:i/>
        </w:rPr>
        <w:t>In re</w:t>
      </w:r>
      <w:r w:rsidR="00D05653">
        <w:rPr>
          <w:i/>
        </w:rPr>
        <w:t xml:space="preserve"> Estate of</w:t>
      </w:r>
      <w:r>
        <w:rPr>
          <w:i/>
        </w:rPr>
        <w:t xml:space="preserve"> </w:t>
      </w:r>
      <w:r w:rsidRPr="00B76BB7">
        <w:rPr>
          <w:i/>
        </w:rPr>
        <w:t>Rasmussen</w:t>
      </w:r>
      <w:r>
        <w:t xml:space="preserve">, </w:t>
      </w:r>
      <w:r w:rsidRPr="00B76BB7">
        <w:t>244 Minn. 215</w:t>
      </w:r>
      <w:r>
        <w:t xml:space="preserve">, 220, </w:t>
      </w:r>
      <w:r w:rsidRPr="00B76BB7">
        <w:t>69 N.W.2d 630,</w:t>
      </w:r>
      <w:r>
        <w:t xml:space="preserve"> 634 </w:t>
      </w:r>
      <w:r w:rsidRPr="00B76BB7">
        <w:t>(1955)</w:t>
      </w:r>
      <w:r w:rsidR="00D05653">
        <w:t xml:space="preserve"> (citation omitted)</w:t>
      </w:r>
      <w:r w:rsidR="009616A6">
        <w:t>.</w:t>
      </w:r>
    </w:p>
    <w:p w:rsidR="009616A6" w:rsidRDefault="009616A6" w:rsidP="00B76BB7">
      <w:pPr>
        <w:ind w:left="1440"/>
      </w:pPr>
    </w:p>
    <w:p w:rsidR="009616A6" w:rsidRDefault="009616A6" w:rsidP="009616A6">
      <w:pPr>
        <w:ind w:left="1440"/>
      </w:pPr>
      <w:r>
        <w:t xml:space="preserve">“[W]here the evidence as to testamentary capacity is conflicting the findings of the trial court with respect to that question are final on appeal.”  </w:t>
      </w:r>
      <w:r w:rsidRPr="009616A6">
        <w:rPr>
          <w:i/>
        </w:rPr>
        <w:t>Borstad</w:t>
      </w:r>
      <w:r w:rsidR="00D05653">
        <w:rPr>
          <w:i/>
        </w:rPr>
        <w:t xml:space="preserve"> v. Ulstad</w:t>
      </w:r>
      <w:r>
        <w:t xml:space="preserve">, </w:t>
      </w:r>
      <w:r w:rsidRPr="009616A6">
        <w:t>232</w:t>
      </w:r>
      <w:r>
        <w:t xml:space="preserve"> Minn. 365, 371, 45 N.W.2d 828, </w:t>
      </w:r>
      <w:r w:rsidR="00D05653">
        <w:t>8</w:t>
      </w:r>
      <w:r>
        <w:t xml:space="preserve">32 (1951).  </w:t>
      </w:r>
    </w:p>
    <w:p w:rsidR="00604FBC" w:rsidRDefault="00604FBC" w:rsidP="00337FFA">
      <w:pPr>
        <w:pStyle w:val="Heading3"/>
      </w:pPr>
      <w:bookmarkStart w:id="298" w:name="_Toc395604577"/>
      <w:r>
        <w:lastRenderedPageBreak/>
        <w:t xml:space="preserve">3. </w:t>
      </w:r>
      <w:r>
        <w:tab/>
        <w:t>Appointment/</w:t>
      </w:r>
      <w:r w:rsidR="003F5C4D">
        <w:t>R</w:t>
      </w:r>
      <w:r>
        <w:t xml:space="preserve">emoval of </w:t>
      </w:r>
      <w:r w:rsidR="003F5C4D">
        <w:t>P</w:t>
      </w:r>
      <w:r>
        <w:t xml:space="preserve">ersonal </w:t>
      </w:r>
      <w:r w:rsidR="003F5C4D">
        <w:t>R</w:t>
      </w:r>
      <w:r>
        <w:t>epresentative</w:t>
      </w:r>
      <w:bookmarkEnd w:id="298"/>
    </w:p>
    <w:p w:rsidR="00604FBC" w:rsidRPr="008C6410" w:rsidRDefault="002F176B" w:rsidP="00F63033">
      <w:pPr>
        <w:ind w:left="720"/>
      </w:pPr>
      <w:r>
        <w:t xml:space="preserve">“The district court has discretion to determine suitability of a personal representative, and that determination will not be reversed absent an abuse of discretion.  This court will not reverse the district court’s determination regarding removal of a personal representative unless the district court clearly abused its discretion by disregarding the facts.”  </w:t>
      </w:r>
      <w:r w:rsidR="008C6410">
        <w:rPr>
          <w:i/>
        </w:rPr>
        <w:t>In re Estate of Martignacco</w:t>
      </w:r>
      <w:r w:rsidR="008C6410">
        <w:t xml:space="preserve">, 689 N.W.2d 262, 269 (Minn. App. 2004) (citation omitted), </w:t>
      </w:r>
      <w:r w:rsidR="008C6410">
        <w:rPr>
          <w:i/>
        </w:rPr>
        <w:t xml:space="preserve">review denied </w:t>
      </w:r>
      <w:r w:rsidR="008C6410">
        <w:t xml:space="preserve">(Minn. Jan. 26, 2005).  </w:t>
      </w:r>
    </w:p>
    <w:p w:rsidR="00604FBC" w:rsidRDefault="00604FBC" w:rsidP="00337FFA">
      <w:pPr>
        <w:pStyle w:val="Heading3"/>
      </w:pPr>
      <w:bookmarkStart w:id="299" w:name="_Toc395604578"/>
      <w:r>
        <w:t>4.</w:t>
      </w:r>
      <w:r>
        <w:tab/>
        <w:t xml:space="preserve">Claims </w:t>
      </w:r>
      <w:r w:rsidR="003F5C4D">
        <w:t>A</w:t>
      </w:r>
      <w:r>
        <w:t xml:space="preserve">gainst </w:t>
      </w:r>
      <w:r w:rsidR="003F5C4D">
        <w:t>E</w:t>
      </w:r>
      <w:r>
        <w:t>state</w:t>
      </w:r>
      <w:bookmarkEnd w:id="299"/>
    </w:p>
    <w:p w:rsidR="00604FBC" w:rsidRPr="0074060F" w:rsidRDefault="00600458" w:rsidP="00F63033">
      <w:pPr>
        <w:ind w:left="720"/>
      </w:pPr>
      <w:r>
        <w:t xml:space="preserve">“A court may allow a claim to be filed against an estate after the expiration of the statutory filing time if the creditor can show good cause.  The trial court has broad discretion </w:t>
      </w:r>
      <w:r w:rsidR="0074060F">
        <w:t xml:space="preserve">to determine whether good cause exists, and its finding will not be disturbed unless clearly erroneous.”  </w:t>
      </w:r>
      <w:r w:rsidR="0074060F">
        <w:rPr>
          <w:i/>
        </w:rPr>
        <w:t>In re Estate of Thompson</w:t>
      </w:r>
      <w:r w:rsidR="0074060F">
        <w:t>, 484 N.W.2d 258, 26</w:t>
      </w:r>
      <w:r w:rsidR="00D05653">
        <w:t>1</w:t>
      </w:r>
      <w:r w:rsidR="0074060F">
        <w:t xml:space="preserve"> (Minn. App. 1992) (citation omitted).  </w:t>
      </w:r>
    </w:p>
    <w:p w:rsidR="00604FBC" w:rsidRDefault="00604FBC" w:rsidP="00337FFA">
      <w:pPr>
        <w:pStyle w:val="Heading3"/>
      </w:pPr>
      <w:bookmarkStart w:id="300" w:name="_Toc395604579"/>
      <w:r>
        <w:t>5.</w:t>
      </w:r>
      <w:r>
        <w:tab/>
        <w:t>Expenses/</w:t>
      </w:r>
      <w:r w:rsidR="003F5C4D">
        <w:t>A</w:t>
      </w:r>
      <w:r>
        <w:t xml:space="preserve">ttorney </w:t>
      </w:r>
      <w:r w:rsidR="003F5C4D">
        <w:t>F</w:t>
      </w:r>
      <w:r>
        <w:t>ees</w:t>
      </w:r>
      <w:bookmarkEnd w:id="300"/>
    </w:p>
    <w:p w:rsidR="00604FBC" w:rsidRDefault="00D24C48" w:rsidP="00F63033">
      <w:pPr>
        <w:ind w:left="720"/>
      </w:pPr>
      <w:r>
        <w:t>“The standard of review for an appellate court examining an award of attorney fees</w:t>
      </w:r>
      <w:r w:rsidR="00D05653">
        <w:t xml:space="preserve"> and costs</w:t>
      </w:r>
      <w:r>
        <w:t xml:space="preserve"> is whether the district court abused its discretion.”  </w:t>
      </w:r>
      <w:r>
        <w:rPr>
          <w:i/>
        </w:rPr>
        <w:t>In re Estate of Martignacco</w:t>
      </w:r>
      <w:r>
        <w:t xml:space="preserve">, 689 N.W.2d 262, </w:t>
      </w:r>
      <w:r w:rsidR="005020F6">
        <w:t>271</w:t>
      </w:r>
      <w:r>
        <w:t xml:space="preserve"> (Minn. App. 2004) (quotation omitted), </w:t>
      </w:r>
      <w:r>
        <w:rPr>
          <w:i/>
        </w:rPr>
        <w:t xml:space="preserve">review denied </w:t>
      </w:r>
      <w:r>
        <w:t xml:space="preserve">(Minn. Jan. 26, 2005).  </w:t>
      </w:r>
    </w:p>
    <w:p w:rsidR="0074060F" w:rsidRDefault="0074060F" w:rsidP="00F63033">
      <w:pPr>
        <w:ind w:left="720"/>
      </w:pPr>
    </w:p>
    <w:p w:rsidR="005F2DA3" w:rsidRPr="00F63033" w:rsidRDefault="005F2DA3" w:rsidP="00F63033">
      <w:pPr>
        <w:ind w:left="720"/>
      </w:pPr>
      <w:r>
        <w:t xml:space="preserve">“This court reviews a district court’s award or denial of attorney fees on an abuse-of-discretion standard.”  </w:t>
      </w:r>
      <w:r w:rsidRPr="00AB53DA">
        <w:rPr>
          <w:i/>
        </w:rPr>
        <w:t>In re Estate and Trust of Anderson</w:t>
      </w:r>
      <w:r>
        <w:t>, 654 N.W.2d 682,</w:t>
      </w:r>
      <w:r w:rsidRPr="00AB53DA">
        <w:t xml:space="preserve"> </w:t>
      </w:r>
      <w:r>
        <w:t>68</w:t>
      </w:r>
      <w:r w:rsidR="00D05653">
        <w:t>8</w:t>
      </w:r>
      <w:r>
        <w:t xml:space="preserve"> (Minn.</w:t>
      </w:r>
      <w:r w:rsidR="006E1F23">
        <w:t xml:space="preserve"> </w:t>
      </w:r>
      <w:r>
        <w:t>App. 2002)</w:t>
      </w:r>
      <w:r w:rsidR="00D05653">
        <w:t xml:space="preserve">, </w:t>
      </w:r>
      <w:r w:rsidR="00D05653">
        <w:rPr>
          <w:i/>
        </w:rPr>
        <w:t>review denied</w:t>
      </w:r>
      <w:r w:rsidR="00D05653">
        <w:t xml:space="preserve"> (Minn. Feb. 26, 2003)</w:t>
      </w:r>
      <w:r>
        <w:t xml:space="preserve">.  </w:t>
      </w:r>
    </w:p>
    <w:p w:rsidR="001C12BC" w:rsidRPr="001C12BC" w:rsidRDefault="001C12BC" w:rsidP="00604DD4">
      <w:pPr>
        <w:pStyle w:val="Heading2"/>
      </w:pPr>
      <w:bookmarkStart w:id="301" w:name="_Toc395604580"/>
      <w:r>
        <w:t>B</w:t>
      </w:r>
      <w:r w:rsidR="00634166">
        <w:t>.</w:t>
      </w:r>
      <w:r w:rsidR="00634166">
        <w:tab/>
      </w:r>
      <w:r>
        <w:t>TRUSTS</w:t>
      </w:r>
      <w:bookmarkEnd w:id="301"/>
    </w:p>
    <w:p w:rsidR="00634166" w:rsidRDefault="00BF5450" w:rsidP="00337FFA">
      <w:pPr>
        <w:pStyle w:val="Heading3"/>
      </w:pPr>
      <w:bookmarkStart w:id="302" w:name="_Toc395604581"/>
      <w:r>
        <w:t>1.</w:t>
      </w:r>
      <w:r>
        <w:tab/>
        <w:t>Interpretation/</w:t>
      </w:r>
      <w:r w:rsidR="003F5C4D">
        <w:t>C</w:t>
      </w:r>
      <w:r>
        <w:t>onstruction</w:t>
      </w:r>
      <w:bookmarkEnd w:id="302"/>
    </w:p>
    <w:p w:rsidR="00BF5450" w:rsidRPr="00A37D66" w:rsidRDefault="00A37D66" w:rsidP="009B1ED4">
      <w:pPr>
        <w:ind w:left="720"/>
      </w:pPr>
      <w:r>
        <w:t xml:space="preserve">Appellate courts “review de novo a district court’s interpretation of a written document, which in this case is the Trust Agreement.”  </w:t>
      </w:r>
      <w:r>
        <w:rPr>
          <w:i/>
        </w:rPr>
        <w:t>In re Pamela Andreas Stisser Grantor Trust</w:t>
      </w:r>
      <w:r>
        <w:t xml:space="preserve">, 818 N.W.2d 495, 502 (Minn. 2012).  </w:t>
      </w:r>
    </w:p>
    <w:p w:rsidR="00BF5450" w:rsidRDefault="00BF5450" w:rsidP="009B1ED4">
      <w:pPr>
        <w:ind w:left="720"/>
      </w:pPr>
    </w:p>
    <w:p w:rsidR="00257F49" w:rsidRDefault="00257F49" w:rsidP="009B1ED4">
      <w:pPr>
        <w:ind w:left="720"/>
      </w:pPr>
      <w:r>
        <w:t xml:space="preserve">“This court applies a </w:t>
      </w:r>
      <w:r>
        <w:rPr>
          <w:i/>
        </w:rPr>
        <w:t>de novo</w:t>
      </w:r>
      <w:r>
        <w:t xml:space="preserve"> standard of review to a district court’s interpretation of a trust agreement.”  </w:t>
      </w:r>
      <w:r>
        <w:rPr>
          <w:i/>
        </w:rPr>
        <w:t>In re G.B. Van Dusen Marital Trust</w:t>
      </w:r>
      <w:r>
        <w:t xml:space="preserve">, </w:t>
      </w:r>
      <w:r w:rsidR="009E4582">
        <w:t>_</w:t>
      </w:r>
      <w:r w:rsidR="005C337A">
        <w:t>_</w:t>
      </w:r>
      <w:r w:rsidR="009E4582">
        <w:t>_</w:t>
      </w:r>
      <w:r>
        <w:t xml:space="preserve"> N.W.2d </w:t>
      </w:r>
      <w:r w:rsidR="009E4582">
        <w:t>_</w:t>
      </w:r>
      <w:r w:rsidR="005C337A">
        <w:t>_</w:t>
      </w:r>
      <w:r w:rsidR="009E4582">
        <w:t>_</w:t>
      </w:r>
      <w:r>
        <w:t xml:space="preserve"> (Minn. App</w:t>
      </w:r>
      <w:r w:rsidR="009E4582">
        <w:t>. Apr. 8,</w:t>
      </w:r>
      <w:r>
        <w:t xml:space="preserve"> 2013) (citing </w:t>
      </w:r>
      <w:r>
        <w:rPr>
          <w:i/>
        </w:rPr>
        <w:t>In re Pamela Andreas Stisser Grantor Trust</w:t>
      </w:r>
      <w:r>
        <w:t xml:space="preserve">, 818 N.W.2d 495, 502 (Minn. 2012)), </w:t>
      </w:r>
      <w:r>
        <w:rPr>
          <w:i/>
        </w:rPr>
        <w:t xml:space="preserve">review denied </w:t>
      </w:r>
      <w:r>
        <w:t xml:space="preserve">(Minn. June 26, 2013).  </w:t>
      </w:r>
    </w:p>
    <w:p w:rsidR="00257F49" w:rsidRDefault="00257F49" w:rsidP="00337FFA">
      <w:pPr>
        <w:pStyle w:val="Heading3"/>
      </w:pPr>
      <w:bookmarkStart w:id="303" w:name="_Toc395604582"/>
      <w:r>
        <w:t>2.</w:t>
      </w:r>
      <w:r>
        <w:tab/>
        <w:t>Expenses/</w:t>
      </w:r>
      <w:r w:rsidR="003F5C4D">
        <w:t>A</w:t>
      </w:r>
      <w:r>
        <w:t xml:space="preserve">ttorney </w:t>
      </w:r>
      <w:r w:rsidR="003F5C4D">
        <w:t>F</w:t>
      </w:r>
      <w:r>
        <w:t>ees</w:t>
      </w:r>
      <w:bookmarkEnd w:id="303"/>
    </w:p>
    <w:p w:rsidR="0013329D" w:rsidRDefault="0013329D" w:rsidP="009B1ED4">
      <w:pPr>
        <w:ind w:left="720"/>
      </w:pPr>
      <w:r>
        <w:t>“An award of fiduciary compensation or attorney fees rests largely within the district court’s discretion.  The reasonable value of compensation</w:t>
      </w:r>
      <w:r w:rsidR="00091397">
        <w:t xml:space="preserve"> or reimbursement</w:t>
      </w:r>
      <w:r>
        <w:t xml:space="preserve"> is a question of fact.  We review a district court’s findings of fact under the clearly erroneous standard.”  </w:t>
      </w:r>
      <w:r>
        <w:rPr>
          <w:i/>
        </w:rPr>
        <w:t>In re Pamela Andreas Stisser Grantor Trust</w:t>
      </w:r>
      <w:r>
        <w:t xml:space="preserve">, 818 N.W.2d 495, 507 (Minn. 2012) (citations omitted).  </w:t>
      </w:r>
    </w:p>
    <w:p w:rsidR="004A6372" w:rsidRDefault="004A6372" w:rsidP="004A6372">
      <w:pPr>
        <w:ind w:left="720"/>
      </w:pPr>
      <w:r>
        <w:lastRenderedPageBreak/>
        <w:t>“We wi</w:t>
      </w:r>
      <w:r w:rsidR="00B3597D">
        <w:t>ll not reverse a district court’</w:t>
      </w:r>
      <w:r>
        <w:t xml:space="preserve">s </w:t>
      </w:r>
      <w:r w:rsidR="00091397">
        <w:t>denial</w:t>
      </w:r>
      <w:r>
        <w:t xml:space="preserve"> of attorney fees ab</w:t>
      </w:r>
      <w:r w:rsidR="006E1F23">
        <w:t xml:space="preserve">sent an abuse of discretion.” </w:t>
      </w:r>
      <w:r>
        <w:t xml:space="preserve"> </w:t>
      </w:r>
      <w:r w:rsidRPr="006E1F23">
        <w:rPr>
          <w:i/>
        </w:rPr>
        <w:t>In re Margolis Revocable Trust</w:t>
      </w:r>
      <w:r>
        <w:t>, 765 N.W.2d 919, 928 (Minn. App. 2009).</w:t>
      </w:r>
    </w:p>
    <w:p w:rsidR="004A6372" w:rsidRDefault="004A6372" w:rsidP="004A6372">
      <w:pPr>
        <w:ind w:left="720"/>
      </w:pPr>
    </w:p>
    <w:p w:rsidR="004A6372" w:rsidRDefault="004A6372" w:rsidP="004A6372">
      <w:pPr>
        <w:ind w:left="720"/>
      </w:pPr>
      <w:r>
        <w:t>“Determination of whether attorney fees will be chargeable to a trust is within the sound discretion of the trial court and will not be reversed absent an abuse of discretion.”</w:t>
      </w:r>
    </w:p>
    <w:p w:rsidR="004A6372" w:rsidRDefault="004A6372" w:rsidP="004A6372">
      <w:pPr>
        <w:ind w:left="720"/>
      </w:pPr>
      <w:r w:rsidRPr="00EE5B37">
        <w:rPr>
          <w:i/>
        </w:rPr>
        <w:t>In re Trust Created by Hill</w:t>
      </w:r>
      <w:r>
        <w:t xml:space="preserve">, 499 N.W.2d 475, 493-94 (Minn. App. 1993) (citing </w:t>
      </w:r>
      <w:r w:rsidRPr="00EE5B37">
        <w:rPr>
          <w:i/>
        </w:rPr>
        <w:t>In re Great N. Iron Ore Properties Trust</w:t>
      </w:r>
      <w:r>
        <w:t>, 311 N.W.2d 488, 492 (Minn. 1981))</w:t>
      </w:r>
      <w:r w:rsidR="00091397">
        <w:t xml:space="preserve">, </w:t>
      </w:r>
      <w:r w:rsidR="00091397">
        <w:rPr>
          <w:i/>
        </w:rPr>
        <w:t>review denied</w:t>
      </w:r>
      <w:r w:rsidR="00091397">
        <w:t xml:space="preserve"> (Minn. July 15, 1993)</w:t>
      </w:r>
      <w:r>
        <w:t xml:space="preserve">.  </w:t>
      </w:r>
    </w:p>
    <w:p w:rsidR="004A6372" w:rsidRDefault="004A6372" w:rsidP="004A6372">
      <w:pPr>
        <w:ind w:left="720"/>
      </w:pPr>
    </w:p>
    <w:p w:rsidR="004A6372" w:rsidRPr="00EE5B37" w:rsidRDefault="004A6372" w:rsidP="004A6372">
      <w:pPr>
        <w:ind w:left="720"/>
      </w:pPr>
      <w:r>
        <w:t>“</w:t>
      </w:r>
      <w:r w:rsidRPr="00EE5B37">
        <w:t>The allowance of reasonable compensation to a trustee for his services lies within the</w:t>
      </w:r>
      <w:r>
        <w:t xml:space="preserve"> discretion of the trial court.”  </w:t>
      </w:r>
      <w:r w:rsidRPr="00EE5B37">
        <w:rPr>
          <w:i/>
        </w:rPr>
        <w:t>In re</w:t>
      </w:r>
      <w:r w:rsidR="00966039">
        <w:rPr>
          <w:i/>
        </w:rPr>
        <w:t xml:space="preserve"> Trust Created by</w:t>
      </w:r>
      <w:r w:rsidRPr="00EE5B37">
        <w:rPr>
          <w:i/>
        </w:rPr>
        <w:t xml:space="preserve"> Voss</w:t>
      </w:r>
      <w:r>
        <w:t xml:space="preserve">, </w:t>
      </w:r>
      <w:r w:rsidRPr="00EE5B37">
        <w:t xml:space="preserve">474 N.W.2d 199, </w:t>
      </w:r>
      <w:r>
        <w:t>201 (Minn. App. 1991)</w:t>
      </w:r>
      <w:r w:rsidR="00966039">
        <w:t xml:space="preserve"> (quotation omitted)</w:t>
      </w:r>
      <w:r>
        <w:t xml:space="preserve">.  </w:t>
      </w:r>
    </w:p>
    <w:p w:rsidR="00634166" w:rsidRDefault="001C12BC" w:rsidP="00604DD4">
      <w:pPr>
        <w:pStyle w:val="Heading2"/>
      </w:pPr>
      <w:bookmarkStart w:id="304" w:name="_Toc395604583"/>
      <w:r>
        <w:t>C.</w:t>
      </w:r>
      <w:r>
        <w:tab/>
        <w:t>G</w:t>
      </w:r>
      <w:r w:rsidR="00634166">
        <w:t>UARDIANSHIPS AND CONSERVATORSHIPS</w:t>
      </w:r>
      <w:bookmarkEnd w:id="304"/>
    </w:p>
    <w:p w:rsidR="00BF5450" w:rsidRDefault="00BF5450" w:rsidP="00337FFA">
      <w:pPr>
        <w:pStyle w:val="Heading3"/>
      </w:pPr>
      <w:bookmarkStart w:id="305" w:name="_Toc395604584"/>
      <w:r>
        <w:t>1.</w:t>
      </w:r>
      <w:r>
        <w:tab/>
        <w:t>Appointment</w:t>
      </w:r>
      <w:r w:rsidR="009B1ED4">
        <w:t xml:space="preserve"> </w:t>
      </w:r>
      <w:r>
        <w:t xml:space="preserve">of </w:t>
      </w:r>
      <w:r w:rsidR="003F5C4D">
        <w:t>G</w:t>
      </w:r>
      <w:r>
        <w:t>uardian/</w:t>
      </w:r>
      <w:r w:rsidR="003F5C4D">
        <w:t>C</w:t>
      </w:r>
      <w:r>
        <w:t>onservator</w:t>
      </w:r>
      <w:bookmarkEnd w:id="305"/>
    </w:p>
    <w:p w:rsidR="00BF5450" w:rsidRDefault="0013329D" w:rsidP="009B1ED4">
      <w:pPr>
        <w:ind w:left="720"/>
      </w:pPr>
      <w:r>
        <w:t xml:space="preserve">“The appointment of a conservator is a matter within the district court’s discretion and will not be disturbed absent a clear abuse of that discretion.”  </w:t>
      </w:r>
      <w:r>
        <w:rPr>
          <w:i/>
        </w:rPr>
        <w:t>In re Guardianship of Pates</w:t>
      </w:r>
      <w:r>
        <w:t xml:space="preserve">, 823 N.W.2d 881, </w:t>
      </w:r>
      <w:r w:rsidR="009B1ED4">
        <w:t>88</w:t>
      </w:r>
      <w:r w:rsidR="004B0CDC">
        <w:t>5</w:t>
      </w:r>
      <w:r w:rsidR="009B1ED4">
        <w:t xml:space="preserve"> (Minn. App. 2012) (quotation omitted).  </w:t>
      </w:r>
    </w:p>
    <w:p w:rsidR="009A7801" w:rsidRDefault="009A7801" w:rsidP="009B1ED4">
      <w:pPr>
        <w:ind w:left="720"/>
      </w:pPr>
    </w:p>
    <w:p w:rsidR="009A7801" w:rsidRDefault="009A7801" w:rsidP="009B1ED4">
      <w:pPr>
        <w:ind w:left="720"/>
      </w:pPr>
      <w:r>
        <w:t xml:space="preserve">“The appointment of a guardian is a matter within the discretion of the district court and will not be disturbed absent a clear abuse of that discretion.”  </w:t>
      </w:r>
      <w:r>
        <w:rPr>
          <w:i/>
        </w:rPr>
        <w:t>In re Guardianship of Autio</w:t>
      </w:r>
      <w:r>
        <w:t xml:space="preserve">, 747 N.W.2d 600, 603 (Minn. App. 2008).  </w:t>
      </w:r>
    </w:p>
    <w:p w:rsidR="006B29F0" w:rsidRDefault="006B29F0" w:rsidP="009B1ED4">
      <w:pPr>
        <w:ind w:left="720"/>
      </w:pPr>
    </w:p>
    <w:p w:rsidR="006B29F0" w:rsidRDefault="006B29F0" w:rsidP="009B1ED4">
      <w:pPr>
        <w:ind w:left="720"/>
      </w:pPr>
      <w:r>
        <w:t xml:space="preserve">“The appointment of a guardian </w:t>
      </w:r>
      <w:r w:rsidR="007E1D1F">
        <w:t>is uniquely within the discretion of the appointing court, and we will not interfere with the exercise of that discretion except in the case of a clear abuse of discretion.  A reviewing court is limited to determining whether the district court’s findings are clearly erroneous, giving due regard to the district court’s determinations regarding witness credibility</w:t>
      </w:r>
      <w:r>
        <w:t xml:space="preserve">.”  </w:t>
      </w:r>
      <w:r>
        <w:rPr>
          <w:i/>
        </w:rPr>
        <w:t>In re Guardianship of Wells</w:t>
      </w:r>
      <w:r>
        <w:t xml:space="preserve">, 733 N.W.2d 506, </w:t>
      </w:r>
      <w:r w:rsidR="00D35B29">
        <w:t>510</w:t>
      </w:r>
      <w:r>
        <w:t xml:space="preserve"> (Minn. App. 2007) (</w:t>
      </w:r>
      <w:r w:rsidR="007E1D1F">
        <w:t>quotation</w:t>
      </w:r>
      <w:r>
        <w:t xml:space="preserve"> omitted), </w:t>
      </w:r>
      <w:r>
        <w:rPr>
          <w:i/>
        </w:rPr>
        <w:t>review denied</w:t>
      </w:r>
      <w:r>
        <w:t xml:space="preserve"> (Minn. </w:t>
      </w:r>
      <w:r w:rsidR="007E1D1F">
        <w:t xml:space="preserve">Sept. 18, 2007).  </w:t>
      </w:r>
    </w:p>
    <w:p w:rsidR="0074060F" w:rsidRDefault="0074060F" w:rsidP="009B1ED4">
      <w:pPr>
        <w:ind w:left="720"/>
      </w:pPr>
    </w:p>
    <w:p w:rsidR="0074060F" w:rsidRPr="0074060F" w:rsidRDefault="0074060F" w:rsidP="009B1ED4">
      <w:pPr>
        <w:ind w:left="720"/>
      </w:pPr>
      <w:r>
        <w:t xml:space="preserve">“The appointment of a conservator is a matter within the district court’s discretion and will not be disturbed absent a clear abuse of that discretion.”  </w:t>
      </w:r>
      <w:r>
        <w:rPr>
          <w:i/>
        </w:rPr>
        <w:t>In re Conservatorship of Geldert</w:t>
      </w:r>
      <w:r>
        <w:t xml:space="preserve">, 621 N.W.2d 285, 287 (Minn. App. 2001), </w:t>
      </w:r>
      <w:r>
        <w:rPr>
          <w:i/>
        </w:rPr>
        <w:t>review denied</w:t>
      </w:r>
      <w:r>
        <w:t xml:space="preserve"> (Minn. Mar. 27, 2001).  </w:t>
      </w:r>
    </w:p>
    <w:p w:rsidR="009B1ED4" w:rsidRDefault="00BF5450" w:rsidP="00337FFA">
      <w:pPr>
        <w:pStyle w:val="Heading3"/>
      </w:pPr>
      <w:bookmarkStart w:id="306" w:name="_Toc395604585"/>
      <w:r>
        <w:t>2.</w:t>
      </w:r>
      <w:r>
        <w:tab/>
      </w:r>
      <w:r w:rsidR="009B1ED4">
        <w:t xml:space="preserve">Removal of </w:t>
      </w:r>
      <w:r w:rsidR="003F5C4D">
        <w:t>G</w:t>
      </w:r>
      <w:r w:rsidR="009B1ED4">
        <w:t>uardian/</w:t>
      </w:r>
      <w:r w:rsidR="003F5C4D">
        <w:t>C</w:t>
      </w:r>
      <w:r w:rsidR="009B1ED4">
        <w:t>onservator</w:t>
      </w:r>
      <w:bookmarkEnd w:id="306"/>
    </w:p>
    <w:p w:rsidR="009B1ED4" w:rsidRDefault="00D21EFA" w:rsidP="00D21EFA">
      <w:pPr>
        <w:ind w:left="720"/>
      </w:pPr>
      <w:r>
        <w:t xml:space="preserve">“We review the decision to remove a guardian for an abuse of discretion and will not set aside the decision absent a clear abuse of that discretion.  The district court abuses its discretion by improperly applying the law.”  </w:t>
      </w:r>
      <w:r>
        <w:rPr>
          <w:i/>
        </w:rPr>
        <w:t>In re Guardianship of DeYoung</w:t>
      </w:r>
      <w:r>
        <w:t xml:space="preserve">, 801 N.W.2d 211, 216 (Minn. App. 2011) (citation omitted).  </w:t>
      </w:r>
    </w:p>
    <w:p w:rsidR="0074060F" w:rsidRDefault="0074060F" w:rsidP="00D21EFA">
      <w:pPr>
        <w:ind w:left="720"/>
      </w:pPr>
    </w:p>
    <w:p w:rsidR="0074060F" w:rsidRDefault="0074060F" w:rsidP="00D21EFA">
      <w:pPr>
        <w:ind w:left="720"/>
      </w:pPr>
      <w:r>
        <w:t xml:space="preserve">“The removal of a guardian or conservator is also a matter within the district court’s discretion.”  </w:t>
      </w:r>
      <w:r w:rsidRPr="0074060F">
        <w:rPr>
          <w:i/>
        </w:rPr>
        <w:t>In re Conservatorship of Geldert</w:t>
      </w:r>
      <w:r w:rsidRPr="0074060F">
        <w:t xml:space="preserve">, 621 N.W.2d 285, 287 (Minn. App. 2001), </w:t>
      </w:r>
      <w:r w:rsidRPr="0074060F">
        <w:rPr>
          <w:i/>
        </w:rPr>
        <w:t>review denied</w:t>
      </w:r>
      <w:r w:rsidRPr="0074060F">
        <w:t xml:space="preserve"> (Minn. Mar. 27, 2001).  </w:t>
      </w:r>
    </w:p>
    <w:p w:rsidR="00083970" w:rsidRDefault="00B116D5" w:rsidP="00337FFA">
      <w:pPr>
        <w:pStyle w:val="Heading3"/>
      </w:pPr>
      <w:bookmarkStart w:id="307" w:name="_Toc395604586"/>
      <w:r>
        <w:lastRenderedPageBreak/>
        <w:t>3.</w:t>
      </w:r>
      <w:r>
        <w:tab/>
      </w:r>
      <w:r w:rsidR="00083970">
        <w:t>Terms of Guardianship</w:t>
      </w:r>
      <w:bookmarkEnd w:id="307"/>
    </w:p>
    <w:p w:rsidR="00083970" w:rsidRPr="00083970" w:rsidRDefault="00083970" w:rsidP="00083970">
      <w:pPr>
        <w:ind w:left="720"/>
      </w:pPr>
      <w:r>
        <w:t>“</w:t>
      </w:r>
      <w:r w:rsidRPr="00083970">
        <w:t>We review a district court's determination of the terms of a guardianship for an abuse of discretion.</w:t>
      </w:r>
      <w:r>
        <w:t xml:space="preserve">”  </w:t>
      </w:r>
      <w:r>
        <w:rPr>
          <w:i/>
        </w:rPr>
        <w:t>In re Guardianship of O’</w:t>
      </w:r>
      <w:r w:rsidRPr="00083970">
        <w:rPr>
          <w:i/>
        </w:rPr>
        <w:t>Brien</w:t>
      </w:r>
      <w:r w:rsidRPr="00083970">
        <w:t>, 847 N.W.2d 710, 714 (Minn. App. 2014)</w:t>
      </w:r>
      <w:r>
        <w:t>.</w:t>
      </w:r>
    </w:p>
    <w:p w:rsidR="00B116D5" w:rsidRDefault="00083970" w:rsidP="00337FFA">
      <w:pPr>
        <w:pStyle w:val="Heading3"/>
      </w:pPr>
      <w:bookmarkStart w:id="308" w:name="_Toc395604587"/>
      <w:r>
        <w:t>4.</w:t>
      </w:r>
      <w:r>
        <w:tab/>
      </w:r>
      <w:r w:rsidR="00B116D5">
        <w:t xml:space="preserve">Attorney </w:t>
      </w:r>
      <w:r w:rsidR="003F5C4D">
        <w:t>F</w:t>
      </w:r>
      <w:r w:rsidR="00B116D5">
        <w:t>ees</w:t>
      </w:r>
      <w:bookmarkEnd w:id="308"/>
    </w:p>
    <w:p w:rsidR="00B116D5" w:rsidRPr="00B116D5" w:rsidRDefault="00B116D5" w:rsidP="00B116D5">
      <w:pPr>
        <w:ind w:left="720"/>
      </w:pPr>
      <w:r>
        <w:t>“</w:t>
      </w:r>
      <w:r w:rsidRPr="00B116D5">
        <w:t>The q</w:t>
      </w:r>
      <w:r>
        <w:t>uestion of whether the attorney’</w:t>
      </w:r>
      <w:r w:rsidRPr="00B116D5">
        <w:t xml:space="preserve">s fees were for necessary services is a </w:t>
      </w:r>
      <w:r>
        <w:t>fact question.  A probate court’</w:t>
      </w:r>
      <w:r w:rsidRPr="00B116D5">
        <w:t>s determination of factual questions will not be set a</w:t>
      </w:r>
      <w:r>
        <w:t xml:space="preserve">side unless clearly erroneous.”  </w:t>
      </w:r>
      <w:r w:rsidRPr="00B116D5">
        <w:rPr>
          <w:i/>
        </w:rPr>
        <w:t>In re Conservatorship of W.R.L</w:t>
      </w:r>
      <w:r w:rsidRPr="00B116D5">
        <w:t>.,</w:t>
      </w:r>
      <w:r>
        <w:t xml:space="preserve"> </w:t>
      </w:r>
      <w:r w:rsidRPr="00B116D5">
        <w:t>396 N.W.2d 705,</w:t>
      </w:r>
      <w:r>
        <w:t xml:space="preserve"> 707</w:t>
      </w:r>
      <w:r w:rsidRPr="00B116D5">
        <w:t xml:space="preserve"> (Minn.</w:t>
      </w:r>
      <w:r>
        <w:t xml:space="preserve"> </w:t>
      </w:r>
      <w:r w:rsidRPr="00B116D5">
        <w:t>App. 1986)</w:t>
      </w:r>
      <w:r w:rsidR="003742C2">
        <w:t xml:space="preserve">.  </w:t>
      </w:r>
    </w:p>
    <w:p w:rsidR="003742C2" w:rsidRDefault="003742C2">
      <w:pPr>
        <w:jc w:val="left"/>
        <w:rPr>
          <w:rFonts w:eastAsiaTheme="majorEastAsia" w:cstheme="majorBidi"/>
          <w:b/>
          <w:bCs/>
          <w:caps/>
          <w:sz w:val="28"/>
          <w:szCs w:val="28"/>
        </w:rPr>
      </w:pPr>
      <w:r>
        <w:br w:type="page"/>
      </w:r>
    </w:p>
    <w:p w:rsidR="004F10A3" w:rsidRDefault="005551F2" w:rsidP="00B116D5">
      <w:pPr>
        <w:pStyle w:val="Heading1"/>
      </w:pPr>
      <w:bookmarkStart w:id="309" w:name="_Toc395604588"/>
      <w:r>
        <w:lastRenderedPageBreak/>
        <w:t>IV.</w:t>
      </w:r>
      <w:r>
        <w:tab/>
      </w:r>
      <w:r w:rsidR="004F10A3" w:rsidRPr="00CA4465">
        <w:t>CIVIL COMMITMENT</w:t>
      </w:r>
      <w:bookmarkEnd w:id="291"/>
      <w:bookmarkEnd w:id="309"/>
    </w:p>
    <w:p w:rsidR="004F10A3" w:rsidRPr="00A17436" w:rsidRDefault="004F10A3" w:rsidP="00604DD4">
      <w:pPr>
        <w:pStyle w:val="Heading2"/>
      </w:pPr>
      <w:bookmarkStart w:id="310" w:name="_Toc48979609"/>
      <w:bookmarkStart w:id="311" w:name="_Toc395604589"/>
      <w:r w:rsidRPr="00CA4465">
        <w:t>A.</w:t>
      </w:r>
      <w:r w:rsidRPr="00CA4465">
        <w:tab/>
        <w:t xml:space="preserve">REVIEW OF </w:t>
      </w:r>
      <w:r w:rsidR="00EA1AA1" w:rsidRPr="00CA4465">
        <w:t>DISTRICT</w:t>
      </w:r>
      <w:r w:rsidRPr="00CA4465">
        <w:t xml:space="preserve"> COURT’S FINDINGS OF FACT</w:t>
      </w:r>
      <w:bookmarkEnd w:id="310"/>
      <w:bookmarkEnd w:id="311"/>
      <w:r w:rsidRPr="00CA4465">
        <w:t xml:space="preserve"> </w:t>
      </w:r>
    </w:p>
    <w:p w:rsidR="00E84C89" w:rsidRDefault="004F10A3" w:rsidP="00337FFA">
      <w:pPr>
        <w:pStyle w:val="Heading3"/>
      </w:pPr>
      <w:bookmarkStart w:id="312" w:name="_Toc395604590"/>
      <w:bookmarkStart w:id="313" w:name="_Toc48979610"/>
      <w:r w:rsidRPr="00CA4465">
        <w:t>1.</w:t>
      </w:r>
      <w:r w:rsidRPr="00CA4465">
        <w:tab/>
        <w:t>Commitment</w:t>
      </w:r>
      <w:r w:rsidR="00A4692A">
        <w:t>s</w:t>
      </w:r>
      <w:bookmarkEnd w:id="312"/>
    </w:p>
    <w:p w:rsidR="004F10A3" w:rsidRPr="00E84C89" w:rsidRDefault="00C52D92" w:rsidP="00337FFA">
      <w:pPr>
        <w:pStyle w:val="Heading3"/>
      </w:pPr>
      <w:bookmarkStart w:id="314" w:name="_Toc395604591"/>
      <w:r>
        <w:t xml:space="preserve">Note: </w:t>
      </w:r>
      <w:r w:rsidR="0002012A">
        <w:t>T</w:t>
      </w:r>
      <w:r>
        <w:t>he s</w:t>
      </w:r>
      <w:r w:rsidR="004F10A3" w:rsidRPr="00CA4465">
        <w:t>tandard</w:t>
      </w:r>
      <w:r w:rsidR="00EA1AA1" w:rsidRPr="00CA4465">
        <w:t xml:space="preserve"> of review</w:t>
      </w:r>
      <w:r w:rsidR="004F10A3" w:rsidRPr="00CA4465">
        <w:t xml:space="preserve"> is the same for </w:t>
      </w:r>
      <w:r w:rsidR="00C36F27" w:rsidRPr="00CA4465">
        <w:t>all</w:t>
      </w:r>
      <w:r w:rsidR="004F10A3" w:rsidRPr="00CA4465">
        <w:t xml:space="preserve"> type</w:t>
      </w:r>
      <w:r w:rsidR="00C36F27" w:rsidRPr="00CA4465">
        <w:t>s</w:t>
      </w:r>
      <w:r w:rsidR="004F10A3" w:rsidRPr="00CA4465">
        <w:t xml:space="preserve"> of civil commitment</w:t>
      </w:r>
      <w:r w:rsidR="0002012A">
        <w:t>.</w:t>
      </w:r>
      <w:bookmarkEnd w:id="314"/>
    </w:p>
    <w:p w:rsidR="00A77DE5" w:rsidRPr="00E6207D" w:rsidRDefault="004F10A3" w:rsidP="00A77DE5">
      <w:pPr>
        <w:pStyle w:val="Heading4"/>
        <w:rPr>
          <w:b w:val="0"/>
          <w:i w:val="0"/>
        </w:rPr>
      </w:pPr>
      <w:bookmarkStart w:id="315" w:name="_Toc395604592"/>
      <w:r w:rsidRPr="00CA4465">
        <w:t>a</w:t>
      </w:r>
      <w:r w:rsidR="00A17436">
        <w:t>.</w:t>
      </w:r>
      <w:r w:rsidR="00A17436">
        <w:tab/>
      </w:r>
      <w:bookmarkEnd w:id="313"/>
      <w:r w:rsidR="00A77DE5" w:rsidRPr="00A77DE5">
        <w:t>Mentally ill person</w:t>
      </w:r>
      <w:bookmarkEnd w:id="315"/>
    </w:p>
    <w:p w:rsidR="004F10A3" w:rsidRPr="00CA4465" w:rsidRDefault="004F10A3" w:rsidP="006A4E16">
      <w:pPr>
        <w:ind w:left="1440"/>
      </w:pPr>
      <w:r w:rsidRPr="00CA4465">
        <w:t xml:space="preserve">An appellate court will not reverse a district court’s “findings unless they are clearly erroneous.”  </w:t>
      </w:r>
      <w:r w:rsidRPr="00CA4465">
        <w:rPr>
          <w:i/>
          <w:iCs/>
        </w:rPr>
        <w:t>In re McGaughey</w:t>
      </w:r>
      <w:r w:rsidRPr="00CA4465">
        <w:t>, 536 N.W.2d 621, 623 (Minn.</w:t>
      </w:r>
      <w:r w:rsidR="00EA1AA1" w:rsidRPr="00CA4465">
        <w:t xml:space="preserve"> 1995). </w:t>
      </w:r>
    </w:p>
    <w:p w:rsidR="00EA1AA1" w:rsidRPr="00CA4465" w:rsidRDefault="00EA1AA1" w:rsidP="006A4E16">
      <w:pPr>
        <w:ind w:left="1440"/>
      </w:pPr>
    </w:p>
    <w:p w:rsidR="00797659" w:rsidRPr="00A17436" w:rsidRDefault="00EA1AA1" w:rsidP="00A17436">
      <w:pPr>
        <w:ind w:left="1440"/>
      </w:pPr>
      <w:r w:rsidRPr="00CA4465">
        <w:t xml:space="preserve">“An appellate court will not reverse a district court’s findings of fact unless they are clearly erroneous.”  </w:t>
      </w:r>
      <w:r w:rsidRPr="00CA4465">
        <w:rPr>
          <w:i/>
        </w:rPr>
        <w:t>In re Commitment of Janckila</w:t>
      </w:r>
      <w:r w:rsidRPr="00CA4465">
        <w:t>, 657 N.W.2d 899, 902 (Minn. App. 2003).</w:t>
      </w:r>
    </w:p>
    <w:p w:rsidR="004F10A3" w:rsidRPr="00CA4465" w:rsidRDefault="00A17436" w:rsidP="00300AEE">
      <w:pPr>
        <w:pStyle w:val="Heading4"/>
      </w:pPr>
      <w:bookmarkStart w:id="316" w:name="_Toc395604593"/>
      <w:r>
        <w:t>b.</w:t>
      </w:r>
      <w:r>
        <w:tab/>
      </w:r>
      <w:r w:rsidR="00E84C89" w:rsidRPr="00E84C89">
        <w:t>Person who is mentally ill and dangerous to the public</w:t>
      </w:r>
      <w:bookmarkEnd w:id="316"/>
    </w:p>
    <w:p w:rsidR="00EA1AA1" w:rsidRPr="00CA4465" w:rsidRDefault="00EA1AA1" w:rsidP="006A4E16">
      <w:pPr>
        <w:keepNext/>
        <w:ind w:left="1440"/>
      </w:pPr>
      <w:r w:rsidRPr="00CA4465">
        <w:t xml:space="preserve">“Findings of fact, whether based on oral or documentary evidence, shall not be set aside unless clearly erroneous, and due regard shall be given to the opportunity of the </w:t>
      </w:r>
      <w:r w:rsidR="00A14F2D" w:rsidRPr="00CA4465">
        <w:t>[district]</w:t>
      </w:r>
      <w:r w:rsidRPr="00CA4465">
        <w:t xml:space="preserve"> court to judge the credibility of the witness.”  </w:t>
      </w:r>
      <w:r w:rsidRPr="00CA4465">
        <w:rPr>
          <w:i/>
        </w:rPr>
        <w:t>In re Knops</w:t>
      </w:r>
      <w:r w:rsidRPr="00CA4465">
        <w:t>, 536 N.W.2d 616, 620 (Minn. 1995).</w:t>
      </w:r>
    </w:p>
    <w:p w:rsidR="00EA1AA1" w:rsidRPr="00CA4465" w:rsidRDefault="00EA1AA1" w:rsidP="006A4E16">
      <w:pPr>
        <w:ind w:left="1440"/>
      </w:pPr>
    </w:p>
    <w:p w:rsidR="004F10A3" w:rsidRPr="00CA4465" w:rsidRDefault="00EA1AA1" w:rsidP="00C71762">
      <w:pPr>
        <w:ind w:left="1440"/>
      </w:pPr>
      <w:r w:rsidRPr="00CA4465">
        <w:t xml:space="preserve">In upholding a district court decision that a person committed as mentally ill was no longer dangerous, the supreme court stated:  “We believe that the evidence was such that, although the </w:t>
      </w:r>
      <w:r w:rsidR="00A14F2D" w:rsidRPr="00CA4465">
        <w:t>[district]</w:t>
      </w:r>
      <w:r w:rsidRPr="00CA4465">
        <w:t xml:space="preserve"> court arguably was free to continue the commitment, the </w:t>
      </w:r>
      <w:r w:rsidR="00A14F2D" w:rsidRPr="00CA4465">
        <w:t>[district]</w:t>
      </w:r>
      <w:r w:rsidRPr="00CA4465">
        <w:t xml:space="preserve"> court was not compelled to do so.”  </w:t>
      </w:r>
      <w:r w:rsidRPr="00CA4465">
        <w:rPr>
          <w:i/>
        </w:rPr>
        <w:t>In re Colbert</w:t>
      </w:r>
      <w:r w:rsidRPr="00CA4465">
        <w:t>, 454 N.W.2d 614, 615 (Minn. 1990) (reversing</w:t>
      </w:r>
      <w:r w:rsidR="00A33AAD" w:rsidRPr="00CA4465">
        <w:t xml:space="preserve"> decision by</w:t>
      </w:r>
      <w:r w:rsidRPr="00CA4465">
        <w:t xml:space="preserve"> court of appeals that held that the district court was clearly erroneous).</w:t>
      </w:r>
    </w:p>
    <w:p w:rsidR="004F10A3" w:rsidRPr="00CA4465" w:rsidRDefault="00A17436" w:rsidP="00A77DE5">
      <w:pPr>
        <w:pStyle w:val="Heading4"/>
      </w:pPr>
      <w:bookmarkStart w:id="317" w:name="_Toc48979612"/>
      <w:bookmarkStart w:id="318" w:name="_Toc395604594"/>
      <w:r>
        <w:t>c.</w:t>
      </w:r>
      <w:r>
        <w:tab/>
      </w:r>
      <w:bookmarkEnd w:id="317"/>
      <w:r w:rsidR="00A77DE5">
        <w:t>De</w:t>
      </w:r>
      <w:r w:rsidR="005E065C">
        <w:t xml:space="preserve">velopmentally disabled person </w:t>
      </w:r>
      <w:r w:rsidR="00A77DE5">
        <w:t>(previously referred to as mentally retarded person)</w:t>
      </w:r>
      <w:bookmarkEnd w:id="318"/>
    </w:p>
    <w:p w:rsidR="004F10A3" w:rsidRPr="00CA4465" w:rsidRDefault="004F10A3" w:rsidP="00A17436">
      <w:pPr>
        <w:keepNext/>
        <w:ind w:left="1440"/>
      </w:pPr>
      <w:r w:rsidRPr="00CA4465">
        <w:t xml:space="preserve">“The </w:t>
      </w:r>
      <w:r w:rsidR="00A14F2D" w:rsidRPr="00CA4465">
        <w:t>[district]</w:t>
      </w:r>
      <w:r w:rsidRPr="00CA4465">
        <w:t xml:space="preserve"> court’s findings in support of its order for commitment will not be disturbed unless clearly erroneous.”  </w:t>
      </w:r>
      <w:r w:rsidRPr="00CA4465">
        <w:rPr>
          <w:i/>
          <w:iCs/>
        </w:rPr>
        <w:t>In re Chey</w:t>
      </w:r>
      <w:r w:rsidRPr="00CA4465">
        <w:t>, 374 N.W.2d 778, 780 (Minn. App. 1985).</w:t>
      </w:r>
    </w:p>
    <w:p w:rsidR="004F10A3" w:rsidRPr="00CA4465" w:rsidRDefault="001E07B3" w:rsidP="00300AEE">
      <w:pPr>
        <w:pStyle w:val="Heading4"/>
      </w:pPr>
      <w:bookmarkStart w:id="319" w:name="_Toc48979613"/>
      <w:bookmarkStart w:id="320" w:name="_Toc395604595"/>
      <w:r>
        <w:t>d</w:t>
      </w:r>
      <w:r w:rsidR="00A17436">
        <w:t>.</w:t>
      </w:r>
      <w:r w:rsidR="00A17436">
        <w:tab/>
      </w:r>
      <w:bookmarkEnd w:id="319"/>
      <w:r w:rsidR="00A77DE5" w:rsidRPr="00A77DE5">
        <w:t>Chemically dependent person</w:t>
      </w:r>
      <w:bookmarkEnd w:id="320"/>
      <w:r w:rsidR="00A77DE5" w:rsidRPr="00A77DE5">
        <w:t xml:space="preserve"> </w:t>
      </w:r>
    </w:p>
    <w:p w:rsidR="00E66E0F" w:rsidRDefault="00E66E0F" w:rsidP="006A4E16">
      <w:pPr>
        <w:ind w:left="1440"/>
      </w:pPr>
      <w:r>
        <w:t xml:space="preserve">“The </w:t>
      </w:r>
      <w:r w:rsidR="001A3DDB">
        <w:t>[district]</w:t>
      </w:r>
      <w:r>
        <w:t xml:space="preserve"> court’s findings as to this determination will not be set aside unless clearly erroneous.”  </w:t>
      </w:r>
      <w:r>
        <w:rPr>
          <w:i/>
        </w:rPr>
        <w:t>In re May</w:t>
      </w:r>
      <w:r>
        <w:t>, 477 N.W.2d 913, 915 (Minn. App. 1991).</w:t>
      </w:r>
    </w:p>
    <w:p w:rsidR="00E66E0F" w:rsidRPr="00E66E0F" w:rsidRDefault="00E66E0F" w:rsidP="006A4E16">
      <w:pPr>
        <w:ind w:left="1440"/>
      </w:pPr>
    </w:p>
    <w:p w:rsidR="004F10A3" w:rsidRPr="00CA4465" w:rsidRDefault="00763902" w:rsidP="00A17436">
      <w:pPr>
        <w:ind w:left="1440"/>
      </w:pPr>
      <w:r w:rsidRPr="00CA4465">
        <w:t xml:space="preserve">“The </w:t>
      </w:r>
      <w:r w:rsidR="00A14F2D" w:rsidRPr="00CA4465">
        <w:t>[district]</w:t>
      </w:r>
      <w:r w:rsidRPr="00CA4465">
        <w:t xml:space="preserve"> court’s findings as to this determination will not be set aside unless clearly erroneous.”</w:t>
      </w:r>
      <w:r w:rsidR="004F10A3" w:rsidRPr="00CA4465">
        <w:t xml:space="preserve"> </w:t>
      </w:r>
      <w:r w:rsidRPr="00CA4465">
        <w:t xml:space="preserve"> </w:t>
      </w:r>
      <w:r w:rsidR="004F10A3" w:rsidRPr="00CA4465">
        <w:rPr>
          <w:i/>
          <w:iCs/>
        </w:rPr>
        <w:t>In re Heurung</w:t>
      </w:r>
      <w:r w:rsidR="004F10A3" w:rsidRPr="00CA4465">
        <w:t>, 446 N.W.2d 694, 696 (Minn. App. 1989).</w:t>
      </w:r>
    </w:p>
    <w:p w:rsidR="004F10A3" w:rsidRPr="00920369" w:rsidRDefault="00912261" w:rsidP="00A77DE5">
      <w:pPr>
        <w:pStyle w:val="Heading4"/>
      </w:pPr>
      <w:bookmarkStart w:id="321" w:name="_Toc395604596"/>
      <w:r>
        <w:lastRenderedPageBreak/>
        <w:t>e</w:t>
      </w:r>
      <w:r w:rsidR="009A2041">
        <w:t>.</w:t>
      </w:r>
      <w:r w:rsidR="00A77DE5">
        <w:tab/>
        <w:t>Sexually dangerous person</w:t>
      </w:r>
      <w:bookmarkEnd w:id="321"/>
      <w:r w:rsidR="00A77DE5">
        <w:t xml:space="preserve">  </w:t>
      </w:r>
    </w:p>
    <w:p w:rsidR="00104B04" w:rsidRPr="00104B04" w:rsidRDefault="0091471C" w:rsidP="00104B04">
      <w:pPr>
        <w:ind w:left="1440"/>
      </w:pPr>
      <w:r w:rsidRPr="00CA4465">
        <w:t xml:space="preserve">“We review the </w:t>
      </w:r>
      <w:r w:rsidRPr="00104B04">
        <w:t xml:space="preserve">district court’s decision that </w:t>
      </w:r>
      <w:r w:rsidR="00824B03" w:rsidRPr="00104B04">
        <w:t>[</w:t>
      </w:r>
      <w:r w:rsidRPr="00104B04">
        <w:t xml:space="preserve">a person committed as an SDP] waived his rights for clear error.”  </w:t>
      </w:r>
      <w:r w:rsidR="00104B04" w:rsidRPr="00104B04">
        <w:rPr>
          <w:i/>
        </w:rPr>
        <w:t>In re Civil Commitment of Giem</w:t>
      </w:r>
      <w:r w:rsidR="00104B04" w:rsidRPr="00104B04">
        <w:t>, 742 N.W.2d 422, 432 (Minn. 2007) (vacating order for commitment because Giem did not waive right to demand immediate hearing without prejudice, and allowing county to renew petition for commitment).</w:t>
      </w:r>
    </w:p>
    <w:p w:rsidR="00104B04" w:rsidRPr="00104B04" w:rsidRDefault="00104B04" w:rsidP="00104B04">
      <w:pPr>
        <w:ind w:left="1440"/>
      </w:pPr>
    </w:p>
    <w:p w:rsidR="00104B04" w:rsidRPr="00104B04" w:rsidRDefault="0091471C" w:rsidP="00104B04">
      <w:pPr>
        <w:ind w:left="1440"/>
      </w:pPr>
      <w:r w:rsidRPr="00CA4465">
        <w:t xml:space="preserve">“Reviewing for clear error, we find sufficient evidence in the record to uphold the court’s findings.”  </w:t>
      </w:r>
      <w:r w:rsidRPr="00CA4465">
        <w:rPr>
          <w:i/>
        </w:rPr>
        <w:t>In re Linehan</w:t>
      </w:r>
      <w:r w:rsidRPr="00CA4465">
        <w:t xml:space="preserve">, 557 N.W.2d 171, 190 (Minn. 1996), </w:t>
      </w:r>
      <w:r w:rsidRPr="00CA4465">
        <w:rPr>
          <w:i/>
        </w:rPr>
        <w:t>vacated on other grounds</w:t>
      </w:r>
      <w:r w:rsidR="00C36F27" w:rsidRPr="00CA4465">
        <w:rPr>
          <w:i/>
        </w:rPr>
        <w:t xml:space="preserve"> and remanded</w:t>
      </w:r>
      <w:r w:rsidRPr="00CA4465">
        <w:t xml:space="preserve">, 522 U.S. 1011, 118 S. Ct. 596 (1997), </w:t>
      </w:r>
      <w:r w:rsidRPr="00CA4465">
        <w:rPr>
          <w:i/>
        </w:rPr>
        <w:t>aff’d on remand</w:t>
      </w:r>
      <w:r w:rsidRPr="00CA4465">
        <w:t xml:space="preserve">, 594 N.W.2d 867 (Minn. </w:t>
      </w:r>
      <w:r w:rsidRPr="00104B04">
        <w:t>1999)</w:t>
      </w:r>
      <w:r w:rsidR="00104B04" w:rsidRPr="00104B04">
        <w:t xml:space="preserve"> (affirming commitment as an SPD).</w:t>
      </w:r>
    </w:p>
    <w:p w:rsidR="00CD40C1" w:rsidRPr="00CA4465" w:rsidRDefault="00CD40C1" w:rsidP="006A4E16">
      <w:pPr>
        <w:ind w:left="1440"/>
      </w:pPr>
    </w:p>
    <w:p w:rsidR="00EF2CA2" w:rsidRDefault="0091471C" w:rsidP="00A17436">
      <w:pPr>
        <w:ind w:left="1440"/>
      </w:pPr>
      <w:r w:rsidRPr="00CA4465">
        <w:t>“</w:t>
      </w:r>
      <w:r w:rsidRPr="00104B04">
        <w:t xml:space="preserve">We review the district court’s factual findings under a clear-error standard.”  </w:t>
      </w:r>
      <w:r w:rsidRPr="00104B04">
        <w:rPr>
          <w:i/>
        </w:rPr>
        <w:t xml:space="preserve">In </w:t>
      </w:r>
      <w:r w:rsidR="00104B04" w:rsidRPr="00104B04">
        <w:rPr>
          <w:i/>
        </w:rPr>
        <w:t>re Civil Commitment of Stone</w:t>
      </w:r>
      <w:r w:rsidR="00104B04" w:rsidRPr="00104B04">
        <w:t xml:space="preserve">, 711 N.W.2d 831, 836 (Minn. App. 2006) (reversing denial of commitment as an SDP), </w:t>
      </w:r>
      <w:r w:rsidR="00104B04" w:rsidRPr="00104B04">
        <w:rPr>
          <w:i/>
        </w:rPr>
        <w:t>review denied</w:t>
      </w:r>
      <w:r w:rsidR="00104B04" w:rsidRPr="00104B04">
        <w:t xml:space="preserve"> (Minn. June 20, 2006).</w:t>
      </w:r>
    </w:p>
    <w:p w:rsidR="005E065C" w:rsidRDefault="005E065C" w:rsidP="00A17436">
      <w:pPr>
        <w:ind w:left="1440"/>
      </w:pPr>
    </w:p>
    <w:p w:rsidR="00A863FF" w:rsidRPr="002456DE" w:rsidRDefault="00A863FF" w:rsidP="00A863FF">
      <w:pPr>
        <w:ind w:left="1440"/>
        <w:rPr>
          <w:b/>
        </w:rPr>
      </w:pPr>
      <w:r>
        <w:t xml:space="preserve">“We review the district court’s factual findings under a clear error standard to determine whether they are supported by the record as a whole.”  </w:t>
      </w:r>
      <w:r>
        <w:rPr>
          <w:i/>
          <w:iCs/>
        </w:rPr>
        <w:t>In re Commitment of Ince</w:t>
      </w:r>
      <w:r>
        <w:t xml:space="preserve">, 847 N.W.2d 13, 22 (Minn. 2014) (reaffirming the “highly likely” standard enunciated in </w:t>
      </w:r>
      <w:r>
        <w:rPr>
          <w:i/>
          <w:iCs/>
        </w:rPr>
        <w:t>Linehan III</w:t>
      </w:r>
      <w:r>
        <w:t>, but rejecting a numeric value for determining “highly likely).</w:t>
      </w:r>
    </w:p>
    <w:p w:rsidR="00A863FF" w:rsidRDefault="00A863FF" w:rsidP="00104B04">
      <w:pPr>
        <w:ind w:left="1440"/>
      </w:pPr>
    </w:p>
    <w:p w:rsidR="00104B04" w:rsidRDefault="00104B04" w:rsidP="00104B04">
      <w:pPr>
        <w:ind w:left="1440"/>
      </w:pPr>
      <w:r w:rsidRPr="00104B04">
        <w:t xml:space="preserve">“Regarding the factual issues, we review the district court’s findings of fact for clear error.  We give due deference to the district court as the best judge of the credibility of witnesses.   And where, as here, the findings of fact rest almost entirely on expert testimony, the district court's evaluation of credibility is particularly significant.  But we review legal issues de novo, including whether the record contains clear and convincing evidence to support the district court's conclusion that Crosby meets the standard for civil commitment.”  </w:t>
      </w:r>
      <w:r w:rsidRPr="00104B04">
        <w:rPr>
          <w:i/>
        </w:rPr>
        <w:t>In re Civil Commitment of Crosby</w:t>
      </w:r>
      <w:r w:rsidRPr="00104B04">
        <w:t xml:space="preserve">, 824 N.W.2d 351, 356 (Minn. App. 2013) (quotation and citations omitted) (affirming commitment as SPP and SDP), </w:t>
      </w:r>
      <w:r w:rsidRPr="00104B04">
        <w:rPr>
          <w:i/>
        </w:rPr>
        <w:t xml:space="preserve">review denied </w:t>
      </w:r>
      <w:r w:rsidRPr="00104B04">
        <w:t xml:space="preserve">(Minn. Mar. 27, 2013).  </w:t>
      </w:r>
    </w:p>
    <w:p w:rsidR="00A863FF" w:rsidRDefault="00A863FF" w:rsidP="00104B04">
      <w:pPr>
        <w:ind w:left="1440"/>
      </w:pPr>
    </w:p>
    <w:p w:rsidR="00A863FF" w:rsidRPr="00A863FF" w:rsidRDefault="00A863FF" w:rsidP="00A863FF">
      <w:pPr>
        <w:ind w:left="1440"/>
      </w:pPr>
      <w:r w:rsidRPr="00A863FF">
        <w:t xml:space="preserve">“As the trier of fact, the district court will be in the best position to determine the weight to be attributed to each factor, as well as to evaluate the credibility of witnesses--a critical function in these cases that rely so heavily on the opinions of experts.”  </w:t>
      </w:r>
      <w:r w:rsidRPr="00A863FF">
        <w:rPr>
          <w:i/>
          <w:iCs/>
        </w:rPr>
        <w:t>In re Commitment of Ince</w:t>
      </w:r>
      <w:r w:rsidRPr="00A863FF">
        <w:t xml:space="preserve">, 847 N.W.2d 13, 23-24 (Minn. 2014) (noting agreement that actuarial assessment evidence is relevant to likelihood of future harmful sexual conduct, but cautioning district courts to be wary of factor repetition where </w:t>
      </w:r>
      <w:r w:rsidRPr="00A863FF">
        <w:rPr>
          <w:i/>
          <w:iCs/>
        </w:rPr>
        <w:t xml:space="preserve">Linehan </w:t>
      </w:r>
      <w:r w:rsidRPr="00A863FF">
        <w:t>factors and actuarial assessments may consider same or similar factors).</w:t>
      </w:r>
    </w:p>
    <w:p w:rsidR="00A4692A" w:rsidRDefault="00912261" w:rsidP="00A4692A">
      <w:pPr>
        <w:pStyle w:val="Heading4"/>
      </w:pPr>
      <w:bookmarkStart w:id="322" w:name="_Toc395604597"/>
      <w:r>
        <w:lastRenderedPageBreak/>
        <w:t>f</w:t>
      </w:r>
      <w:r w:rsidR="00A4692A">
        <w:t>.</w:t>
      </w:r>
      <w:r w:rsidR="00A4692A">
        <w:tab/>
        <w:t>Appeal from judicial appeal pane</w:t>
      </w:r>
      <w:r w:rsidR="0002012A">
        <w:t>l</w:t>
      </w:r>
      <w:bookmarkEnd w:id="322"/>
    </w:p>
    <w:p w:rsidR="007308C7" w:rsidRPr="002456DE" w:rsidRDefault="007308C7" w:rsidP="007308C7">
      <w:pPr>
        <w:ind w:left="1440"/>
      </w:pPr>
      <w:r w:rsidRPr="007308C7">
        <w:t xml:space="preserve">“Generally, this court reviews decisions by a judicial appeal panel for clear error, “examin[ing] the record to determine whether the evidence as a whole sustains the appeal panels' findings” and not “weigh[ing] the evidence as if trying the matter de novo.” </w:t>
      </w:r>
      <w:r w:rsidRPr="007308C7">
        <w:rPr>
          <w:i/>
        </w:rPr>
        <w:t>Jarvis v. Levine</w:t>
      </w:r>
      <w:r w:rsidRPr="007308C7">
        <w:t xml:space="preserve">, 364 N.W.2d 473, 474 (Minn. App. 1985) (quotation omitted); </w:t>
      </w:r>
      <w:r w:rsidRPr="007308C7">
        <w:rPr>
          <w:i/>
        </w:rPr>
        <w:t>see also Piotter v. Steffen</w:t>
      </w:r>
      <w:r w:rsidRPr="007308C7">
        <w:t xml:space="preserve">, 490 N.W.2d 915, 919 (Minn. App. 1992), </w:t>
      </w:r>
      <w:r w:rsidRPr="007308C7">
        <w:rPr>
          <w:i/>
        </w:rPr>
        <w:t>review denied</w:t>
      </w:r>
      <w:r w:rsidRPr="007308C7">
        <w:t xml:space="preserve"> (Minn. Nov. 17, 1992).”  </w:t>
      </w:r>
      <w:r w:rsidRPr="007308C7">
        <w:rPr>
          <w:i/>
        </w:rPr>
        <w:t>Larson v. Jesson</w:t>
      </w:r>
      <w:r w:rsidRPr="007308C7">
        <w:t>, 847 N.W.2d 531 (Minn. App. 2014).</w:t>
      </w:r>
      <w:r w:rsidRPr="002456DE">
        <w:t xml:space="preserve">  </w:t>
      </w:r>
    </w:p>
    <w:p w:rsidR="007308C7" w:rsidRPr="002456DE" w:rsidRDefault="007308C7" w:rsidP="007308C7"/>
    <w:p w:rsidR="007308C7" w:rsidRPr="002456DE" w:rsidRDefault="007308C7" w:rsidP="007308C7">
      <w:pPr>
        <w:ind w:left="1440"/>
      </w:pPr>
      <w:r w:rsidRPr="002456DE">
        <w:t xml:space="preserve">“It is well established, however, that a trier of fact is free to accept part and reject part of a witness’s testimony.”  </w:t>
      </w:r>
      <w:r w:rsidRPr="002456DE">
        <w:rPr>
          <w:i/>
        </w:rPr>
        <w:t>Coker v. Jesson</w:t>
      </w:r>
      <w:r w:rsidRPr="002456DE">
        <w:t xml:space="preserve">, 831 N.W.2d 483, 492 (Minn. 2013).  </w:t>
      </w:r>
    </w:p>
    <w:p w:rsidR="007308C7" w:rsidRPr="002456DE" w:rsidRDefault="007308C7" w:rsidP="007308C7">
      <w:r w:rsidRPr="002456DE">
        <w:t xml:space="preserve"> </w:t>
      </w:r>
    </w:p>
    <w:p w:rsidR="007308C7" w:rsidRPr="002456DE" w:rsidRDefault="007308C7" w:rsidP="007308C7">
      <w:pPr>
        <w:ind w:left="1440"/>
      </w:pPr>
      <w:r w:rsidRPr="002456DE">
        <w:t xml:space="preserve">“Findings of fact will not be reversed if the record as a whole sustains those findings.”  </w:t>
      </w:r>
      <w:r w:rsidRPr="002456DE">
        <w:rPr>
          <w:i/>
        </w:rPr>
        <w:t>Rydberg v. Goodno</w:t>
      </w:r>
      <w:r w:rsidRPr="002456DE">
        <w:t>, 689 N.W.2d 310, 313 (Minn. App. 2004) (addressing issue of pass-eligible status in psychopathic-personality commitment).</w:t>
      </w:r>
    </w:p>
    <w:p w:rsidR="007308C7" w:rsidRPr="002456DE" w:rsidRDefault="007308C7" w:rsidP="007308C7"/>
    <w:p w:rsidR="007308C7" w:rsidRPr="002456DE" w:rsidRDefault="007308C7" w:rsidP="007308C7">
      <w:pPr>
        <w:ind w:left="1440"/>
      </w:pPr>
      <w:r w:rsidRPr="002456DE">
        <w:t xml:space="preserve">“The appeal panel’s reliance upon the testimony of [certain witnesses] was clearly erroneous. The vast weight of the evidence, which was provided by personnel at the security hospital who interacted with and treated respondent, was apparently ignored by the appeal panel, and requires denial of the transfer” of respondent, who was committed as mentally ill and dangerous, from the security hospital to an open hospital.  </w:t>
      </w:r>
      <w:r w:rsidRPr="002456DE">
        <w:rPr>
          <w:i/>
        </w:rPr>
        <w:t>Piotter v. Steffen</w:t>
      </w:r>
      <w:r w:rsidRPr="002456DE">
        <w:t xml:space="preserve">, 490 N.W.2d 915, 920 (Minn. App. 1992), </w:t>
      </w:r>
      <w:r w:rsidRPr="002456DE">
        <w:rPr>
          <w:i/>
        </w:rPr>
        <w:t>review denied</w:t>
      </w:r>
      <w:r w:rsidRPr="002456DE">
        <w:t xml:space="preserve"> (Minn. Nov. 17, 1992).</w:t>
      </w:r>
    </w:p>
    <w:p w:rsidR="004F10A3" w:rsidRPr="00CA4465" w:rsidRDefault="004F10A3" w:rsidP="00337FFA">
      <w:pPr>
        <w:pStyle w:val="Heading3"/>
      </w:pPr>
      <w:bookmarkStart w:id="323" w:name="_Toc48979615"/>
      <w:bookmarkStart w:id="324" w:name="_Toc395604598"/>
      <w:r w:rsidRPr="00CA4465">
        <w:t>2.</w:t>
      </w:r>
      <w:r w:rsidRPr="00CA4465">
        <w:tab/>
        <w:t>Findings on Le</w:t>
      </w:r>
      <w:r w:rsidR="00E66E0F">
        <w:t>s</w:t>
      </w:r>
      <w:r w:rsidRPr="00CA4465">
        <w:t>s Restrictive Alternative</w:t>
      </w:r>
      <w:bookmarkEnd w:id="323"/>
      <w:r w:rsidR="00E66E0F">
        <w:t>s</w:t>
      </w:r>
      <w:bookmarkEnd w:id="324"/>
    </w:p>
    <w:p w:rsidR="003E1C2F" w:rsidRPr="00CA4465" w:rsidRDefault="003E1C2F" w:rsidP="00300AEE">
      <w:pPr>
        <w:pStyle w:val="Heading4"/>
      </w:pPr>
      <w:bookmarkStart w:id="325" w:name="_Toc395604599"/>
      <w:r w:rsidRPr="00CA4465">
        <w:t>a.</w:t>
      </w:r>
      <w:r w:rsidRPr="00CA4465">
        <w:tab/>
      </w:r>
      <w:r w:rsidR="00EF2CA2" w:rsidRPr="00EF2CA2">
        <w:t>For a mentally ill, developmentally disabled, or chemically dependent person</w:t>
      </w:r>
      <w:bookmarkEnd w:id="325"/>
    </w:p>
    <w:p w:rsidR="003E1C2F" w:rsidRPr="00CA4465" w:rsidRDefault="003E1C2F" w:rsidP="006A4E16">
      <w:pPr>
        <w:keepNext/>
        <w:ind w:left="1440"/>
      </w:pPr>
      <w:r w:rsidRPr="00CA4465">
        <w:t>“In reviewing whether the least restrictive treatment program that can meet the patient’s needs has been chosen, an appellate court will not reverse</w:t>
      </w:r>
      <w:r w:rsidR="001A3DDB">
        <w:t xml:space="preserve"> a district court’s finding</w:t>
      </w:r>
      <w:r w:rsidRPr="00CA4465">
        <w:t xml:space="preserve"> unless clearly erroneous.”  </w:t>
      </w:r>
      <w:r w:rsidRPr="00CA4465">
        <w:rPr>
          <w:i/>
        </w:rPr>
        <w:t>In re Thulin</w:t>
      </w:r>
      <w:r w:rsidRPr="00CA4465">
        <w:t>, 660 N.W.2d 140, 144 (Minn. App. 2003) (addressing continued commitment as mentally ill).</w:t>
      </w:r>
    </w:p>
    <w:p w:rsidR="003E1C2F" w:rsidRPr="00CA4465" w:rsidRDefault="003E1C2F" w:rsidP="006A4E16">
      <w:pPr>
        <w:ind w:left="1440"/>
      </w:pPr>
    </w:p>
    <w:p w:rsidR="003E1C2F" w:rsidRPr="00CA4465" w:rsidRDefault="003E1C2F" w:rsidP="006A4E16">
      <w:pPr>
        <w:ind w:left="1440"/>
      </w:pPr>
      <w:r w:rsidRPr="00CA4465">
        <w:t xml:space="preserve">“A district court’s decision as to placement will not be reversed unless clearly erroneous.”  </w:t>
      </w:r>
      <w:r w:rsidRPr="00CA4465">
        <w:rPr>
          <w:i/>
        </w:rPr>
        <w:t>In re Kellor</w:t>
      </w:r>
      <w:r w:rsidRPr="00CA4465">
        <w:t xml:space="preserve">, 520 N.W.2d 9, 12 (Minn. App. 1994) (addressing commitment as mentally ill), </w:t>
      </w:r>
      <w:r w:rsidRPr="00CA4465">
        <w:rPr>
          <w:i/>
        </w:rPr>
        <w:t>review denied</w:t>
      </w:r>
      <w:r w:rsidRPr="00CA4465">
        <w:t xml:space="preserve"> (Minn. Sept. 28, 1994).</w:t>
      </w:r>
    </w:p>
    <w:p w:rsidR="003E1C2F" w:rsidRPr="00CA4465" w:rsidRDefault="003E1C2F" w:rsidP="006A4E16">
      <w:pPr>
        <w:ind w:left="1440"/>
      </w:pPr>
    </w:p>
    <w:p w:rsidR="003E1C2F" w:rsidRPr="00CA4465" w:rsidRDefault="00BC7FA6" w:rsidP="006A4E16">
      <w:pPr>
        <w:ind w:left="1440"/>
      </w:pPr>
      <w:r w:rsidRPr="00CA4465">
        <w:t>“</w:t>
      </w:r>
      <w:r w:rsidR="003E1C2F" w:rsidRPr="00CA4465">
        <w:t xml:space="preserve">Unless it is clearly erroneous, we must affirm the </w:t>
      </w:r>
      <w:r w:rsidR="00A14F2D" w:rsidRPr="00CA4465">
        <w:t>[district]</w:t>
      </w:r>
      <w:r w:rsidR="003E1C2F" w:rsidRPr="00CA4465">
        <w:t xml:space="preserve"> court’s finding that there was no suitable less restrictive treatment alternative.”  </w:t>
      </w:r>
      <w:r w:rsidR="003E1C2F" w:rsidRPr="00CA4465">
        <w:rPr>
          <w:i/>
        </w:rPr>
        <w:t>In re King</w:t>
      </w:r>
      <w:r w:rsidR="003E1C2F" w:rsidRPr="00CA4465">
        <w:t>, 476 N.W.2d 190, 193 (Minn. App. 1991) (addressing commitment of</w:t>
      </w:r>
      <w:r w:rsidR="00A13E87" w:rsidRPr="00CA4465">
        <w:t xml:space="preserve"> mentally ill</w:t>
      </w:r>
      <w:r w:rsidRPr="00CA4465">
        <w:t xml:space="preserve"> person </w:t>
      </w:r>
      <w:r w:rsidR="003E1C2F" w:rsidRPr="00CA4465">
        <w:t>to the state security hospital).</w:t>
      </w:r>
    </w:p>
    <w:p w:rsidR="00BC7FA6" w:rsidRPr="00CA4465" w:rsidRDefault="00BC7FA6" w:rsidP="006A4E16">
      <w:pPr>
        <w:ind w:left="1440"/>
      </w:pPr>
    </w:p>
    <w:p w:rsidR="00BC7FA6" w:rsidRPr="00CA4465" w:rsidRDefault="00BC7FA6" w:rsidP="006A4E16">
      <w:pPr>
        <w:ind w:left="1440"/>
      </w:pPr>
      <w:r w:rsidRPr="00CA4465">
        <w:t xml:space="preserve">“We will not reverse [a finding that a particular facility was the least restrictive alternative] unless it is clearly erroneous.”  </w:t>
      </w:r>
      <w:r w:rsidRPr="00CA4465">
        <w:rPr>
          <w:i/>
        </w:rPr>
        <w:t>In re Cieminski</w:t>
      </w:r>
      <w:r w:rsidRPr="00CA4465">
        <w:t xml:space="preserve">, 374 N.W.2d 289, 292 </w:t>
      </w:r>
      <w:r w:rsidRPr="00CA4465">
        <w:lastRenderedPageBreak/>
        <w:t xml:space="preserve">(Minn. App. 1985) (addressing commitment as mentally retarded, now referred to as developmentally disabled), </w:t>
      </w:r>
      <w:r w:rsidRPr="00CA4465">
        <w:rPr>
          <w:i/>
        </w:rPr>
        <w:t>review denied</w:t>
      </w:r>
      <w:r w:rsidRPr="00CA4465">
        <w:t xml:space="preserve"> (Minn. Nov. 18, 1985).</w:t>
      </w:r>
    </w:p>
    <w:p w:rsidR="00737157" w:rsidRPr="00737157" w:rsidRDefault="00E56CFB" w:rsidP="00737157">
      <w:pPr>
        <w:pStyle w:val="Heading4"/>
        <w:rPr>
          <w:rFonts w:eastAsia="Times New Roman" w:cs="Times New Roman"/>
          <w:strike/>
        </w:rPr>
      </w:pPr>
      <w:bookmarkStart w:id="326" w:name="_Toc395604600"/>
      <w:r w:rsidRPr="00CA4465">
        <w:t>b.</w:t>
      </w:r>
      <w:r w:rsidR="001B151A">
        <w:tab/>
      </w:r>
      <w:r w:rsidR="00737157" w:rsidRPr="00737157">
        <w:rPr>
          <w:rFonts w:eastAsia="Times New Roman" w:cs="Times New Roman"/>
        </w:rPr>
        <w:t>For a men</w:t>
      </w:r>
      <w:r w:rsidR="005E065C">
        <w:rPr>
          <w:rFonts w:eastAsia="Times New Roman" w:cs="Times New Roman"/>
        </w:rPr>
        <w:t>tally ill and dangerous person</w:t>
      </w:r>
      <w:bookmarkEnd w:id="326"/>
    </w:p>
    <w:p w:rsidR="00737157" w:rsidRPr="00737157" w:rsidRDefault="00737157" w:rsidP="00737157">
      <w:pPr>
        <w:ind w:left="1440"/>
      </w:pPr>
      <w:r w:rsidRPr="00737157">
        <w:t xml:space="preserve">Previously, the petitions for commitment as an SPP or SDP were generally governed by the procedures for commitment as an MI&amp;D person and even after section 253B.185 was amended to include separate provisions for commitment to less restrictive alternatives, the standards for commitment to less-restrictive treatment programs were the same.  </w:t>
      </w:r>
      <w:r w:rsidRPr="00737157">
        <w:rPr>
          <w:i/>
        </w:rPr>
        <w:t xml:space="preserve">See </w:t>
      </w:r>
      <w:r w:rsidRPr="00737157">
        <w:t>Minn. Stat. §§ 253B.18, .185 (2012).  Under the current codification, the same standards apply as well, except that the district court may commit a mentally ill and dangerous person to “</w:t>
      </w:r>
      <w:r w:rsidRPr="00737157">
        <w:rPr>
          <w:color w:val="333333"/>
          <w:sz w:val="25"/>
          <w:szCs w:val="25"/>
          <w:lang w:val="en"/>
        </w:rPr>
        <w:t>a treatment facility willing to accept the patient under commitment,” while this option is not available to one committed as an SPP or SDP.</w:t>
      </w:r>
      <w:r w:rsidRPr="00737157">
        <w:t xml:space="preserve">  Minn. Stat. §§ 253B.185, subd. 1(a) (2012), .253D.07, subd. 3 (Supp. 2013).  </w:t>
      </w:r>
    </w:p>
    <w:p w:rsidR="00737157" w:rsidRPr="00737157" w:rsidRDefault="00737157" w:rsidP="00737157">
      <w:pPr>
        <w:tabs>
          <w:tab w:val="left" w:pos="720"/>
          <w:tab w:val="left" w:pos="1080"/>
          <w:tab w:val="left" w:pos="1440"/>
          <w:tab w:val="left" w:pos="1980"/>
          <w:tab w:val="left" w:pos="2520"/>
        </w:tabs>
        <w:ind w:left="1440"/>
      </w:pPr>
    </w:p>
    <w:p w:rsidR="00737157" w:rsidRDefault="00737157" w:rsidP="00737157">
      <w:pPr>
        <w:ind w:left="1440"/>
      </w:pPr>
      <w:r w:rsidRPr="00737157">
        <w:t xml:space="preserve">In ruling on a less restrictive alternative, the district court must make findings of fact to support its conclusion that no less restrictive treatment program existed that could meet the needs of the committed person.  </w:t>
      </w:r>
      <w:r w:rsidRPr="00737157">
        <w:rPr>
          <w:i/>
        </w:rPr>
        <w:t>In re Civil Commitment of Ince</w:t>
      </w:r>
      <w:r w:rsidRPr="00737157">
        <w:t xml:space="preserve">, 847 N.W.2d 13, 26 (Minn. 2014) (reversing and remanding for findings in an appeal from commitment as an SDP under earlier version of statute, Minn. Stat. § 253B.185, subd. 1(d) (2012)).  </w:t>
      </w:r>
      <w:r w:rsidRPr="00737157">
        <w:rPr>
          <w:i/>
        </w:rPr>
        <w:t xml:space="preserve">Ince </w:t>
      </w:r>
      <w:r w:rsidRPr="00737157">
        <w:t xml:space="preserve">addresses for the first time factors for the district court to consider in reaching its decision on less restrictive alternatives.  </w:t>
      </w:r>
      <w:r w:rsidRPr="00737157">
        <w:rPr>
          <w:i/>
        </w:rPr>
        <w:t>Id.</w:t>
      </w:r>
      <w:r w:rsidRPr="00737157">
        <w:t xml:space="preserve"> at 25-26.</w:t>
      </w:r>
    </w:p>
    <w:p w:rsidR="009C4BC1" w:rsidRDefault="009C4BC1" w:rsidP="00737157">
      <w:pPr>
        <w:ind w:left="1440"/>
      </w:pPr>
    </w:p>
    <w:p w:rsidR="009C4BC1" w:rsidRDefault="009C4BC1" w:rsidP="009C4BC1">
      <w:pPr>
        <w:ind w:left="1440"/>
      </w:pPr>
      <w:r>
        <w:t xml:space="preserve">Where the district court has not made findings of fact to support a conclusion that “no less restrictive treatment program” existed, the reviewing court will remand for reconsideration.  </w:t>
      </w:r>
      <w:r>
        <w:rPr>
          <w:i/>
          <w:iCs/>
        </w:rPr>
        <w:t>In re Commitment of Ince</w:t>
      </w:r>
      <w:r>
        <w:t xml:space="preserve">, </w:t>
      </w:r>
      <w:r w:rsidR="0002012A">
        <w:t>847 N.W.2d 13, 27 (Minn. 2014).</w:t>
      </w:r>
    </w:p>
    <w:p w:rsidR="00737157" w:rsidRPr="00737157" w:rsidRDefault="00737157" w:rsidP="00737157">
      <w:pPr>
        <w:ind w:left="1440"/>
      </w:pPr>
    </w:p>
    <w:p w:rsidR="00EF2CA2" w:rsidRPr="008D373C" w:rsidRDefault="00EF2CA2" w:rsidP="00EF2CA2">
      <w:pPr>
        <w:tabs>
          <w:tab w:val="left" w:pos="720"/>
          <w:tab w:val="left" w:pos="1080"/>
          <w:tab w:val="left" w:pos="1440"/>
          <w:tab w:val="left" w:pos="1980"/>
          <w:tab w:val="left" w:pos="2520"/>
        </w:tabs>
        <w:ind w:left="1440"/>
      </w:pPr>
      <w:r w:rsidRPr="008D373C">
        <w:t xml:space="preserve">The district court’s decision as to the least restrictive alternative will not be reversed unless clearly erroneous.  </w:t>
      </w:r>
      <w:r w:rsidRPr="008D373C">
        <w:rPr>
          <w:i/>
        </w:rPr>
        <w:t>In re Dirks</w:t>
      </w:r>
      <w:r w:rsidRPr="008D373C">
        <w:t xml:space="preserve">, 530 N.W.2d 207, 211-12 (Minn. App. 1995).  </w:t>
      </w:r>
    </w:p>
    <w:p w:rsidR="00EF2CA2" w:rsidRDefault="00EF2CA2" w:rsidP="00EF2CA2">
      <w:pPr>
        <w:ind w:left="1440"/>
      </w:pPr>
      <w:r w:rsidRPr="00CA4465">
        <w:t xml:space="preserve"> </w:t>
      </w:r>
    </w:p>
    <w:p w:rsidR="003E1C2F" w:rsidRDefault="00BC7FA6" w:rsidP="00EF2CA2">
      <w:pPr>
        <w:ind w:left="1440"/>
      </w:pPr>
      <w:r w:rsidRPr="00CA4465">
        <w:t>“[P]</w:t>
      </w:r>
      <w:r w:rsidR="00FC654F" w:rsidRPr="00CA4465">
        <w:t xml:space="preserve">atients have the </w:t>
      </w:r>
      <w:r w:rsidR="00FC654F" w:rsidRPr="00CA4465">
        <w:rPr>
          <w:i/>
        </w:rPr>
        <w:t>opportunity</w:t>
      </w:r>
      <w:r w:rsidR="00FC654F" w:rsidRPr="00CA4465">
        <w:t xml:space="preserve"> to prove that a less-restrictive treatment program is available, but they do not have the </w:t>
      </w:r>
      <w:r w:rsidR="00FC654F" w:rsidRPr="00CA4465">
        <w:rPr>
          <w:i/>
        </w:rPr>
        <w:t>right</w:t>
      </w:r>
      <w:r w:rsidR="00FC654F" w:rsidRPr="00CA4465">
        <w:t xml:space="preserve"> to be assigned to it.”  </w:t>
      </w:r>
      <w:r w:rsidR="00FC654F" w:rsidRPr="00CA4465">
        <w:rPr>
          <w:i/>
        </w:rPr>
        <w:t>In re Kindschy</w:t>
      </w:r>
      <w:r w:rsidR="00FC654F" w:rsidRPr="00CA4465">
        <w:t>, 634 N.W.2d 723, 731 (Minn. App. 2001) (</w:t>
      </w:r>
      <w:r w:rsidRPr="00CA4465">
        <w:t xml:space="preserve">discussing less restrictive option </w:t>
      </w:r>
      <w:r w:rsidR="001B151A">
        <w:t>in</w:t>
      </w:r>
      <w:r w:rsidRPr="00CA4465">
        <w:t xml:space="preserve"> SPP/SDP commitment)</w:t>
      </w:r>
      <w:r w:rsidR="00FC654F" w:rsidRPr="00CA4465">
        <w:t xml:space="preserve">, </w:t>
      </w:r>
      <w:r w:rsidR="00FC654F" w:rsidRPr="00CA4465">
        <w:rPr>
          <w:i/>
        </w:rPr>
        <w:t>review denied</w:t>
      </w:r>
      <w:r w:rsidR="00FC654F" w:rsidRPr="00CA4465">
        <w:t xml:space="preserve"> (Minn. Dec. 19, 2001)</w:t>
      </w:r>
      <w:r w:rsidR="008523D3" w:rsidRPr="00CA4465">
        <w:t>;</w:t>
      </w:r>
      <w:r w:rsidR="00FC654F" w:rsidRPr="00CA4465">
        <w:t xml:space="preserve"> </w:t>
      </w:r>
      <w:r w:rsidR="008523D3" w:rsidRPr="00CA4465">
        <w:rPr>
          <w:i/>
        </w:rPr>
        <w:t xml:space="preserve">see </w:t>
      </w:r>
      <w:r w:rsidR="00FC654F" w:rsidRPr="00CA4465">
        <w:rPr>
          <w:i/>
        </w:rPr>
        <w:t>In re Robb</w:t>
      </w:r>
      <w:r w:rsidR="00FC654F" w:rsidRPr="00CA4465">
        <w:t xml:space="preserve">, 622 N.W.2d 564, 574 (Minn. App. 2001) (comparing previous version of statute with current version of statute as to least restrictive alternative option for indeterminate commitment), </w:t>
      </w:r>
      <w:r w:rsidR="00FC654F" w:rsidRPr="00CA4465">
        <w:rPr>
          <w:i/>
        </w:rPr>
        <w:t>review denied</w:t>
      </w:r>
      <w:r w:rsidR="00FC654F" w:rsidRPr="00CA4465">
        <w:t xml:space="preserve"> (Minn. Apr. 17, 2001)</w:t>
      </w:r>
      <w:r w:rsidR="008523D3" w:rsidRPr="00CA4465">
        <w:t xml:space="preserve">; </w:t>
      </w:r>
      <w:r w:rsidR="008523D3" w:rsidRPr="00CA4465">
        <w:rPr>
          <w:i/>
        </w:rPr>
        <w:t>cf</w:t>
      </w:r>
      <w:r w:rsidR="008523D3" w:rsidRPr="00CA4465">
        <w:t xml:space="preserve">. </w:t>
      </w:r>
      <w:r w:rsidR="008523D3" w:rsidRPr="00CA4465">
        <w:rPr>
          <w:i/>
        </w:rPr>
        <w:t>In re Senty-Haugen</w:t>
      </w:r>
      <w:r w:rsidR="008523D3" w:rsidRPr="00CA4465">
        <w:t>, 583 N.W.2d 266, 269 (Minn. 1998) (holding</w:t>
      </w:r>
      <w:r w:rsidR="00C36F27" w:rsidRPr="00CA4465">
        <w:t>,</w:t>
      </w:r>
      <w:r w:rsidR="008523D3" w:rsidRPr="00CA4465">
        <w:t xml:space="preserve"> under previous version of statute</w:t>
      </w:r>
      <w:r w:rsidR="00C36F27" w:rsidRPr="00CA4465">
        <w:t>,</w:t>
      </w:r>
      <w:r w:rsidR="008523D3" w:rsidRPr="00CA4465">
        <w:t xml:space="preserve"> there was no requirement that those committed as SPP/SDP be committed to the least restrictive alternative)</w:t>
      </w:r>
      <w:r w:rsidR="00FC654F" w:rsidRPr="00CA4465">
        <w:t>.</w:t>
      </w:r>
    </w:p>
    <w:p w:rsidR="004F10A3" w:rsidRPr="00CA4465" w:rsidRDefault="009D0695" w:rsidP="00337FFA">
      <w:pPr>
        <w:pStyle w:val="Heading3"/>
      </w:pPr>
      <w:bookmarkStart w:id="327" w:name="_Toc395604601"/>
      <w:r>
        <w:lastRenderedPageBreak/>
        <w:t>3.</w:t>
      </w:r>
      <w:r>
        <w:tab/>
      </w:r>
      <w:r w:rsidR="004F10A3" w:rsidRPr="00CA4465">
        <w:t>Findings Based on Expert Testimony</w:t>
      </w:r>
      <w:bookmarkEnd w:id="327"/>
    </w:p>
    <w:p w:rsidR="00737157" w:rsidRPr="00737157" w:rsidRDefault="00737157" w:rsidP="00737157">
      <w:pPr>
        <w:ind w:left="720"/>
      </w:pPr>
      <w:r w:rsidRPr="00737157">
        <w:t xml:space="preserve">“As the trier of fact, the district court will be in the best position to determine the weight to be attributed to each factor, as well as to evaluate the credibility of witnesses-a critical function in these cases that rely so heavily on the opinions of experts.”  </w:t>
      </w:r>
      <w:r w:rsidRPr="00737157">
        <w:rPr>
          <w:i/>
        </w:rPr>
        <w:t>In re Civil Commitment of Ince</w:t>
      </w:r>
      <w:r w:rsidRPr="00737157">
        <w:t xml:space="preserve">, 847 N.W.2d 13, 23-24 (Minn. 2014) (addressing commitment of person as an SDP).  </w:t>
      </w:r>
    </w:p>
    <w:p w:rsidR="00737157" w:rsidRPr="00737157" w:rsidRDefault="00737157" w:rsidP="00737157">
      <w:pPr>
        <w:ind w:left="720"/>
      </w:pPr>
    </w:p>
    <w:p w:rsidR="00737157" w:rsidRDefault="00737157" w:rsidP="00737157">
      <w:pPr>
        <w:ind w:left="720"/>
      </w:pPr>
      <w:r w:rsidRPr="00737157">
        <w:t xml:space="preserve">“We give due deference to the district court as the best judge of the credibility of witnesses.  </w:t>
      </w:r>
      <w:r w:rsidRPr="00737157">
        <w:rPr>
          <w:i/>
        </w:rPr>
        <w:t>In re Knops</w:t>
      </w:r>
      <w:r w:rsidRPr="00737157">
        <w:t xml:space="preserve">, 536 N.W.2d 616, 620 (Minn. 1995). And where, as here, the findings of fact ‘rest almost entirely on expert testimony, the district court's evaluation of credibility is particularly significant.’ </w:t>
      </w:r>
      <w:r w:rsidRPr="00737157">
        <w:rPr>
          <w:i/>
        </w:rPr>
        <w:t>Id.</w:t>
      </w:r>
      <w:r w:rsidRPr="00737157">
        <w:t xml:space="preserve">”  </w:t>
      </w:r>
      <w:r w:rsidRPr="00737157">
        <w:rPr>
          <w:i/>
        </w:rPr>
        <w:t>In re Civil Commitment of Crosby</w:t>
      </w:r>
      <w:r w:rsidRPr="00737157">
        <w:t xml:space="preserve">, 824 N.W.2d 351, 356 (Minn. App. 2013) (reviewing commitment as SPP and SDP).   </w:t>
      </w:r>
    </w:p>
    <w:p w:rsidR="00737157" w:rsidRPr="00737157" w:rsidRDefault="00737157" w:rsidP="00737157">
      <w:pPr>
        <w:ind w:left="720"/>
      </w:pPr>
    </w:p>
    <w:p w:rsidR="004F10A3" w:rsidRDefault="00737157" w:rsidP="00737157">
      <w:pPr>
        <w:ind w:left="720"/>
      </w:pPr>
      <w:r w:rsidRPr="00CA4465">
        <w:t xml:space="preserve"> </w:t>
      </w:r>
      <w:r w:rsidR="004F10A3" w:rsidRPr="00CA4465">
        <w:t xml:space="preserve">“Where the findings of fact rest almost entirely on expert testimony, the </w:t>
      </w:r>
      <w:r w:rsidR="00A14F2D" w:rsidRPr="00CA4465">
        <w:t>[district]</w:t>
      </w:r>
      <w:r w:rsidR="004F10A3" w:rsidRPr="00CA4465">
        <w:t xml:space="preserve"> court’s evaluation of credibility is of particular significance.”  </w:t>
      </w:r>
      <w:r w:rsidR="00C8364D" w:rsidRPr="00CA4465">
        <w:rPr>
          <w:i/>
        </w:rPr>
        <w:t>In re Knops</w:t>
      </w:r>
      <w:r w:rsidR="00C8364D" w:rsidRPr="00CA4465">
        <w:t>, 536 N.W.2d 616, 620 (Minn. 1995).</w:t>
      </w:r>
    </w:p>
    <w:p w:rsidR="009B2250" w:rsidRDefault="009B2250" w:rsidP="009B2250">
      <w:pPr>
        <w:ind w:left="720"/>
      </w:pPr>
    </w:p>
    <w:p w:rsidR="009B2250" w:rsidRPr="00C73B7D" w:rsidRDefault="009B2250" w:rsidP="009B2250">
      <w:pPr>
        <w:ind w:left="720"/>
      </w:pPr>
      <w:r>
        <w:t>“</w:t>
      </w:r>
      <w:r w:rsidRPr="00C73B7D">
        <w:t>Where the findings of fact rest almost entirely on expert opinion testimony, the probate judge</w:t>
      </w:r>
      <w:r w:rsidR="000A2C33">
        <w:t>’</w:t>
      </w:r>
      <w:r w:rsidRPr="00C73B7D">
        <w:t>s evaluation of credibility is of particular significance. Here the probate court</w:t>
      </w:r>
      <w:r w:rsidR="000A2C33">
        <w:t>’</w:t>
      </w:r>
      <w:r w:rsidRPr="00C73B7D">
        <w:t>s findings with respect to the pertinent facts-that Joelson</w:t>
      </w:r>
      <w:r w:rsidR="000A2C33">
        <w:t>’</w:t>
      </w:r>
      <w:r w:rsidRPr="00C73B7D">
        <w:t>s treatment program is adequate-are supported by the record as a whole and are not clearly erroneous.</w:t>
      </w:r>
      <w:r>
        <w:t xml:space="preserve">”  </w:t>
      </w:r>
      <w:r>
        <w:rPr>
          <w:i/>
        </w:rPr>
        <w:t>In re Joelson</w:t>
      </w:r>
      <w:r>
        <w:t xml:space="preserve">, 385 N.W.2d 810, 811 (Minn. 1986). </w:t>
      </w:r>
    </w:p>
    <w:p w:rsidR="009B2250" w:rsidRPr="00CA4465" w:rsidRDefault="009B2250" w:rsidP="009B2250">
      <w:pPr>
        <w:ind w:left="720"/>
      </w:pPr>
    </w:p>
    <w:p w:rsidR="004F10A3" w:rsidRPr="00CA4465" w:rsidRDefault="00C8364D" w:rsidP="009B2250">
      <w:pPr>
        <w:ind w:left="720"/>
      </w:pPr>
      <w:r w:rsidRPr="00CA4465">
        <w:t>“The testimony in this case by the treating professionals, who were very familiar with respondent’s condition, should have been given greater weight</w:t>
      </w:r>
      <w:r w:rsidR="008523D3" w:rsidRPr="00CA4465">
        <w:t>”</w:t>
      </w:r>
      <w:r w:rsidRPr="00CA4465">
        <w:t xml:space="preserve"> than</w:t>
      </w:r>
      <w:r w:rsidR="008523D3" w:rsidRPr="00CA4465">
        <w:t xml:space="preserve"> the testimony by the psychologist, “</w:t>
      </w:r>
      <w:r w:rsidRPr="00CA4465">
        <w:t>who had an inadequate amount of time to make an adequate evaluation of respondent.”</w:t>
      </w:r>
      <w:r w:rsidR="004F10A3" w:rsidRPr="00CA4465">
        <w:t xml:space="preserve"> </w:t>
      </w:r>
      <w:r w:rsidRPr="00CA4465">
        <w:t xml:space="preserve"> </w:t>
      </w:r>
      <w:r w:rsidR="004F10A3" w:rsidRPr="00CA4465">
        <w:rPr>
          <w:i/>
          <w:iCs/>
        </w:rPr>
        <w:t>Piotter v. Steffen</w:t>
      </w:r>
      <w:r w:rsidR="004F10A3" w:rsidRPr="00CA4465">
        <w:t>, 490 N.W.2d 915, 9</w:t>
      </w:r>
      <w:r w:rsidR="008523D3" w:rsidRPr="00CA4465">
        <w:t>20</w:t>
      </w:r>
      <w:r w:rsidR="004F10A3" w:rsidRPr="00CA4465">
        <w:t xml:space="preserve"> (Minn. App. 1992), </w:t>
      </w:r>
      <w:r w:rsidR="004F10A3" w:rsidRPr="00CA4465">
        <w:rPr>
          <w:i/>
          <w:iCs/>
        </w:rPr>
        <w:t xml:space="preserve">review denied </w:t>
      </w:r>
      <w:r w:rsidR="004F10A3" w:rsidRPr="00CA4465">
        <w:t>(Minn. Nov. 17, 1992).</w:t>
      </w:r>
    </w:p>
    <w:p w:rsidR="004F10A3" w:rsidRPr="00CA4465" w:rsidRDefault="004F10A3" w:rsidP="00604DD4">
      <w:pPr>
        <w:pStyle w:val="Heading2"/>
      </w:pPr>
      <w:bookmarkStart w:id="328" w:name="_Toc395604602"/>
      <w:r w:rsidRPr="00CA4465">
        <w:t>B.</w:t>
      </w:r>
      <w:r w:rsidRPr="00CA4465">
        <w:tab/>
        <w:t>REVIEW OF CONCLUSIONS OF LAW</w:t>
      </w:r>
      <w:bookmarkEnd w:id="328"/>
    </w:p>
    <w:p w:rsidR="00737157" w:rsidRDefault="00737157" w:rsidP="00737157">
      <w:pPr>
        <w:pStyle w:val="Heading3"/>
      </w:pPr>
      <w:bookmarkStart w:id="329" w:name="_Toc395604603"/>
      <w:r>
        <w:t>1.</w:t>
      </w:r>
      <w:r>
        <w:tab/>
        <w:t>District Court</w:t>
      </w:r>
      <w:bookmarkEnd w:id="329"/>
    </w:p>
    <w:p w:rsidR="00BE1040" w:rsidRDefault="00BE1040" w:rsidP="00BE1040">
      <w:pPr>
        <w:ind w:left="720"/>
      </w:pPr>
      <w:r w:rsidRPr="00BE1040">
        <w:t xml:space="preserve">Statutory interpretation is a legal question, which is subject to de novo review.  </w:t>
      </w:r>
      <w:r w:rsidRPr="00BE1040">
        <w:rPr>
          <w:i/>
        </w:rPr>
        <w:t>In re Civil Commitment of Ince</w:t>
      </w:r>
      <w:r w:rsidRPr="00BE1040">
        <w:t xml:space="preserve">, 847 N.W.2d 13, 20 (Minn. 2014) (reviewing commitment as an SDP).  </w:t>
      </w:r>
    </w:p>
    <w:p w:rsidR="00BE1040" w:rsidRPr="00BE1040" w:rsidRDefault="00BE1040" w:rsidP="00BE1040">
      <w:pPr>
        <w:ind w:left="720"/>
      </w:pPr>
    </w:p>
    <w:p w:rsidR="00BE1040" w:rsidRPr="00BE1040" w:rsidRDefault="00BE1040" w:rsidP="00BE1040">
      <w:pPr>
        <w:ind w:left="720"/>
        <w:rPr>
          <w:iCs/>
        </w:rPr>
      </w:pPr>
      <w:r w:rsidRPr="00BE1040">
        <w:rPr>
          <w:iCs/>
        </w:rPr>
        <w:t xml:space="preserve">“Interpretation of a statute is a legal question that we review de novo.”  </w:t>
      </w:r>
      <w:r w:rsidRPr="00BE1040">
        <w:rPr>
          <w:i/>
          <w:iCs/>
        </w:rPr>
        <w:t>In re Civil Commitment of Lonergan</w:t>
      </w:r>
      <w:r w:rsidRPr="00BE1040">
        <w:rPr>
          <w:iCs/>
        </w:rPr>
        <w:t xml:space="preserve">, 811 N.W.2d 635, 639 (Minn. 2012) (addressing when indeterminately committed person as an SDP or SPP may bring motion under Minn. R. Civ. P. 60.02).  </w:t>
      </w:r>
    </w:p>
    <w:p w:rsidR="00BE1040" w:rsidRPr="00BE1040" w:rsidRDefault="00BE1040" w:rsidP="00BE1040">
      <w:pPr>
        <w:ind w:left="720"/>
      </w:pPr>
    </w:p>
    <w:p w:rsidR="00BE1040" w:rsidRPr="00BE1040" w:rsidRDefault="00BE1040" w:rsidP="00BE1040">
      <w:pPr>
        <w:ind w:left="720"/>
      </w:pPr>
      <w:r w:rsidRPr="00BE1040">
        <w:t xml:space="preserve">“Justiciability issues receive de novo review.”  </w:t>
      </w:r>
      <w:r w:rsidRPr="00BE1040">
        <w:rPr>
          <w:i/>
        </w:rPr>
        <w:t>In re Commitment of Travis</w:t>
      </w:r>
      <w:r w:rsidRPr="00BE1040">
        <w:t>, 767 N.W.2d 52, 58 (Minn. App. 2009).</w:t>
      </w:r>
    </w:p>
    <w:p w:rsidR="00BE1040" w:rsidRPr="00BE1040" w:rsidRDefault="00BE1040" w:rsidP="00BE1040">
      <w:pPr>
        <w:rPr>
          <w:iCs/>
        </w:rPr>
      </w:pPr>
    </w:p>
    <w:p w:rsidR="00BE1040" w:rsidRPr="00BE1040" w:rsidRDefault="00BE1040" w:rsidP="00BE1040">
      <w:pPr>
        <w:ind w:left="720"/>
      </w:pPr>
      <w:r w:rsidRPr="00BE1040">
        <w:lastRenderedPageBreak/>
        <w:t xml:space="preserve">“Subject matter jurisdiction is a question of law that we review de novo.”  </w:t>
      </w:r>
      <w:r w:rsidRPr="00BE1040">
        <w:rPr>
          <w:i/>
        </w:rPr>
        <w:t>In re Civil Commitment of Giem</w:t>
      </w:r>
      <w:r w:rsidRPr="00BE1040">
        <w:t xml:space="preserve">, 742 N.W.2d 422, 425-26 (Minn. 2007).  </w:t>
      </w:r>
    </w:p>
    <w:p w:rsidR="00BE1040" w:rsidRPr="00BE1040" w:rsidRDefault="00BE1040" w:rsidP="00BE1040"/>
    <w:p w:rsidR="00BE1040" w:rsidRPr="00BE1040" w:rsidRDefault="00BE1040" w:rsidP="00BE1040">
      <w:pPr>
        <w:ind w:left="720"/>
      </w:pPr>
      <w:r w:rsidRPr="00BE1040">
        <w:t xml:space="preserve">“We review de novo whether there is clear and convincing evidence in the record to support the district court’s conclusion that appellant meets the standards for commitment.” </w:t>
      </w:r>
      <w:r w:rsidRPr="00BE1040">
        <w:rPr>
          <w:i/>
          <w:iCs/>
        </w:rPr>
        <w:t>In re Thulin</w:t>
      </w:r>
      <w:r w:rsidRPr="00BE1040">
        <w:t xml:space="preserve">, 660 N.W.2d 140, 144 (Minn. App. 2003) (addressing continued commitment as mentally ill).  This case is often cited in SPP/SDP decisions. </w:t>
      </w:r>
    </w:p>
    <w:p w:rsidR="00BE1040" w:rsidRPr="00BE1040" w:rsidRDefault="00BE1040" w:rsidP="00BE1040"/>
    <w:p w:rsidR="00BE1040" w:rsidRPr="00BE1040" w:rsidRDefault="00BE1040" w:rsidP="00BE1040">
      <w:pPr>
        <w:ind w:left="720"/>
      </w:pPr>
      <w:r w:rsidRPr="00BE1040">
        <w:t xml:space="preserve">“In reviewing a commitment, we are limited to an examination of whether the district court complied with the requirements of the commitment act.”  </w:t>
      </w:r>
      <w:r w:rsidRPr="00BE1040">
        <w:rPr>
          <w:i/>
        </w:rPr>
        <w:t xml:space="preserve">See </w:t>
      </w:r>
      <w:r w:rsidRPr="00BE1040">
        <w:rPr>
          <w:i/>
          <w:iCs/>
        </w:rPr>
        <w:t>In re Commitment of Janckila</w:t>
      </w:r>
      <w:r w:rsidRPr="00BE1040">
        <w:t xml:space="preserve">, 657 N.W.2d 899, 902 (Minn. App. 2003) (reviewing district court’s mentally ill determination under Minn. Stat. § 253B.02, subd. 13(a)).  “We review de novo the question of whether the evidence is sufficient to meet the standard of commitment.”  </w:t>
      </w:r>
      <w:r w:rsidRPr="00BE1040">
        <w:rPr>
          <w:i/>
        </w:rPr>
        <w:t>Id.</w:t>
      </w:r>
    </w:p>
    <w:p w:rsidR="00BE1040" w:rsidRPr="00BE1040" w:rsidRDefault="00BE1040" w:rsidP="00BE1040"/>
    <w:p w:rsidR="00BE1040" w:rsidRPr="00BE1040" w:rsidRDefault="00BE1040" w:rsidP="00BE1040">
      <w:pPr>
        <w:ind w:left="720" w:firstLine="60"/>
      </w:pPr>
      <w:r w:rsidRPr="00BE1040">
        <w:t xml:space="preserve">“We conclude that the [district] court’s findings are insufficient to support the conclusion that [the proposed patient] is a mentally ill person, as defined by the Commitment Act.”  </w:t>
      </w:r>
      <w:r w:rsidRPr="00BE1040">
        <w:rPr>
          <w:i/>
          <w:iCs/>
        </w:rPr>
        <w:t>In re McGaughey</w:t>
      </w:r>
      <w:r w:rsidRPr="00BE1040">
        <w:t>, 536 N.W.2d 621, 624 (Minn. 1995) (review of mentally ill determination under Minn. Stat. § 253B.02, subd. 13).</w:t>
      </w:r>
    </w:p>
    <w:p w:rsidR="00BE1040" w:rsidRPr="00BE1040" w:rsidRDefault="00BE1040" w:rsidP="00BE1040"/>
    <w:p w:rsidR="00BE1040" w:rsidRDefault="00BE1040" w:rsidP="00BE1040">
      <w:pPr>
        <w:ind w:left="720"/>
      </w:pPr>
      <w:r w:rsidRPr="00BE1040">
        <w:t xml:space="preserve">“The question before us is whether the record supports, by clear and convincing evidence, the [district] court’s conclusion that appellant meets the second and third elements [for commitment as a psychopathic personality.]  This is a question of law which we review de novo.”  </w:t>
      </w:r>
      <w:r w:rsidRPr="00BE1040">
        <w:rPr>
          <w:i/>
        </w:rPr>
        <w:t>In re Linehan</w:t>
      </w:r>
      <w:r w:rsidRPr="00BE1040">
        <w:t>, 518 N.W.2d 609, 613 (Minn. 1994).</w:t>
      </w:r>
    </w:p>
    <w:p w:rsidR="00BE1040" w:rsidRDefault="00BE1040" w:rsidP="00BE1040">
      <w:pPr>
        <w:pStyle w:val="Heading3"/>
      </w:pPr>
      <w:bookmarkStart w:id="330" w:name="_Toc395604604"/>
      <w:r>
        <w:t>2.</w:t>
      </w:r>
      <w:r>
        <w:tab/>
        <w:t>Judicial Appeal Panel</w:t>
      </w:r>
      <w:bookmarkEnd w:id="330"/>
    </w:p>
    <w:p w:rsidR="00BE1040" w:rsidRPr="00BE1040" w:rsidRDefault="00BE1040" w:rsidP="00BE1040">
      <w:pPr>
        <w:ind w:left="720"/>
        <w:rPr>
          <w:iCs/>
        </w:rPr>
      </w:pPr>
      <w:r w:rsidRPr="00BE1040">
        <w:rPr>
          <w:iCs/>
        </w:rPr>
        <w:t>“</w:t>
      </w:r>
      <w:r w:rsidR="00F979F0" w:rsidRPr="00F979F0">
        <w:rPr>
          <w:iCs/>
        </w:rPr>
        <w:t xml:space="preserve">Generally, this court reviews decisions by a judicial appeal panel for clear error, ‘examin[ing] the record to determine whether the evidence as a whole sustains the appeal panels’ findings’ and not ‘weigh[ing] the evidence as if trying the matter de novo.”  </w:t>
      </w:r>
      <w:r w:rsidR="00F979F0" w:rsidRPr="00F979F0">
        <w:rPr>
          <w:i/>
          <w:iCs/>
        </w:rPr>
        <w:t>Larson v. Jesson</w:t>
      </w:r>
      <w:r w:rsidR="00F979F0" w:rsidRPr="00F979F0">
        <w:rPr>
          <w:iCs/>
        </w:rPr>
        <w:t xml:space="preserve">, 847 N.W.2d 531, 534 (Minn. App. 2014) (quoting </w:t>
      </w:r>
      <w:r w:rsidR="00F979F0" w:rsidRPr="00F979F0">
        <w:rPr>
          <w:i/>
          <w:iCs/>
        </w:rPr>
        <w:t>Jarvis v. Levine</w:t>
      </w:r>
      <w:r w:rsidR="00F979F0" w:rsidRPr="00F979F0">
        <w:rPr>
          <w:iCs/>
        </w:rPr>
        <w:t>, 364 N.W.2d 473, 474 (Minn. App. 1985)</w:t>
      </w:r>
      <w:r w:rsidR="00F979F0">
        <w:rPr>
          <w:iCs/>
        </w:rPr>
        <w:t>)</w:t>
      </w:r>
      <w:r w:rsidR="00F979F0" w:rsidRPr="00F979F0">
        <w:rPr>
          <w:iCs/>
        </w:rPr>
        <w:t xml:space="preserve">.  </w:t>
      </w:r>
      <w:r w:rsidRPr="00BE1040">
        <w:rPr>
          <w:iCs/>
        </w:rPr>
        <w:t xml:space="preserve">But we hold that when a judicial appeal panel dismisses a petition under Minn. R. Civ. P. 41.02(b), the appropriate standard of appellate review is de novo. </w:t>
      </w:r>
      <w:r w:rsidRPr="00BE1040">
        <w:rPr>
          <w:i/>
          <w:iCs/>
        </w:rPr>
        <w:t>See Coker v. Jesson</w:t>
      </w:r>
      <w:r w:rsidRPr="00BE1040">
        <w:rPr>
          <w:iCs/>
        </w:rPr>
        <w:t xml:space="preserve">, 831 N.W.2d 483, 489 (Minn. 2013) (noting that “the standards for directing a verdict [under Minn. R. Civ. P. 50.01] apply to motions to dismiss under [Minn. R. Civ. P.] 41.02(b),” and these standards “require the determination of whether, as a matter of law, the evidence is sufficient to present a fact question for the jury's consideration” (quotation omitted)); </w:t>
      </w:r>
      <w:r w:rsidRPr="00BE1040">
        <w:rPr>
          <w:i/>
          <w:iCs/>
        </w:rPr>
        <w:t>see also Coker v. Ludeman</w:t>
      </w:r>
      <w:r w:rsidRPr="00BE1040">
        <w:rPr>
          <w:iCs/>
        </w:rPr>
        <w:t xml:space="preserve">, 775 N.W.2d 660, 663 (Minn. App. 2009) (noting that determining whether judicial appeal panel applied the proper evidentiary burden was a legal issue that this court reviews de novo), </w:t>
      </w:r>
      <w:r w:rsidRPr="00BE1040">
        <w:rPr>
          <w:i/>
          <w:iCs/>
        </w:rPr>
        <w:t>review dismissed</w:t>
      </w:r>
      <w:r w:rsidRPr="00BE1040">
        <w:rPr>
          <w:iCs/>
        </w:rPr>
        <w:t xml:space="preserve"> (Minn. Feb. 24, 2010).”  </w:t>
      </w:r>
      <w:r w:rsidRPr="00BE1040">
        <w:rPr>
          <w:i/>
          <w:iCs/>
        </w:rPr>
        <w:t>Larson v. Jesson</w:t>
      </w:r>
      <w:r w:rsidRPr="00BE1040">
        <w:rPr>
          <w:iCs/>
        </w:rPr>
        <w:t xml:space="preserve">, 847 N.W.2d 531, 534 (Minn. App. 2014).  </w:t>
      </w:r>
    </w:p>
    <w:p w:rsidR="00BE1040" w:rsidRPr="00BE1040" w:rsidRDefault="00BE1040" w:rsidP="00BE1040">
      <w:pPr>
        <w:rPr>
          <w:iCs/>
        </w:rPr>
      </w:pPr>
    </w:p>
    <w:p w:rsidR="00BE1040" w:rsidRPr="00BE1040" w:rsidRDefault="00BE1040" w:rsidP="00BE1040">
      <w:pPr>
        <w:ind w:left="720"/>
        <w:rPr>
          <w:iCs/>
        </w:rPr>
      </w:pPr>
      <w:r w:rsidRPr="00BE1040">
        <w:rPr>
          <w:iCs/>
        </w:rPr>
        <w:t xml:space="preserve">“Determining whether an amendment is a clarification or a modification of preexisting law is a question of statutory interpretation, that we review de novo.”  </w:t>
      </w:r>
      <w:r w:rsidRPr="00BE1040">
        <w:rPr>
          <w:i/>
          <w:iCs/>
        </w:rPr>
        <w:t>Braylock v. Jesson</w:t>
      </w:r>
      <w:r w:rsidRPr="00BE1040">
        <w:rPr>
          <w:iCs/>
        </w:rPr>
        <w:t>, 819 N.W.2d 585, 588 (Minn. 2012) (citations omitted).</w:t>
      </w:r>
    </w:p>
    <w:p w:rsidR="00BE1040" w:rsidRPr="00BE1040" w:rsidRDefault="00BE1040" w:rsidP="00BE1040">
      <w:pPr>
        <w:rPr>
          <w:iCs/>
        </w:rPr>
      </w:pPr>
    </w:p>
    <w:p w:rsidR="00BE1040" w:rsidRPr="00BE1040" w:rsidRDefault="00BE1040" w:rsidP="00BE1040">
      <w:pPr>
        <w:ind w:left="720"/>
        <w:rPr>
          <w:iCs/>
        </w:rPr>
      </w:pPr>
      <w:r w:rsidRPr="00BE1040">
        <w:rPr>
          <w:iCs/>
        </w:rPr>
        <w:lastRenderedPageBreak/>
        <w:t xml:space="preserve"> “Issues of statutory interpretation are reviewed de novo.”  </w:t>
      </w:r>
      <w:r w:rsidRPr="00BE1040">
        <w:rPr>
          <w:i/>
          <w:iCs/>
        </w:rPr>
        <w:t>Rydberg v. Goodno</w:t>
      </w:r>
      <w:r w:rsidRPr="00BE1040">
        <w:rPr>
          <w:iCs/>
        </w:rPr>
        <w:t>, 689 N.W.2d 310, 313 (Minn. App. 2004) (addressing issue of pass-eligible status in psychopathic-personality commitment).</w:t>
      </w:r>
    </w:p>
    <w:p w:rsidR="00761E3A" w:rsidRDefault="00761E3A" w:rsidP="00761E3A">
      <w:pPr>
        <w:rPr>
          <w:iCs/>
        </w:rPr>
      </w:pPr>
      <w:bookmarkStart w:id="331" w:name="_Toc48979620"/>
    </w:p>
    <w:p w:rsidR="001E07B3" w:rsidRDefault="001E07B3">
      <w:pPr>
        <w:jc w:val="left"/>
        <w:rPr>
          <w:iCs/>
        </w:rPr>
      </w:pPr>
      <w:r>
        <w:rPr>
          <w:iCs/>
        </w:rPr>
        <w:br w:type="page"/>
      </w:r>
    </w:p>
    <w:p w:rsidR="004F10A3" w:rsidRPr="00CA4465" w:rsidRDefault="005551F2" w:rsidP="008429C3">
      <w:pPr>
        <w:pStyle w:val="Heading1"/>
      </w:pPr>
      <w:bookmarkStart w:id="332" w:name="_Toc395604605"/>
      <w:r>
        <w:lastRenderedPageBreak/>
        <w:t>V.</w:t>
      </w:r>
      <w:r>
        <w:tab/>
      </w:r>
      <w:r w:rsidR="004F10A3" w:rsidRPr="00CA4465">
        <w:t>CRIMINAL – GENERAL</w:t>
      </w:r>
      <w:bookmarkEnd w:id="331"/>
      <w:bookmarkEnd w:id="332"/>
    </w:p>
    <w:p w:rsidR="004F10A3" w:rsidRPr="001E07B3" w:rsidRDefault="004F10A3" w:rsidP="00604DD4">
      <w:pPr>
        <w:pStyle w:val="Heading2"/>
      </w:pPr>
      <w:bookmarkStart w:id="333" w:name="_Toc48979621"/>
      <w:bookmarkStart w:id="334" w:name="_Toc395604606"/>
      <w:r w:rsidRPr="00CA4465">
        <w:t>A.</w:t>
      </w:r>
      <w:r w:rsidRPr="00CA4465">
        <w:tab/>
        <w:t>GENERAL STANDARDS OF REVIEW</w:t>
      </w:r>
      <w:bookmarkEnd w:id="333"/>
      <w:bookmarkEnd w:id="334"/>
      <w:r w:rsidRPr="00CA4465">
        <w:t xml:space="preserve"> </w:t>
      </w:r>
      <w:bookmarkStart w:id="335" w:name="_Toc48979622"/>
    </w:p>
    <w:p w:rsidR="004F10A3" w:rsidRPr="00CA4465" w:rsidRDefault="004F10A3" w:rsidP="00337FFA">
      <w:pPr>
        <w:pStyle w:val="Heading3"/>
      </w:pPr>
      <w:bookmarkStart w:id="336" w:name="_Toc395604607"/>
      <w:r w:rsidRPr="00CA4465">
        <w:t>1.</w:t>
      </w:r>
      <w:r w:rsidRPr="00CA4465">
        <w:tab/>
        <w:t>Questions of Law</w:t>
      </w:r>
      <w:bookmarkEnd w:id="335"/>
      <w:bookmarkEnd w:id="336"/>
      <w:r w:rsidRPr="00CA4465">
        <w:t xml:space="preserve"> </w:t>
      </w:r>
    </w:p>
    <w:p w:rsidR="00B33E79" w:rsidRDefault="00B33E79" w:rsidP="00B33E79">
      <w:pPr>
        <w:keepNext/>
        <w:keepLines/>
        <w:ind w:left="720"/>
      </w:pPr>
      <w:bookmarkStart w:id="337" w:name="_Toc48979623"/>
      <w:r w:rsidRPr="00B33E79">
        <w:t xml:space="preserve">The constitutionality of a statute presents a question of law that this court reviews de novo.  </w:t>
      </w:r>
      <w:r w:rsidRPr="00B33E79">
        <w:rPr>
          <w:i/>
        </w:rPr>
        <w:t>State v. Wolf</w:t>
      </w:r>
      <w:r w:rsidRPr="00B33E79">
        <w:t>, 605 N.W.2d 381, 386 (Minn. 2000) (Minnesota constitutional challenge).</w:t>
      </w:r>
    </w:p>
    <w:p w:rsidR="00AB1B88" w:rsidRDefault="00AB1B88" w:rsidP="00B33E79">
      <w:pPr>
        <w:keepNext/>
        <w:keepLines/>
        <w:ind w:left="720"/>
      </w:pPr>
    </w:p>
    <w:p w:rsidR="00AB1B88" w:rsidRPr="00B33E79" w:rsidRDefault="00AB1B88" w:rsidP="00AB1B88">
      <w:pPr>
        <w:keepNext/>
        <w:keepLines/>
        <w:ind w:left="720"/>
      </w:pPr>
      <w:r w:rsidRPr="00AB1B88">
        <w:t xml:space="preserve">“The constitutionality of a statute is a question of law that [appellate courts] review de novo.”  </w:t>
      </w:r>
      <w:r w:rsidRPr="00AB1B88">
        <w:rPr>
          <w:i/>
        </w:rPr>
        <w:t>State v. Ness</w:t>
      </w:r>
      <w:r w:rsidRPr="00AB1B88">
        <w:t>, 834 N.W.2d 177, 181-82 (Minn. 2013) (quotation omitted).</w:t>
      </w:r>
      <w:r w:rsidRPr="00B33E79">
        <w:t xml:space="preserve">  </w:t>
      </w:r>
    </w:p>
    <w:p w:rsidR="00B33E79" w:rsidRPr="00B33E79" w:rsidRDefault="00B33E79" w:rsidP="00B33E79">
      <w:pPr>
        <w:keepNext/>
        <w:keepLines/>
        <w:ind w:left="720"/>
      </w:pPr>
    </w:p>
    <w:p w:rsidR="00B33E79" w:rsidRPr="00B33E79" w:rsidRDefault="00B33E79" w:rsidP="00B33E79">
      <w:pPr>
        <w:ind w:left="720"/>
      </w:pPr>
      <w:r w:rsidRPr="00B33E79">
        <w:t xml:space="preserve">“The constitutionality of an ordinance is a question of law, which this court reviews de novo.”  </w:t>
      </w:r>
      <w:r w:rsidRPr="00B33E79">
        <w:rPr>
          <w:i/>
        </w:rPr>
        <w:t>State v. Botsford</w:t>
      </w:r>
      <w:r w:rsidRPr="00B33E79">
        <w:t xml:space="preserve">, 630 N.W.2d 11, 15 (Minn. App. 2001), </w:t>
      </w:r>
      <w:r w:rsidRPr="00B33E79">
        <w:rPr>
          <w:i/>
        </w:rPr>
        <w:t>review denied</w:t>
      </w:r>
      <w:r w:rsidRPr="00B33E79">
        <w:t xml:space="preserve"> (Minn. Sept. 11, 2001). </w:t>
      </w:r>
    </w:p>
    <w:p w:rsidR="00B33E79" w:rsidRPr="00B33E79" w:rsidRDefault="00B33E79" w:rsidP="00B33E79">
      <w:pPr>
        <w:ind w:left="360"/>
      </w:pPr>
    </w:p>
    <w:p w:rsidR="00B33E79" w:rsidRPr="00B33E79" w:rsidRDefault="00B33E79" w:rsidP="00B33E79">
      <w:pPr>
        <w:ind w:left="720"/>
      </w:pPr>
      <w:r w:rsidRPr="00B33E79">
        <w:t xml:space="preserve">Whether a statute has been properly construed is a question of law subject to de novo review.  </w:t>
      </w:r>
      <w:r w:rsidRPr="00B33E79">
        <w:rPr>
          <w:i/>
        </w:rPr>
        <w:t>State v. Murphy</w:t>
      </w:r>
      <w:r w:rsidRPr="00B33E79">
        <w:t>, 545 N.W.2d 909, 914 (Minn. 1996).</w:t>
      </w:r>
    </w:p>
    <w:p w:rsidR="00B33E79" w:rsidRPr="00B33E79" w:rsidRDefault="00B33E79" w:rsidP="00B33E79"/>
    <w:p w:rsidR="00B33E79" w:rsidRDefault="00B33E79" w:rsidP="00B33E79">
      <w:pPr>
        <w:ind w:left="720"/>
      </w:pPr>
      <w:r w:rsidRPr="00B33E79">
        <w:t xml:space="preserve">“The interpretation of the rules of criminal procedure is a question of law subject to de novo review.”  </w:t>
      </w:r>
      <w:r w:rsidRPr="00B33E79">
        <w:rPr>
          <w:i/>
        </w:rPr>
        <w:t>Ford v. State</w:t>
      </w:r>
      <w:r w:rsidRPr="00B33E79">
        <w:t>, 690 N.W.2d 706, 712 (Minn. 2005).</w:t>
      </w:r>
    </w:p>
    <w:p w:rsidR="00AB1B88" w:rsidRDefault="00AB1B88" w:rsidP="00B33E79">
      <w:pPr>
        <w:ind w:left="720"/>
      </w:pPr>
    </w:p>
    <w:p w:rsidR="00AB1B88" w:rsidRPr="00170455" w:rsidRDefault="00AB1B88" w:rsidP="00AB1B88">
      <w:pPr>
        <w:ind w:left="720"/>
      </w:pPr>
      <w:r w:rsidRPr="00AB1B88">
        <w:t xml:space="preserve">“We review the interpretation of criminal procedural rules de novo. Except where otherwise provided, the procedure in petty misdemeanor cases must be the same as for misdemeanors punishable by incarceration.” </w:t>
      </w:r>
      <w:r w:rsidRPr="00AB1B88">
        <w:rPr>
          <w:i/>
        </w:rPr>
        <w:t>State v. Wood</w:t>
      </w:r>
      <w:r w:rsidRPr="00AB1B88">
        <w:t xml:space="preserve">, 845 N.W.2d 239, 242 (Minn. App. 2014) (citation and quotation omitted), </w:t>
      </w:r>
      <w:r w:rsidRPr="00AB1B88">
        <w:rPr>
          <w:i/>
        </w:rPr>
        <w:t xml:space="preserve">review denied </w:t>
      </w:r>
      <w:r w:rsidRPr="00AB1B88">
        <w:t>(Minn. June 17, 2014).</w:t>
      </w:r>
    </w:p>
    <w:p w:rsidR="004F10A3" w:rsidRPr="001400A6" w:rsidRDefault="004F10A3" w:rsidP="00337FFA">
      <w:pPr>
        <w:pStyle w:val="Heading3"/>
      </w:pPr>
      <w:bookmarkStart w:id="338" w:name="_Toc395604608"/>
      <w:r w:rsidRPr="00CA4465">
        <w:t>2.</w:t>
      </w:r>
      <w:r w:rsidRPr="00CA4465">
        <w:tab/>
        <w:t>Questions of Fact</w:t>
      </w:r>
      <w:bookmarkEnd w:id="337"/>
      <w:bookmarkEnd w:id="338"/>
      <w:r w:rsidRPr="00CA4465">
        <w:t xml:space="preserve"> </w:t>
      </w:r>
    </w:p>
    <w:p w:rsidR="00B33E79" w:rsidRPr="00B33E79" w:rsidRDefault="00B33E79" w:rsidP="00B33E79">
      <w:pPr>
        <w:ind w:left="720"/>
      </w:pPr>
      <w:bookmarkStart w:id="339" w:name="_Toc48979624"/>
      <w:r w:rsidRPr="00B33E79">
        <w:t xml:space="preserve">“The [district] court’s factual findings are subject to a clearly erroneous standard of review[.]”  </w:t>
      </w:r>
      <w:r w:rsidRPr="00B33E79">
        <w:rPr>
          <w:i/>
        </w:rPr>
        <w:t>State v. Critt</w:t>
      </w:r>
      <w:r w:rsidRPr="00B33E79">
        <w:t xml:space="preserve">, 554 N.W.2d 93, 95 (Minn. App. 1996) (reviewing the substantiality of violation of </w:t>
      </w:r>
      <w:r w:rsidRPr="00B33E79">
        <w:rPr>
          <w:i/>
        </w:rPr>
        <w:t>Scales</w:t>
      </w:r>
      <w:r w:rsidRPr="00B33E79">
        <w:t xml:space="preserve"> recording requirement), </w:t>
      </w:r>
      <w:r w:rsidRPr="00B33E79">
        <w:rPr>
          <w:i/>
          <w:iCs/>
        </w:rPr>
        <w:t>review denied</w:t>
      </w:r>
      <w:r w:rsidRPr="00B33E79">
        <w:t xml:space="preserve"> (Minn. Nov. 20, 1996).</w:t>
      </w:r>
    </w:p>
    <w:p w:rsidR="00B33E79" w:rsidRPr="00B33E79" w:rsidRDefault="00B33E79" w:rsidP="00B33E79">
      <w:pPr>
        <w:ind w:left="360"/>
      </w:pPr>
    </w:p>
    <w:p w:rsidR="00B33E79" w:rsidRPr="00B33E79" w:rsidRDefault="00B33E79" w:rsidP="00B33E79">
      <w:pPr>
        <w:ind w:left="720"/>
      </w:pPr>
      <w:r w:rsidRPr="00B33E79">
        <w:t xml:space="preserve">District court factual findings adopted verbatim from one of the parties’ proposed findings are reviewed under the clearly erroneous standard.  </w:t>
      </w:r>
      <w:r w:rsidRPr="00B33E79">
        <w:rPr>
          <w:i/>
        </w:rPr>
        <w:t>Dukes v. State</w:t>
      </w:r>
      <w:r w:rsidRPr="00B33E79">
        <w:t>, 621 N.W.2d 246, 258-59 (Minn. 2001) (“We will devote special care not in the test that we apply to a particular finding of fact—individual findings will only be reversed if clearly erroneous—but in the volume of evidence we sift in judging the correctness of such findings.” (quotation omitted)).</w:t>
      </w:r>
    </w:p>
    <w:p w:rsidR="004F10A3" w:rsidRPr="001E07B3" w:rsidRDefault="004F10A3" w:rsidP="00337FFA">
      <w:pPr>
        <w:pStyle w:val="Heading3"/>
      </w:pPr>
      <w:bookmarkStart w:id="340" w:name="_Toc395604609"/>
      <w:r w:rsidRPr="00CA4465">
        <w:lastRenderedPageBreak/>
        <w:t>3.</w:t>
      </w:r>
      <w:r w:rsidRPr="00CA4465">
        <w:tab/>
        <w:t xml:space="preserve">Mixed Questions of </w:t>
      </w:r>
      <w:r w:rsidRPr="00F4252E">
        <w:t>Fact</w:t>
      </w:r>
      <w:r w:rsidRPr="00CA4465">
        <w:t xml:space="preserve"> and Law</w:t>
      </w:r>
      <w:bookmarkEnd w:id="339"/>
      <w:bookmarkEnd w:id="340"/>
      <w:r w:rsidRPr="00CA4465">
        <w:t xml:space="preserve"> </w:t>
      </w:r>
    </w:p>
    <w:p w:rsidR="00B33E79" w:rsidRPr="00B33E79" w:rsidRDefault="00B33E79" w:rsidP="00B33E79">
      <w:pPr>
        <w:keepNext/>
        <w:ind w:left="720"/>
      </w:pPr>
      <w:bookmarkStart w:id="341" w:name="_Toc48979625"/>
      <w:r w:rsidRPr="00B33E79">
        <w:t xml:space="preserve">The district court’s application of statutory criteria to the facts is a question of law subject to de novo review.  </w:t>
      </w:r>
      <w:r w:rsidRPr="00B33E79">
        <w:rPr>
          <w:i/>
        </w:rPr>
        <w:t>State v. Bunde</w:t>
      </w:r>
      <w:r w:rsidRPr="00B33E79">
        <w:t>, 556 N.W.2d 917, 918 (Minn. App. 1996) (reviewing legality of arrest outside officer’s jurisdiction).</w:t>
      </w:r>
    </w:p>
    <w:p w:rsidR="00B33E79" w:rsidRPr="00B33E79" w:rsidRDefault="00B33E79" w:rsidP="00B33E79">
      <w:pPr>
        <w:ind w:left="720"/>
      </w:pPr>
    </w:p>
    <w:p w:rsidR="00B33E79" w:rsidRPr="00B33E79" w:rsidRDefault="00B33E79" w:rsidP="00B33E79">
      <w:pPr>
        <w:ind w:left="720"/>
        <w:rPr>
          <w:i/>
          <w:iCs/>
        </w:rPr>
      </w:pPr>
      <w:r w:rsidRPr="00B33E79">
        <w:t xml:space="preserve">A mixed question of law and fact requires the appellate court “to apply the controlling legal standard to historical facts” as determined by the district court.  </w:t>
      </w:r>
      <w:r w:rsidRPr="00B33E79">
        <w:rPr>
          <w:i/>
        </w:rPr>
        <w:t>State v. Wiernasz</w:t>
      </w:r>
      <w:r w:rsidRPr="00B33E79">
        <w:t xml:space="preserve">, 584 N.W.2d 1, 3 (Minn. 1998) (footnote omitted).  An appellate court reviews the district court’s factual findings under the clearly erroneous standard, but independently reviews the district court’s legal determinations.  </w:t>
      </w:r>
      <w:r w:rsidRPr="00B33E79">
        <w:rPr>
          <w:i/>
          <w:iCs/>
        </w:rPr>
        <w:t>Id.</w:t>
      </w:r>
    </w:p>
    <w:p w:rsidR="00B33E79" w:rsidRPr="00B33E79" w:rsidRDefault="00B33E79" w:rsidP="00B33E79">
      <w:pPr>
        <w:ind w:left="720"/>
        <w:rPr>
          <w:i/>
          <w:iCs/>
        </w:rPr>
      </w:pPr>
    </w:p>
    <w:p w:rsidR="00B33E79" w:rsidRPr="00B33E79" w:rsidRDefault="00B33E79" w:rsidP="00B33E79">
      <w:pPr>
        <w:ind w:left="720"/>
      </w:pPr>
      <w:r w:rsidRPr="00B33E79">
        <w:t xml:space="preserve">A reviewing court accepts the district court’s factual findings concerning the circumstances under which a statement was given to the police unless the findings are clearly erroneous.  </w:t>
      </w:r>
      <w:r w:rsidRPr="00B33E79">
        <w:rPr>
          <w:i/>
        </w:rPr>
        <w:t>State v. Williams</w:t>
      </w:r>
      <w:r w:rsidRPr="00B33E79">
        <w:t xml:space="preserve">, 535 N.W.2d 277, 286 (Minn. 1995).  But the reviewing court makes an independent determination of whether a confession was voluntary, applying constitutional principles to the facts as found by the district court.  </w:t>
      </w:r>
      <w:r w:rsidRPr="00B33E79">
        <w:rPr>
          <w:i/>
        </w:rPr>
        <w:t>Id.</w:t>
      </w:r>
    </w:p>
    <w:p w:rsidR="006D1052" w:rsidRPr="006D1052" w:rsidRDefault="004F10A3" w:rsidP="00337FFA">
      <w:pPr>
        <w:pStyle w:val="Heading3"/>
      </w:pPr>
      <w:bookmarkStart w:id="342" w:name="_Toc395604610"/>
      <w:r w:rsidRPr="00CA4465">
        <w:t>4.</w:t>
      </w:r>
      <w:r w:rsidRPr="00CA4465">
        <w:tab/>
      </w:r>
      <w:bookmarkEnd w:id="341"/>
      <w:r w:rsidR="006D1052" w:rsidRPr="006D1052">
        <w:t>Exception to Waiver</w:t>
      </w:r>
      <w:bookmarkEnd w:id="342"/>
      <w:r w:rsidR="006D1052" w:rsidRPr="006D1052">
        <w:t xml:space="preserve"> </w:t>
      </w:r>
    </w:p>
    <w:p w:rsidR="006D1052" w:rsidRPr="006D1052" w:rsidRDefault="006D1052" w:rsidP="006D1052">
      <w:pPr>
        <w:ind w:left="720"/>
      </w:pPr>
      <w:bookmarkStart w:id="343" w:name="_Toc48979626"/>
      <w:r w:rsidRPr="006D1052">
        <w:t xml:space="preserve">“A respondent can raise alternative arguments on appeal in defense of the underlying decision when there are sufficient facts in the record for the appellate court to consider the alternative theories, there is legal support for the arguments, and the alternative grounds would not expand the relief previously granted.”  </w:t>
      </w:r>
      <w:r w:rsidRPr="006D1052">
        <w:rPr>
          <w:i/>
        </w:rPr>
        <w:t>State v. Grunig</w:t>
      </w:r>
      <w:r w:rsidRPr="006D1052">
        <w:t>, 660 N.W.2d 134, 137 (Minn. 2003).</w:t>
      </w:r>
    </w:p>
    <w:p w:rsidR="004F10A3" w:rsidRPr="00CA4465" w:rsidRDefault="004F10A3" w:rsidP="00604DD4">
      <w:pPr>
        <w:pStyle w:val="Heading2"/>
      </w:pPr>
      <w:bookmarkStart w:id="344" w:name="_Toc395604611"/>
      <w:r w:rsidRPr="00CA4465">
        <w:t>B.</w:t>
      </w:r>
      <w:r w:rsidRPr="00CA4465">
        <w:tab/>
        <w:t>PRETRIAL MATTERS</w:t>
      </w:r>
      <w:bookmarkEnd w:id="343"/>
      <w:bookmarkEnd w:id="344"/>
      <w:r w:rsidRPr="00CA4465">
        <w:t xml:space="preserve"> </w:t>
      </w:r>
      <w:bookmarkStart w:id="345" w:name="_Toc48979627"/>
    </w:p>
    <w:p w:rsidR="004F10A3" w:rsidRPr="00CA4465" w:rsidRDefault="004F10A3" w:rsidP="00337FFA">
      <w:pPr>
        <w:pStyle w:val="Heading3"/>
      </w:pPr>
      <w:bookmarkStart w:id="346" w:name="_Toc395604612"/>
      <w:r w:rsidRPr="00CA4465">
        <w:t>1.</w:t>
      </w:r>
      <w:r w:rsidRPr="00CA4465">
        <w:tab/>
        <w:t>Suppressing Evidence</w:t>
      </w:r>
      <w:bookmarkEnd w:id="345"/>
      <w:bookmarkEnd w:id="346"/>
      <w:r w:rsidRPr="00CA4465">
        <w:t xml:space="preserve"> </w:t>
      </w:r>
    </w:p>
    <w:p w:rsidR="004F10A3" w:rsidRPr="00CA4465" w:rsidRDefault="004F10A3" w:rsidP="00300AEE">
      <w:pPr>
        <w:pStyle w:val="Heading4"/>
      </w:pPr>
      <w:bookmarkStart w:id="347" w:name="_Toc48979628"/>
      <w:bookmarkStart w:id="348" w:name="_Toc395604613"/>
      <w:r w:rsidRPr="00CA4465">
        <w:t>a.</w:t>
      </w:r>
      <w:r w:rsidRPr="00CA4465">
        <w:tab/>
        <w:t>In General</w:t>
      </w:r>
      <w:bookmarkEnd w:id="347"/>
      <w:bookmarkEnd w:id="348"/>
      <w:r w:rsidRPr="00CA4465">
        <w:t xml:space="preserve"> </w:t>
      </w:r>
    </w:p>
    <w:p w:rsidR="006D1052" w:rsidRPr="006D1052" w:rsidRDefault="006D1052" w:rsidP="006D1052">
      <w:pPr>
        <w:ind w:left="1440"/>
      </w:pPr>
      <w:r w:rsidRPr="006D1052">
        <w:t xml:space="preserve">“[W]hen reviewing a pre-trial order suppressing evidence where the facts are not in dispute and the [district] court’s decision is a question of law, the reviewing court may independently review the facts and determine, as a matter of law, whether the evidence need be suppressed.”  </w:t>
      </w:r>
      <w:r w:rsidRPr="006D1052">
        <w:rPr>
          <w:i/>
        </w:rPr>
        <w:t>State v. Othoudt</w:t>
      </w:r>
      <w:r w:rsidRPr="006D1052">
        <w:t>, 482 N.W.2d 218, 221 (Minn. 1992).</w:t>
      </w:r>
    </w:p>
    <w:p w:rsidR="006D1052" w:rsidRPr="006D1052" w:rsidRDefault="006D1052" w:rsidP="006D1052">
      <w:pPr>
        <w:ind w:left="1440"/>
      </w:pPr>
    </w:p>
    <w:p w:rsidR="006D1052" w:rsidRPr="006D1052" w:rsidRDefault="006D1052" w:rsidP="006D1052">
      <w:pPr>
        <w:ind w:left="1440"/>
      </w:pPr>
      <w:r w:rsidRPr="006D1052">
        <w:t>“When reviewing a district court’s pretrial order on a motion to suppress evidence, ‘we review the district court’s factual findings under a clearly erroneous standard and the district court’s legal determinations de novo</w:t>
      </w:r>
      <w:r w:rsidR="00536AFE">
        <w:t>.</w:t>
      </w:r>
      <w:r w:rsidRPr="006D1052">
        <w:t xml:space="preserve">’”  </w:t>
      </w:r>
      <w:r w:rsidRPr="006D1052">
        <w:rPr>
          <w:i/>
        </w:rPr>
        <w:t>State v. Gauster</w:t>
      </w:r>
      <w:r w:rsidRPr="006D1052">
        <w:t xml:space="preserve">, 752 N.W.2d 496, 502 (Minn. 2008) (quoting </w:t>
      </w:r>
      <w:r w:rsidRPr="006D1052">
        <w:rPr>
          <w:i/>
        </w:rPr>
        <w:t>State v. Jordan</w:t>
      </w:r>
      <w:r w:rsidRPr="006D1052">
        <w:t>, 742 N.W.2d 149, 152 (Minn. 2007)).</w:t>
      </w:r>
    </w:p>
    <w:p w:rsidR="004F10A3" w:rsidRPr="00CA4465" w:rsidRDefault="00181694" w:rsidP="00300AEE">
      <w:pPr>
        <w:pStyle w:val="Heading4"/>
      </w:pPr>
      <w:bookmarkStart w:id="349" w:name="_Toc395604614"/>
      <w:r>
        <w:t>b.</w:t>
      </w:r>
      <w:r>
        <w:tab/>
      </w:r>
      <w:r w:rsidR="004F10A3" w:rsidRPr="00CA4465">
        <w:t>Critical Impact</w:t>
      </w:r>
      <w:bookmarkEnd w:id="349"/>
    </w:p>
    <w:p w:rsidR="006D1052" w:rsidRPr="006D1052" w:rsidRDefault="006D1052" w:rsidP="006D1052">
      <w:pPr>
        <w:keepNext/>
        <w:ind w:left="1440"/>
        <w:rPr>
          <w:i/>
          <w:iCs/>
        </w:rPr>
      </w:pPr>
      <w:bookmarkStart w:id="350" w:name="_Toc48979629"/>
      <w:r w:rsidRPr="006D1052">
        <w:t xml:space="preserve">If the state appeals pretrial suppression orders, it “must ‘clearly and unequivocally’ show both that the [district] court’s order will have a ‘critical </w:t>
      </w:r>
      <w:r w:rsidRPr="006D1052">
        <w:lastRenderedPageBreak/>
        <w:t xml:space="preserve">impact’ on the state’s ability to prosecute the defendant successfully and that the order constituted error.”  </w:t>
      </w:r>
      <w:r w:rsidRPr="006D1052">
        <w:rPr>
          <w:i/>
          <w:iCs/>
        </w:rPr>
        <w:t>State v. Scott</w:t>
      </w:r>
      <w:r w:rsidRPr="006D1052">
        <w:t xml:space="preserve">, 584 N.W.2d 412, 416 (Minn. 1998) (quoting </w:t>
      </w:r>
      <w:r w:rsidRPr="006D1052">
        <w:rPr>
          <w:i/>
        </w:rPr>
        <w:t>State v. Zanter</w:t>
      </w:r>
      <w:r w:rsidRPr="006D1052">
        <w:t xml:space="preserve">, 535 N.W.2d 624, 630 (Minn. 1995)).  “[T]he critical impact of the suppression must be first determined before deciding whether the suppression order was made in error.”  </w:t>
      </w:r>
      <w:r w:rsidRPr="006D1052">
        <w:rPr>
          <w:i/>
          <w:iCs/>
        </w:rPr>
        <w:t>Id.</w:t>
      </w:r>
    </w:p>
    <w:p w:rsidR="006D1052" w:rsidRPr="006D1052" w:rsidRDefault="006D1052" w:rsidP="006D1052">
      <w:pPr>
        <w:ind w:left="1440"/>
        <w:rPr>
          <w:strike/>
        </w:rPr>
      </w:pPr>
    </w:p>
    <w:p w:rsidR="006D1052" w:rsidRPr="006D1052" w:rsidRDefault="006D1052" w:rsidP="006D1052">
      <w:pPr>
        <w:ind w:left="1440"/>
      </w:pPr>
      <w:r w:rsidRPr="006D1052">
        <w:t xml:space="preserve">The standard for critical impact is that “the lack of the suppressed evidence significantly reduces the likelihood of a successful prosecution.”  </w:t>
      </w:r>
      <w:r w:rsidRPr="006D1052">
        <w:rPr>
          <w:i/>
        </w:rPr>
        <w:t>State v. Kim</w:t>
      </w:r>
      <w:r w:rsidRPr="006D1052">
        <w:t xml:space="preserve">, 398 N.W.2d 544, 551 (Minn. 1987). </w:t>
      </w:r>
    </w:p>
    <w:p w:rsidR="006D1052" w:rsidRPr="006D1052" w:rsidRDefault="006D1052" w:rsidP="006D1052">
      <w:pPr>
        <w:ind w:left="1440"/>
      </w:pPr>
    </w:p>
    <w:p w:rsidR="006D1052" w:rsidRPr="006D1052" w:rsidRDefault="006D1052" w:rsidP="006D1052">
      <w:pPr>
        <w:ind w:left="1440"/>
      </w:pPr>
      <w:r w:rsidRPr="006D1052">
        <w:t xml:space="preserve">Dismissal of a complaint satisfies the critical-impact requirement.  </w:t>
      </w:r>
      <w:r w:rsidRPr="006D1052">
        <w:rPr>
          <w:i/>
        </w:rPr>
        <w:t>State v. Trei</w:t>
      </w:r>
      <w:r w:rsidRPr="006D1052">
        <w:t xml:space="preserve">, 624 N.W.2d 595, 597 (Minn. App. 2001).  </w:t>
      </w:r>
    </w:p>
    <w:p w:rsidR="006D1052" w:rsidRPr="006D1052" w:rsidRDefault="006D1052" w:rsidP="006D1052">
      <w:pPr>
        <w:ind w:left="1440"/>
      </w:pPr>
    </w:p>
    <w:p w:rsidR="006D1052" w:rsidRPr="006D1052" w:rsidRDefault="006D1052" w:rsidP="006D1052">
      <w:pPr>
        <w:ind w:left="1440"/>
      </w:pPr>
      <w:r w:rsidRPr="006D1052">
        <w:t xml:space="preserve">“When analyzing critical impact, an appellate court should first examine all the admissible evidence available to the state in order to determine what impact the absence of the suppressed evidence will have.  The analysis should not stop there however.  The court should go on to examine the inherent qualities of the suppressed evidence itself, its relevance and probative force, its chronological proximity to the alleged crime, its effect in filling gaps in the evidence viewed as a whole, its quality as a perspective of events different than those otherwise available, its clarity and amount of detail and its origin.  Suppressed evidence particularly unique in nature and quality is more likely to meet the critical impact test.”  </w:t>
      </w:r>
      <w:r w:rsidRPr="006D1052">
        <w:rPr>
          <w:i/>
        </w:rPr>
        <w:t>In re Welfare of L.E.P.</w:t>
      </w:r>
      <w:r w:rsidRPr="006D1052">
        <w:t xml:space="preserve">, 594 N.W.2d 163, 168 (Minn. 1999) (citations omitted). </w:t>
      </w:r>
    </w:p>
    <w:p w:rsidR="006D1052" w:rsidRPr="006D1052" w:rsidRDefault="006D1052" w:rsidP="006D1052">
      <w:pPr>
        <w:ind w:left="1440"/>
      </w:pPr>
    </w:p>
    <w:p w:rsidR="006D1052" w:rsidRPr="006D1052" w:rsidRDefault="006D1052" w:rsidP="006D1052">
      <w:pPr>
        <w:ind w:left="1440"/>
      </w:pPr>
      <w:r w:rsidRPr="006D1052">
        <w:t xml:space="preserve">The critical impact test applies to pretrial appeals from discovery orders.  </w:t>
      </w:r>
      <w:r w:rsidRPr="006D1052">
        <w:rPr>
          <w:i/>
        </w:rPr>
        <w:t>State v. Underdahl</w:t>
      </w:r>
      <w:r w:rsidRPr="006D1052">
        <w:t>, 767 N.W.2d 677, 682-83 (Minn. 2009).</w:t>
      </w:r>
    </w:p>
    <w:p w:rsidR="004F10A3" w:rsidRPr="00CA4465" w:rsidRDefault="004F10A3" w:rsidP="00300AEE">
      <w:pPr>
        <w:pStyle w:val="Heading4"/>
      </w:pPr>
      <w:bookmarkStart w:id="351" w:name="_Toc395604615"/>
      <w:r w:rsidRPr="00CA4465">
        <w:t>c.</w:t>
      </w:r>
      <w:r w:rsidRPr="00CA4465">
        <w:tab/>
        <w:t>Suppression of Confessions and Admissions</w:t>
      </w:r>
      <w:bookmarkEnd w:id="350"/>
      <w:bookmarkEnd w:id="351"/>
      <w:r w:rsidRPr="00CA4465">
        <w:t xml:space="preserve"> </w:t>
      </w:r>
    </w:p>
    <w:p w:rsidR="006D1052" w:rsidRPr="006D1052" w:rsidRDefault="006D1052" w:rsidP="006D1052">
      <w:pPr>
        <w:ind w:left="1440"/>
      </w:pPr>
      <w:bookmarkStart w:id="352" w:name="_Toc48979630"/>
      <w:r w:rsidRPr="006D1052">
        <w:t xml:space="preserve">The district court’s factual determination of whether a defendant has invoked the right to counsel is accepted unless it is clearly erroneous.  </w:t>
      </w:r>
      <w:r w:rsidRPr="006D1052">
        <w:rPr>
          <w:i/>
        </w:rPr>
        <w:t>State v. Miller</w:t>
      </w:r>
      <w:r w:rsidRPr="006D1052">
        <w:t>, 573 N.W.2d 661, 671 (Minn. 1998).</w:t>
      </w:r>
    </w:p>
    <w:p w:rsidR="006D1052" w:rsidRPr="006D1052" w:rsidRDefault="006D1052" w:rsidP="006D1052">
      <w:pPr>
        <w:ind w:left="1440"/>
      </w:pPr>
    </w:p>
    <w:p w:rsidR="006D1052" w:rsidRPr="006D1052" w:rsidRDefault="006D1052" w:rsidP="006D1052">
      <w:pPr>
        <w:ind w:left="1440"/>
      </w:pPr>
      <w:r w:rsidRPr="006D1052">
        <w:t xml:space="preserve">Underlying factual determinations regarding a suspect’s invocation of his right to counsel or his right to silence are reviewed for clear error.  </w:t>
      </w:r>
      <w:r w:rsidRPr="006D1052">
        <w:rPr>
          <w:i/>
        </w:rPr>
        <w:t>State v. Chavarria-Cruz</w:t>
      </w:r>
      <w:r w:rsidRPr="006D1052">
        <w:t xml:space="preserve">, 784 N.W.2d 355, 363 (Minn. 2010).  The application of the reasonable-officer standard to those facts is reviewed de novo.  </w:t>
      </w:r>
      <w:r w:rsidRPr="006D1052">
        <w:rPr>
          <w:i/>
        </w:rPr>
        <w:t>Id.</w:t>
      </w:r>
    </w:p>
    <w:p w:rsidR="006D1052" w:rsidRPr="006D1052" w:rsidRDefault="006D1052" w:rsidP="006D1052">
      <w:pPr>
        <w:ind w:left="1440"/>
      </w:pPr>
    </w:p>
    <w:p w:rsidR="006D1052" w:rsidRPr="006D1052" w:rsidRDefault="006D1052" w:rsidP="006D1052">
      <w:pPr>
        <w:ind w:left="1440"/>
      </w:pPr>
      <w:r w:rsidRPr="006D1052">
        <w:t xml:space="preserve">Application of the rule that police must “stop and clarify” an equivocal request for silence is reviewed de novo, but the clearly erroneous standard applies to the factual findings involved.  </w:t>
      </w:r>
      <w:r w:rsidRPr="006D1052">
        <w:rPr>
          <w:i/>
        </w:rPr>
        <w:t>State v. Ortega</w:t>
      </w:r>
      <w:r w:rsidRPr="006D1052">
        <w:t>, 798 N.W.2d 59, 70 (Minn. 2011).</w:t>
      </w:r>
    </w:p>
    <w:p w:rsidR="006D1052" w:rsidRPr="006D1052" w:rsidRDefault="006D1052" w:rsidP="006D1052">
      <w:pPr>
        <w:ind w:left="1440"/>
      </w:pPr>
    </w:p>
    <w:p w:rsidR="006D1052" w:rsidRPr="006D1052" w:rsidRDefault="006D1052" w:rsidP="006D1052">
      <w:pPr>
        <w:ind w:left="1440"/>
      </w:pPr>
      <w:r w:rsidRPr="006D1052">
        <w:t xml:space="preserve">“In cases in which the claim is made that a confession was involuntary or that the waiver of the </w:t>
      </w:r>
      <w:r w:rsidRPr="006D1052">
        <w:rPr>
          <w:i/>
        </w:rPr>
        <w:t>Miranda</w:t>
      </w:r>
      <w:r w:rsidRPr="006D1052">
        <w:t xml:space="preserve"> rights was involuntary, the [district] court must make a subjective factual inquiry into all the circumstances surrounding the giving of the statement.  On appeal this court will not reverse any findings of fact unless they </w:t>
      </w:r>
      <w:r w:rsidRPr="006D1052">
        <w:lastRenderedPageBreak/>
        <w:t xml:space="preserve">are clearly in error, but this court will make an independent determination of voluntariness on the facts as found.”  </w:t>
      </w:r>
      <w:r w:rsidRPr="006D1052">
        <w:rPr>
          <w:i/>
        </w:rPr>
        <w:t>State v. Hardimon</w:t>
      </w:r>
      <w:r w:rsidRPr="006D1052">
        <w:t>, 310 N.W.2d 564, 567 (Minn. 1981).</w:t>
      </w:r>
    </w:p>
    <w:p w:rsidR="006D1052" w:rsidRPr="006D1052" w:rsidRDefault="006D1052" w:rsidP="006D1052">
      <w:pPr>
        <w:ind w:left="1440"/>
      </w:pPr>
    </w:p>
    <w:p w:rsidR="006D1052" w:rsidRPr="006D1052" w:rsidRDefault="006D1052" w:rsidP="006D1052">
      <w:pPr>
        <w:ind w:left="1440"/>
      </w:pPr>
      <w:r w:rsidRPr="006D1052">
        <w:t xml:space="preserve">In independently determining whether a confession or statement was involuntary or coerced, a reviewing court considers all relevant factors including age, maturity, intelligence, education, experience, ability to comprehend, length and legality of detention, nature of interrogation, physical deprivations, and limits on access to counsel, family and friends.  </w:t>
      </w:r>
      <w:r w:rsidRPr="006D1052">
        <w:rPr>
          <w:i/>
        </w:rPr>
        <w:t>State v. Blom</w:t>
      </w:r>
      <w:r w:rsidRPr="006D1052">
        <w:t xml:space="preserve">, 682 N.W.2d 578, 614 (Minn. 2004); </w:t>
      </w:r>
      <w:r w:rsidRPr="006D1052">
        <w:rPr>
          <w:i/>
        </w:rPr>
        <w:t>State v. Camacho</w:t>
      </w:r>
      <w:r w:rsidRPr="006D1052">
        <w:t>, 561 N.W.2d 160, 168, 169-70 (Minn. 1997).</w:t>
      </w:r>
    </w:p>
    <w:p w:rsidR="006D1052" w:rsidRPr="006D1052" w:rsidRDefault="006D1052" w:rsidP="006D1052"/>
    <w:p w:rsidR="006D1052" w:rsidRPr="006D1052" w:rsidRDefault="006D1052" w:rsidP="006D1052">
      <w:pPr>
        <w:ind w:left="1440"/>
      </w:pPr>
      <w:r w:rsidRPr="006D1052">
        <w:t xml:space="preserve">Where evidence suggests a defendant’s custodial statement may be involuntary and should be suppressed, a district court should make specific factual findings at the omnibus hearing.  </w:t>
      </w:r>
      <w:r w:rsidRPr="006D1052">
        <w:rPr>
          <w:i/>
        </w:rPr>
        <w:t>State v. Buchanan</w:t>
      </w:r>
      <w:r w:rsidRPr="006D1052">
        <w:t xml:space="preserve">, 431 N.W.2d 542, 551 (Minn. 1988).  A reviewing court will not reverse those factual findings unless they are clearly erroneous, but will “make its own independent evaluation of whether the waiver was knowing, intelligent and voluntary, based on the facts as found.”  </w:t>
      </w:r>
      <w:r w:rsidRPr="006D1052">
        <w:rPr>
          <w:i/>
          <w:iCs/>
        </w:rPr>
        <w:t>Id.</w:t>
      </w:r>
      <w:r w:rsidRPr="006D1052">
        <w:t xml:space="preserve"> at 552.</w:t>
      </w:r>
    </w:p>
    <w:p w:rsidR="006D1052" w:rsidRPr="006D1052" w:rsidRDefault="006D1052" w:rsidP="006D1052"/>
    <w:p w:rsidR="006D1052" w:rsidRDefault="006D1052" w:rsidP="006D1052">
      <w:pPr>
        <w:ind w:left="1440"/>
      </w:pPr>
      <w:r w:rsidRPr="006D1052">
        <w:t xml:space="preserve">“In a pre-trial suppression hearing at which the defendant seeks suppression of a confession on the ground that the confession was involuntary, the state has the burden of proving voluntariness by a fair preponderance of the evidence.  It is the [district] court’s role, in such a case, to resolve any evidentiary disputes as to the historical facts.  The appellate court is not bound by the [district] court’s determination of whether or not the confession was voluntary.  Rather, its duty is to independently determine, on the basis of all factual findings that are not clearly erroneous, whether or not the confession was voluntary.”  </w:t>
      </w:r>
      <w:r w:rsidRPr="006D1052">
        <w:rPr>
          <w:i/>
        </w:rPr>
        <w:t>State v. Thaggard</w:t>
      </w:r>
      <w:r w:rsidRPr="006D1052">
        <w:t>, 527 N.W.2d 804, 807 (Minn. 1995) (quotation and citations omitted).</w:t>
      </w:r>
    </w:p>
    <w:p w:rsidR="00AB1B88" w:rsidRDefault="00AB1B88" w:rsidP="006D1052">
      <w:pPr>
        <w:ind w:left="1440"/>
      </w:pPr>
    </w:p>
    <w:p w:rsidR="00AB1B88" w:rsidRDefault="00AB1B88" w:rsidP="00AB1B88">
      <w:pPr>
        <w:ind w:left="1440"/>
      </w:pPr>
      <w:r w:rsidRPr="00AB1B88">
        <w:t xml:space="preserve">“The issue of whether a suspect is in custody and therefore entitled to a </w:t>
      </w:r>
      <w:r w:rsidRPr="00AB1B88">
        <w:rPr>
          <w:i/>
        </w:rPr>
        <w:t>Miranda</w:t>
      </w:r>
      <w:r w:rsidRPr="00AB1B88">
        <w:t xml:space="preserve"> warning presents a mixed question of law and fact qualifying for independent review. [A]n appellate court reviews a [district] court’s findings of historical fact relating to the circumstances of the interrogation pursuant to the clearly erroneous test but an independent review of the [district] court’s determination regard custody and the need for a </w:t>
      </w:r>
      <w:r w:rsidRPr="00AB1B88">
        <w:rPr>
          <w:i/>
        </w:rPr>
        <w:t>Miranda</w:t>
      </w:r>
      <w:r w:rsidRPr="00AB1B88">
        <w:t xml:space="preserve"> warning.  We grant considerable, but not unlimited, deference to a [district] court’s fact-specific resolution of such an issue when the proper legal standard is applied.”  </w:t>
      </w:r>
      <w:r w:rsidRPr="00AB1B88">
        <w:rPr>
          <w:i/>
        </w:rPr>
        <w:t>State v. Sterling</w:t>
      </w:r>
      <w:r w:rsidRPr="00AB1B88">
        <w:t>, 834 N.W.2d 162, 167-68 (Minn. 2013) (quotations and citations omitted).</w:t>
      </w:r>
    </w:p>
    <w:p w:rsidR="006D1052" w:rsidRPr="006D1052" w:rsidRDefault="006D1052" w:rsidP="00BC69EB">
      <w:pPr>
        <w:pStyle w:val="Heading4"/>
      </w:pPr>
      <w:bookmarkStart w:id="353" w:name="_Toc395604616"/>
      <w:r w:rsidRPr="006D1052">
        <w:t>d.</w:t>
      </w:r>
      <w:r w:rsidRPr="006D1052">
        <w:tab/>
        <w:t xml:space="preserve">Suppression </w:t>
      </w:r>
      <w:r w:rsidR="00AB1B88">
        <w:t xml:space="preserve">of </w:t>
      </w:r>
      <w:r w:rsidRPr="006D1052">
        <w:t>Physical Evidence</w:t>
      </w:r>
      <w:bookmarkEnd w:id="353"/>
    </w:p>
    <w:p w:rsidR="006D1052" w:rsidRPr="006D1052" w:rsidRDefault="006D1052" w:rsidP="00BC69EB">
      <w:pPr>
        <w:ind w:left="1440"/>
      </w:pPr>
      <w:r w:rsidRPr="006D1052">
        <w:t xml:space="preserve">“When reviewing a pretrial order on a motion to suppress evidence, we review the district court’s factual findings under our clearly erroneous standard.  We review the district court’s legal determinations, including a determination of probable cause, de novo.”  </w:t>
      </w:r>
      <w:r w:rsidRPr="006D1052">
        <w:rPr>
          <w:i/>
        </w:rPr>
        <w:t>State v. Milton</w:t>
      </w:r>
      <w:r w:rsidRPr="006D1052">
        <w:t>, 821 N.W.2d 789, 798 (Minn. 2012)</w:t>
      </w:r>
      <w:r w:rsidR="00367045">
        <w:t xml:space="preserve"> (citation omitted)</w:t>
      </w:r>
      <w:r w:rsidRPr="006D1052">
        <w:t>.</w:t>
      </w:r>
    </w:p>
    <w:p w:rsidR="004F10A3" w:rsidRPr="00BC69EB" w:rsidRDefault="004F10A3" w:rsidP="00337FFA">
      <w:pPr>
        <w:pStyle w:val="Heading3"/>
      </w:pPr>
      <w:bookmarkStart w:id="354" w:name="_Toc395604617"/>
      <w:r w:rsidRPr="00BC69EB">
        <w:lastRenderedPageBreak/>
        <w:t>2.</w:t>
      </w:r>
      <w:r w:rsidRPr="00BC69EB">
        <w:tab/>
        <w:t>Probable Cause</w:t>
      </w:r>
      <w:bookmarkEnd w:id="352"/>
      <w:r w:rsidR="00BC69EB">
        <w:t>—General</w:t>
      </w:r>
      <w:bookmarkEnd w:id="354"/>
      <w:r w:rsidR="00BC69EB">
        <w:t xml:space="preserve"> </w:t>
      </w:r>
    </w:p>
    <w:p w:rsidR="00BC69EB" w:rsidRPr="00CA4465" w:rsidRDefault="00BC69EB" w:rsidP="00BC69EB">
      <w:pPr>
        <w:ind w:left="720"/>
      </w:pPr>
      <w:r>
        <w:t xml:space="preserve">Dismissal of a complaint </w:t>
      </w:r>
      <w:r w:rsidRPr="00CA4465">
        <w:t xml:space="preserve">for lack of probable cause is appealable if it is based on a legal determination.  </w:t>
      </w:r>
      <w:r w:rsidRPr="00CA4465">
        <w:rPr>
          <w:i/>
        </w:rPr>
        <w:t>State v. Ciurleo</w:t>
      </w:r>
      <w:r w:rsidRPr="00CA4465">
        <w:t xml:space="preserve">, 471 N.W.2d 119, 121 (Minn. App. 1991).  As with other legal determinations, it is reviewed de novo.  </w:t>
      </w:r>
      <w:r w:rsidRPr="00CA4465">
        <w:rPr>
          <w:i/>
        </w:rPr>
        <w:t>State v. Linville</w:t>
      </w:r>
      <w:r w:rsidRPr="00CA4465">
        <w:t>, 598 N.W.2d 1, 2 (Mi</w:t>
      </w:r>
      <w:r>
        <w:t>nn. App. 1999)</w:t>
      </w:r>
      <w:r w:rsidRPr="00CA4465">
        <w:t>.</w:t>
      </w:r>
    </w:p>
    <w:p w:rsidR="00BC69EB" w:rsidRPr="008932E2" w:rsidRDefault="00BC69EB" w:rsidP="00337FFA">
      <w:pPr>
        <w:pStyle w:val="Heading3"/>
      </w:pPr>
      <w:bookmarkStart w:id="355" w:name="_Toc395604618"/>
      <w:r>
        <w:t>3.</w:t>
      </w:r>
      <w:r>
        <w:tab/>
      </w:r>
      <w:r w:rsidR="008D55DF" w:rsidRPr="008D55DF">
        <w:t>Warrantless Searches and Seizures</w:t>
      </w:r>
      <w:bookmarkEnd w:id="355"/>
    </w:p>
    <w:p w:rsidR="008D55DF" w:rsidRDefault="008D55DF" w:rsidP="008D55DF">
      <w:pPr>
        <w:ind w:left="720"/>
      </w:pPr>
      <w:r w:rsidRPr="00CA4465">
        <w:t xml:space="preserve">Whether there is probable cause for a citizen’s arrest depends on findings of fact that are reviewed for clear error under the clearly erroneous standard, but it is ultimately a question of law to be reviewed de novo.  </w:t>
      </w:r>
      <w:r w:rsidRPr="00CA4465">
        <w:rPr>
          <w:i/>
        </w:rPr>
        <w:t>State v. Horner</w:t>
      </w:r>
      <w:r w:rsidRPr="00CA4465">
        <w:t>, 617 N.W.2d 789, 795 (Minn. 2000).</w:t>
      </w:r>
    </w:p>
    <w:p w:rsidR="008D55DF" w:rsidRDefault="008D55DF" w:rsidP="008D55DF">
      <w:pPr>
        <w:ind w:left="720"/>
      </w:pPr>
    </w:p>
    <w:p w:rsidR="008D55DF" w:rsidRDefault="008D55DF" w:rsidP="008D55DF">
      <w:pPr>
        <w:ind w:left="720"/>
      </w:pPr>
      <w:r>
        <w:t xml:space="preserve">The standard for reviewing reasonable suspicion for a </w:t>
      </w:r>
      <w:r>
        <w:rPr>
          <w:i/>
        </w:rPr>
        <w:t>Terry</w:t>
      </w:r>
      <w:r>
        <w:t xml:space="preserve"> stop and probable cause determinations made by police in a warrantless search is de novo.  </w:t>
      </w:r>
      <w:r>
        <w:rPr>
          <w:i/>
        </w:rPr>
        <w:t>In re Welfare of G.M.</w:t>
      </w:r>
      <w:r>
        <w:t xml:space="preserve">, 560 N.W.2d 687, 690 (Minn. 1997).  </w:t>
      </w:r>
    </w:p>
    <w:p w:rsidR="008D55DF" w:rsidRDefault="008D55DF" w:rsidP="008D55DF">
      <w:pPr>
        <w:ind w:left="720"/>
      </w:pPr>
    </w:p>
    <w:p w:rsidR="008D55DF" w:rsidRPr="008D55DF" w:rsidRDefault="008D55DF" w:rsidP="008D55DF">
      <w:pPr>
        <w:ind w:left="720"/>
      </w:pPr>
      <w:r w:rsidRPr="008D55DF">
        <w:t xml:space="preserve">“We evaluate whether a reasonable, articulable suspicion exists [to conduct a pat search] from the perspective of a trained police officer, who may make ‘inferences and deductions that might well elude an untrained person.’”  </w:t>
      </w:r>
      <w:r w:rsidRPr="008D55DF">
        <w:rPr>
          <w:i/>
        </w:rPr>
        <w:t>State v. Lemert</w:t>
      </w:r>
      <w:r w:rsidRPr="008D55DF">
        <w:t xml:space="preserve">, 843 N.W.2d 227, 230 (Minn. 2014) (quoting </w:t>
      </w:r>
      <w:r w:rsidRPr="008D55DF">
        <w:rPr>
          <w:i/>
        </w:rPr>
        <w:t>United States v. Cortez</w:t>
      </w:r>
      <w:r w:rsidRPr="008D55DF">
        <w:t>, 449 U.S. 411, 418, 101 S. Ct. 690, 695 (1981)).</w:t>
      </w:r>
    </w:p>
    <w:p w:rsidR="008D55DF" w:rsidRPr="008D55DF" w:rsidRDefault="008D55DF" w:rsidP="008D55DF">
      <w:pPr>
        <w:ind w:left="720"/>
      </w:pPr>
    </w:p>
    <w:p w:rsidR="008D55DF" w:rsidRPr="00FF7C05" w:rsidRDefault="008D55DF" w:rsidP="008D55DF">
      <w:pPr>
        <w:ind w:left="720"/>
      </w:pPr>
      <w:r w:rsidRPr="008D55DF">
        <w:t xml:space="preserve">When a case is submitted to the district court on stipulated facts, “we review de novo whether the stipulated facts were sufficient to provide the officer with a reasonable articulable suspicion to conduct a pat search of [the defendant].”  </w:t>
      </w:r>
      <w:r w:rsidRPr="008D55DF">
        <w:rPr>
          <w:i/>
        </w:rPr>
        <w:t>State v. Lemert</w:t>
      </w:r>
      <w:r w:rsidRPr="008D55DF">
        <w:t>, 843 N.W.2d 227, 231 (Minn. 2014).</w:t>
      </w:r>
    </w:p>
    <w:p w:rsidR="008D55DF" w:rsidRDefault="00BC69EB" w:rsidP="00337FFA">
      <w:pPr>
        <w:pStyle w:val="Heading3"/>
      </w:pPr>
      <w:bookmarkStart w:id="356" w:name="_Toc395604619"/>
      <w:bookmarkStart w:id="357" w:name="_Toc48979631"/>
      <w:r>
        <w:t>4</w:t>
      </w:r>
      <w:r w:rsidR="004F10A3" w:rsidRPr="00CA4465">
        <w:t>.</w:t>
      </w:r>
      <w:r w:rsidR="004F10A3" w:rsidRPr="00CA4465">
        <w:tab/>
      </w:r>
      <w:r w:rsidR="008D55DF">
        <w:t>Probable Cause—Search Warrants</w:t>
      </w:r>
      <w:bookmarkEnd w:id="356"/>
    </w:p>
    <w:p w:rsidR="00133FA5" w:rsidRPr="00CA4465" w:rsidRDefault="00133FA5" w:rsidP="00133FA5">
      <w:pPr>
        <w:ind w:left="720"/>
      </w:pPr>
      <w:r w:rsidRPr="00CA4465">
        <w:t xml:space="preserve">We review the district court’s determination of probable cause to issue a search warrant to ensure that there was a substantial basis to conclude that probable cause existed.  </w:t>
      </w:r>
      <w:r w:rsidRPr="00CA4465">
        <w:rPr>
          <w:i/>
        </w:rPr>
        <w:t>State v. Harris</w:t>
      </w:r>
      <w:r w:rsidRPr="00CA4465">
        <w:t xml:space="preserve">, 589 N.W.2d 782, 787-88 (Minn. 1999).  A substantial basis in this context means a “fair probability,” given the totality of the circumstances, “that contraband or evidence of a crime will be found in a particular place.”  </w:t>
      </w:r>
      <w:r w:rsidRPr="00CA4465">
        <w:rPr>
          <w:i/>
        </w:rPr>
        <w:t>State v. Zanter</w:t>
      </w:r>
      <w:r w:rsidRPr="00CA4465">
        <w:t>, 535 N.W.2d 624, 633 (Minn. 1995) (quotation omitted).</w:t>
      </w:r>
    </w:p>
    <w:p w:rsidR="00133FA5" w:rsidRPr="00CA4465" w:rsidRDefault="00133FA5" w:rsidP="00133FA5">
      <w:pPr>
        <w:ind w:left="720"/>
      </w:pPr>
    </w:p>
    <w:p w:rsidR="00133FA5" w:rsidRDefault="00133FA5" w:rsidP="00133FA5">
      <w:pPr>
        <w:ind w:left="720"/>
      </w:pPr>
      <w:r w:rsidRPr="00CA4465">
        <w:t xml:space="preserve">The standard of review appropriate for an appellate court reviewing a district court’s probable cause determination made upon issuing a </w:t>
      </w:r>
      <w:r>
        <w:t xml:space="preserve">search </w:t>
      </w:r>
      <w:r w:rsidRPr="00CA4465">
        <w:t xml:space="preserve">warrant is the deferential, substantial-basis standard.  </w:t>
      </w:r>
      <w:r w:rsidRPr="00CA4465">
        <w:rPr>
          <w:i/>
        </w:rPr>
        <w:t>State v. Rochefort</w:t>
      </w:r>
      <w:r>
        <w:t xml:space="preserve">, 631 N.W.2d 802, 804 </w:t>
      </w:r>
      <w:r w:rsidRPr="00CA4465">
        <w:t>(Minn. 2001).</w:t>
      </w:r>
    </w:p>
    <w:p w:rsidR="00133FA5" w:rsidRDefault="00133FA5" w:rsidP="00133FA5">
      <w:pPr>
        <w:ind w:left="720"/>
      </w:pPr>
    </w:p>
    <w:p w:rsidR="00133FA5" w:rsidRPr="005C4014" w:rsidRDefault="00133FA5" w:rsidP="00133FA5">
      <w:pPr>
        <w:ind w:left="720"/>
      </w:pPr>
      <w:r>
        <w:t xml:space="preserve">The standard for determining that an unannounced entry is necessary is reasonable suspicion, and where the material facts are not in dispute, the reviewing court independently determines whether evidence obtained during execution of a no-knock warrant should be suppressed.  </w:t>
      </w:r>
      <w:r>
        <w:rPr>
          <w:i/>
        </w:rPr>
        <w:t>State v. Goodwin</w:t>
      </w:r>
      <w:r>
        <w:t xml:space="preserve">, 686 N.W.2d 40, 43 (Minn. App. 2004), </w:t>
      </w:r>
      <w:r>
        <w:rPr>
          <w:i/>
        </w:rPr>
        <w:t>review denied</w:t>
      </w:r>
      <w:r>
        <w:t xml:space="preserve"> (Minn. Dec. 14, 2004).</w:t>
      </w:r>
    </w:p>
    <w:p w:rsidR="00133FA5" w:rsidRPr="00CA4465" w:rsidRDefault="00133FA5" w:rsidP="00133FA5">
      <w:pPr>
        <w:ind w:left="720"/>
      </w:pPr>
      <w:r>
        <w:lastRenderedPageBreak/>
        <w:t xml:space="preserve">In reviewing an alleged </w:t>
      </w:r>
      <w:r>
        <w:rPr>
          <w:i/>
        </w:rPr>
        <w:t>Franks</w:t>
      </w:r>
      <w:r>
        <w:t xml:space="preserve"> search-warrant-application deficiency, the court reviews for clear error the district court’s findings on whether there was a statement or omission that was false or in reckless disregard of the truth.  </w:t>
      </w:r>
      <w:r>
        <w:rPr>
          <w:i/>
        </w:rPr>
        <w:t>State v. Andersen</w:t>
      </w:r>
      <w:r>
        <w:t xml:space="preserve">, 784 N.W.2d 320, 327 (Minn. 2010).  The court reviews de novo whether the alleged misrepresentation or omission was material to the probable cause determination.  </w:t>
      </w:r>
      <w:r>
        <w:rPr>
          <w:i/>
        </w:rPr>
        <w:t>Id.</w:t>
      </w:r>
    </w:p>
    <w:p w:rsidR="004F10A3" w:rsidRPr="00CA4465" w:rsidRDefault="008D55DF" w:rsidP="00337FFA">
      <w:pPr>
        <w:pStyle w:val="Heading3"/>
      </w:pPr>
      <w:bookmarkStart w:id="358" w:name="_Toc395604620"/>
      <w:r>
        <w:t>5.</w:t>
      </w:r>
      <w:r>
        <w:tab/>
      </w:r>
      <w:r w:rsidR="004F10A3" w:rsidRPr="00CA4465">
        <w:t>Grand Jury Proceedings</w:t>
      </w:r>
      <w:bookmarkEnd w:id="357"/>
      <w:bookmarkEnd w:id="358"/>
      <w:r w:rsidR="004F10A3" w:rsidRPr="00CA4465">
        <w:t xml:space="preserve"> </w:t>
      </w:r>
    </w:p>
    <w:p w:rsidR="00BC69EB" w:rsidRPr="00CA4465" w:rsidRDefault="00BC69EB" w:rsidP="00BC69EB">
      <w:pPr>
        <w:keepNext/>
        <w:ind w:left="720"/>
      </w:pPr>
      <w:bookmarkStart w:id="359" w:name="_Toc48979632"/>
      <w:r w:rsidRPr="00CA4465">
        <w:t xml:space="preserve">“[T]he standard of review of the dismissal of an indictment is not clear and unequivocal error on the part of the [district] court.  The proper focus of inquiry is the grand jury’s determination of probable cause to believe the alleged offenses occurred, with deference to the grand jury’s factfinding role.  A presumption of regularity attaches to a grand jury indictment and only in a rare case will an indictment be invalidated.”  </w:t>
      </w:r>
      <w:r w:rsidRPr="00CA4465">
        <w:rPr>
          <w:i/>
        </w:rPr>
        <w:t>State v. Plummer</w:t>
      </w:r>
      <w:r w:rsidRPr="00CA4465">
        <w:t>, 511 N.W.2d 36, 38 (Minn. App. 1994) (quotation omitted).</w:t>
      </w:r>
    </w:p>
    <w:p w:rsidR="00BC69EB" w:rsidRPr="00CA4465" w:rsidRDefault="00BC69EB" w:rsidP="00BC69EB"/>
    <w:p w:rsidR="00BC69EB" w:rsidRDefault="00BC69EB" w:rsidP="00BC69EB">
      <w:pPr>
        <w:ind w:left="720"/>
      </w:pPr>
      <w:r w:rsidRPr="00CA4465">
        <w:t xml:space="preserve">“A prosecutor’s failure to disclose exculpatory evidence to the grand jury will require dismissal of the indictment if the evidence would have materially affected the grand jury proceeding.  The effect on the </w:t>
      </w:r>
      <w:r w:rsidR="007B4454">
        <w:t>g</w:t>
      </w:r>
      <w:r w:rsidRPr="00CA4465">
        <w:t xml:space="preserve">rand jury proceeding must be judged after looking at all of the evidence that the grand jury received.”  </w:t>
      </w:r>
      <w:r w:rsidRPr="00CA4465">
        <w:rPr>
          <w:i/>
        </w:rPr>
        <w:t>State v. Lynch</w:t>
      </w:r>
      <w:r w:rsidRPr="00CA4465">
        <w:t>, 590 N.W.2d 75, 79 (Minn. 1999) (citation omitted).</w:t>
      </w:r>
    </w:p>
    <w:p w:rsidR="00BC69EB" w:rsidRDefault="00BC69EB" w:rsidP="00BC69EB">
      <w:pPr>
        <w:ind w:left="720"/>
      </w:pPr>
    </w:p>
    <w:p w:rsidR="00BC69EB" w:rsidRPr="005C4014" w:rsidRDefault="00BC69EB" w:rsidP="00BC69EB">
      <w:pPr>
        <w:ind w:left="720"/>
      </w:pPr>
      <w:r>
        <w:t xml:space="preserve">“An indictment will be dismissed if ‘it is clear that the prosecutor knowingly committed misconduct in the presentation of evidence to the Grand Jury’ and that such misconduct ‘substantially influenced the </w:t>
      </w:r>
      <w:r w:rsidR="003F5C4D">
        <w:t>G</w:t>
      </w:r>
      <w:r>
        <w:t xml:space="preserve">rand Jury’s decision to indict . . . .”  </w:t>
      </w:r>
      <w:r>
        <w:rPr>
          <w:i/>
        </w:rPr>
        <w:t>State v. Martin</w:t>
      </w:r>
      <w:r>
        <w:t xml:space="preserve">, 823 N.W.2d 913, 919 (Minn. App. 2012) (quoting </w:t>
      </w:r>
      <w:r>
        <w:rPr>
          <w:i/>
        </w:rPr>
        <w:t>State v. Montanaro</w:t>
      </w:r>
      <w:r>
        <w:t>, 463 N.W.2d 281, 281 (Minn. 1990)).</w:t>
      </w:r>
    </w:p>
    <w:p w:rsidR="00BC69EB" w:rsidRPr="00CA4465" w:rsidRDefault="00BC69EB" w:rsidP="00BC69EB"/>
    <w:p w:rsidR="00BC69EB" w:rsidRPr="00CA4465" w:rsidRDefault="00BC69EB" w:rsidP="00BC69EB">
      <w:pPr>
        <w:ind w:left="720"/>
      </w:pPr>
      <w:r w:rsidRPr="00CA4465">
        <w:t xml:space="preserve">“A criminal defendant bears a heavy burden when seeking to overturn a grand jury indictment, especially when the challenge is brought after the defendant has been found guilty beyond a reasonable doubt following a fair trial.”  </w:t>
      </w:r>
      <w:r w:rsidRPr="00CA4465">
        <w:rPr>
          <w:i/>
        </w:rPr>
        <w:t>State v. Johnson</w:t>
      </w:r>
      <w:r w:rsidRPr="00CA4465">
        <w:t xml:space="preserve">, 463 N.W.2d 527, 531 (Minn. 1990); </w:t>
      </w:r>
      <w:r w:rsidRPr="00CA4465">
        <w:rPr>
          <w:i/>
        </w:rPr>
        <w:t>see also State v. Lynch</w:t>
      </w:r>
      <w:r w:rsidRPr="00CA4465">
        <w:t>, 590 N.W.2d 75, 79 (Minn. 1999) (stating that a defendant convicted after a fair trial bears a heightened burden).</w:t>
      </w:r>
    </w:p>
    <w:p w:rsidR="004F10A3" w:rsidRPr="00CA4465" w:rsidRDefault="00133FA5" w:rsidP="00337FFA">
      <w:pPr>
        <w:pStyle w:val="Heading3"/>
      </w:pPr>
      <w:bookmarkStart w:id="360" w:name="_Toc395604621"/>
      <w:r>
        <w:t>6</w:t>
      </w:r>
      <w:r w:rsidR="004F10A3" w:rsidRPr="00CA4465">
        <w:t>.</w:t>
      </w:r>
      <w:r w:rsidR="004F10A3" w:rsidRPr="00CA4465">
        <w:tab/>
        <w:t>Guilty Plea</w:t>
      </w:r>
      <w:bookmarkEnd w:id="359"/>
      <w:r w:rsidR="004F10A3" w:rsidRPr="00CA4465">
        <w:t xml:space="preserve"> </w:t>
      </w:r>
      <w:r w:rsidR="006A5009" w:rsidRPr="006A5009">
        <w:t>Withdrawal</w:t>
      </w:r>
      <w:bookmarkEnd w:id="360"/>
    </w:p>
    <w:p w:rsidR="00133FA5" w:rsidRPr="00133FA5" w:rsidRDefault="00133FA5" w:rsidP="00133FA5">
      <w:pPr>
        <w:ind w:left="720"/>
      </w:pPr>
      <w:r w:rsidRPr="00133FA5">
        <w:t xml:space="preserve">There are two standards for guilty-plea withdrawal.  The standard for reviewing denial of a guilty-plea withdrawal motion under the manifest-injustice standard, which is applied to post-sentencing motions and requires withdrawal when the defendant shows that the guilty-plea was invalid, i.e., not accurate, voluntary, and intelligent, is “a question of law that we review de novo.”  </w:t>
      </w:r>
      <w:r w:rsidRPr="00133FA5">
        <w:rPr>
          <w:i/>
        </w:rPr>
        <w:t>State v. Raleigh</w:t>
      </w:r>
      <w:r w:rsidRPr="00133FA5">
        <w:t xml:space="preserve">, 778 N.W.2d 90, 94 (Minn. 2010).  But the district court’s decision to permit withdrawal under the fair-and-just standard, which is applied when the motion is made prior to sentencing, is discretionary.  The district court must consider the reasons for withdrawal and any prejudice withdrawal would cause the state, and “[w]e review a district court’s decision to deny a withdrawal motion for abuse of discretion, reversing only in the ‘rare case.’”  </w:t>
      </w:r>
      <w:r w:rsidRPr="00133FA5">
        <w:rPr>
          <w:i/>
        </w:rPr>
        <w:t>Id.</w:t>
      </w:r>
      <w:r w:rsidRPr="00133FA5">
        <w:t xml:space="preserve"> at 97 (quoting </w:t>
      </w:r>
      <w:r w:rsidRPr="00133FA5">
        <w:rPr>
          <w:i/>
        </w:rPr>
        <w:t>Kim v. State</w:t>
      </w:r>
      <w:r w:rsidRPr="00133FA5">
        <w:t>, 434 N.W.2d 263, 266 (Minn. 1989)).</w:t>
      </w:r>
    </w:p>
    <w:p w:rsidR="00133FA5" w:rsidRPr="00133FA5" w:rsidRDefault="00133FA5" w:rsidP="00133FA5">
      <w:pPr>
        <w:ind w:left="720"/>
      </w:pPr>
    </w:p>
    <w:p w:rsidR="00133FA5" w:rsidRDefault="00133FA5" w:rsidP="00133FA5">
      <w:pPr>
        <w:ind w:left="720"/>
      </w:pPr>
      <w:r w:rsidRPr="00133FA5">
        <w:lastRenderedPageBreak/>
        <w:t xml:space="preserve">“The authority of a court to </w:t>
      </w:r>
      <w:r w:rsidRPr="00133FA5">
        <w:rPr>
          <w:i/>
        </w:rPr>
        <w:t>sua sponte</w:t>
      </w:r>
      <w:r w:rsidRPr="00133FA5">
        <w:t xml:space="preserve"> vacate a guilty plea and conviction is a question of law, which is reviewed de novo.”  </w:t>
      </w:r>
      <w:r w:rsidRPr="00133FA5">
        <w:rPr>
          <w:i/>
        </w:rPr>
        <w:t>State v. Miller</w:t>
      </w:r>
      <w:r w:rsidRPr="00133FA5">
        <w:t xml:space="preserve">, </w:t>
      </w:r>
      <w:r w:rsidRPr="00133FA5">
        <w:rPr>
          <w:i/>
        </w:rPr>
        <w:t xml:space="preserve">___ </w:t>
      </w:r>
      <w:r w:rsidRPr="00133FA5">
        <w:t xml:space="preserve">N.W.2d ___, ___ (Minn. App. 2014) (quoting </w:t>
      </w:r>
      <w:r w:rsidRPr="00133FA5">
        <w:rPr>
          <w:i/>
        </w:rPr>
        <w:t>State v. Spraggins</w:t>
      </w:r>
      <w:r w:rsidRPr="00133FA5">
        <w:t>, 742 N.W.2d 1, 3 (Minn. App. 2007)).</w:t>
      </w:r>
    </w:p>
    <w:p w:rsidR="00133FA5" w:rsidRPr="00133FA5" w:rsidRDefault="00133FA5" w:rsidP="00133FA5">
      <w:pPr>
        <w:ind w:left="720"/>
      </w:pPr>
    </w:p>
    <w:p w:rsidR="006A5009" w:rsidRPr="00CA4465" w:rsidRDefault="00133FA5" w:rsidP="00133FA5">
      <w:pPr>
        <w:ind w:left="720"/>
      </w:pPr>
      <w:r w:rsidRPr="00133FA5">
        <w:t xml:space="preserve"> </w:t>
      </w:r>
      <w:r w:rsidR="006A5009" w:rsidRPr="00CA4465">
        <w:t xml:space="preserve">“[T]he ‘ultimate decision’ of whether to allow withdrawal under the ‘fair and just’ standard is ‘left to the sound discretion of the [district] court, and it will be reversed only in the rare case in which the appellate court can fairly conclude that the [district] court abused its discretion.’”  </w:t>
      </w:r>
      <w:r w:rsidR="006A5009" w:rsidRPr="00CA4465">
        <w:rPr>
          <w:i/>
        </w:rPr>
        <w:t>State v. Kaiser</w:t>
      </w:r>
      <w:r w:rsidR="006A5009" w:rsidRPr="00CA4465">
        <w:t xml:space="preserve">, 469 N.W.2d 316, 320 (Minn. 1991) (quoting </w:t>
      </w:r>
      <w:r w:rsidR="006A5009" w:rsidRPr="00CA4465">
        <w:rPr>
          <w:i/>
        </w:rPr>
        <w:t>Kim v. State</w:t>
      </w:r>
      <w:r w:rsidR="006A5009" w:rsidRPr="00CA4465">
        <w:t>, 434 N.W.2d 263, 266 (Minn. 1989)).</w:t>
      </w:r>
    </w:p>
    <w:p w:rsidR="006A5009" w:rsidRPr="00CA4465" w:rsidRDefault="006A5009" w:rsidP="006A5009"/>
    <w:p w:rsidR="006A5009" w:rsidRPr="00CA4465" w:rsidRDefault="006A5009" w:rsidP="006A5009">
      <w:pPr>
        <w:ind w:left="720"/>
      </w:pPr>
      <w:r w:rsidRPr="00CA4465">
        <w:t xml:space="preserve">A reviewing court will reverse the district court’s determination of whether to permit withdrawal of a guilty plea only if the district court abused its discretion.  </w:t>
      </w:r>
      <w:r w:rsidRPr="00CA4465">
        <w:rPr>
          <w:i/>
        </w:rPr>
        <w:t>Barragan v. State</w:t>
      </w:r>
      <w:r w:rsidRPr="00CA4465">
        <w:t xml:space="preserve">, 583 N.W.2d 571, 572 (Minn. 1998). </w:t>
      </w:r>
    </w:p>
    <w:p w:rsidR="006A5009" w:rsidRPr="00CA4465" w:rsidRDefault="006A5009" w:rsidP="006A5009"/>
    <w:p w:rsidR="006A5009" w:rsidRDefault="006A5009" w:rsidP="006A5009">
      <w:pPr>
        <w:ind w:left="720"/>
      </w:pPr>
      <w:r w:rsidRPr="00CA4465">
        <w:t xml:space="preserve">When credibility determinations are crucial in determining whether a guilty plea was accurate, voluntary, and intelligent, “a reviewing court will give deference to the primary observations and trustworthiness assessments made by the district court.”  </w:t>
      </w:r>
      <w:r w:rsidRPr="00CA4465">
        <w:rPr>
          <w:i/>
        </w:rPr>
        <w:t>State v. Aviles-Alvarez</w:t>
      </w:r>
      <w:r w:rsidRPr="00CA4465">
        <w:t xml:space="preserve">, 561 N.W.2d 523, 527 (Minn. App. 1997), </w:t>
      </w:r>
      <w:r w:rsidRPr="00CA4465">
        <w:rPr>
          <w:i/>
          <w:iCs/>
        </w:rPr>
        <w:t>review denied</w:t>
      </w:r>
      <w:r w:rsidRPr="00CA4465">
        <w:t xml:space="preserve"> (Minn. June 11, 1997).</w:t>
      </w:r>
    </w:p>
    <w:p w:rsidR="00277991" w:rsidRPr="00CA4465" w:rsidRDefault="00133FA5" w:rsidP="00337FFA">
      <w:pPr>
        <w:pStyle w:val="Heading3"/>
      </w:pPr>
      <w:bookmarkStart w:id="361" w:name="_Toc395604622"/>
      <w:r>
        <w:t>7</w:t>
      </w:r>
      <w:r w:rsidR="00277991" w:rsidRPr="00CA4465">
        <w:t>.</w:t>
      </w:r>
      <w:r w:rsidR="00277991" w:rsidRPr="00CA4465">
        <w:tab/>
        <w:t xml:space="preserve">Plea </w:t>
      </w:r>
      <w:r w:rsidR="00277991">
        <w:t>Agreements</w:t>
      </w:r>
      <w:bookmarkEnd w:id="361"/>
      <w:r w:rsidR="00277991">
        <w:t xml:space="preserve"> </w:t>
      </w:r>
    </w:p>
    <w:p w:rsidR="006A5009" w:rsidRPr="00CA4465" w:rsidRDefault="006A5009" w:rsidP="006A5009">
      <w:pPr>
        <w:ind w:left="720"/>
      </w:pPr>
      <w:bookmarkStart w:id="362" w:name="_Toc48979633"/>
      <w:r w:rsidRPr="00CA4465">
        <w:t xml:space="preserve">The interpretation and enforcement of plea agreements present issues of law subject to de novo review.  </w:t>
      </w:r>
      <w:r w:rsidRPr="00CA4465">
        <w:rPr>
          <w:i/>
        </w:rPr>
        <w:t>State v. Rhodes</w:t>
      </w:r>
      <w:r w:rsidRPr="00CA4465">
        <w:t xml:space="preserve">, 675 N.W.2d 323, 326 (Minn. 2004); </w:t>
      </w:r>
      <w:r w:rsidRPr="00CA4465">
        <w:rPr>
          <w:i/>
        </w:rPr>
        <w:t>State v. Jumping Eagle</w:t>
      </w:r>
      <w:r w:rsidRPr="00CA4465">
        <w:t>, 620 N.W.2d 42, 43 (Minn. 2000).</w:t>
      </w:r>
    </w:p>
    <w:p w:rsidR="006A5009" w:rsidRDefault="006A5009" w:rsidP="006A5009"/>
    <w:p w:rsidR="006A5009" w:rsidRPr="00277991" w:rsidRDefault="006A5009" w:rsidP="006A5009">
      <w:pPr>
        <w:ind w:left="720"/>
      </w:pPr>
      <w:r>
        <w:t xml:space="preserve">“Assessing the validity of a plea presents a question of law that we review de novo.”  </w:t>
      </w:r>
      <w:r>
        <w:rPr>
          <w:i/>
        </w:rPr>
        <w:t>State v. Raleigh</w:t>
      </w:r>
      <w:r>
        <w:t>, 778 N.W.2d 90, 94 (Minn. 2010).</w:t>
      </w:r>
    </w:p>
    <w:p w:rsidR="004F10A3" w:rsidRPr="00CA4465" w:rsidRDefault="00133FA5" w:rsidP="00337FFA">
      <w:pPr>
        <w:pStyle w:val="Heading3"/>
      </w:pPr>
      <w:bookmarkStart w:id="363" w:name="_Toc395604623"/>
      <w:r>
        <w:t>8</w:t>
      </w:r>
      <w:r w:rsidR="004F10A3" w:rsidRPr="00CA4465">
        <w:t>.</w:t>
      </w:r>
      <w:r w:rsidR="004F10A3" w:rsidRPr="00CA4465">
        <w:tab/>
        <w:t>Adverse Psychological Examinations</w:t>
      </w:r>
      <w:bookmarkEnd w:id="362"/>
      <w:bookmarkEnd w:id="363"/>
      <w:r w:rsidR="004F10A3" w:rsidRPr="00CA4465">
        <w:t xml:space="preserve"> </w:t>
      </w:r>
    </w:p>
    <w:p w:rsidR="006A5009" w:rsidRPr="00CA4465" w:rsidRDefault="006A5009" w:rsidP="006A5009">
      <w:pPr>
        <w:keepNext/>
        <w:ind w:left="720"/>
      </w:pPr>
      <w:bookmarkStart w:id="364" w:name="_Toc48979634"/>
      <w:r w:rsidRPr="00CA4465">
        <w:t xml:space="preserve">“There is [district] court discretion to order adverse psychological examinations in criminal cases, but the discretion should be used judiciously and in a balanced way.”  </w:t>
      </w:r>
      <w:r w:rsidRPr="00CA4465">
        <w:rPr>
          <w:i/>
        </w:rPr>
        <w:t>State v. Elvin</w:t>
      </w:r>
      <w:r w:rsidRPr="00CA4465">
        <w:t xml:space="preserve">, 481 N.W.2d 571, 574 (Minn. App. 1992) (affirming district court decision to deny defense </w:t>
      </w:r>
      <w:r>
        <w:t>request</w:t>
      </w:r>
      <w:r w:rsidRPr="00CA4465">
        <w:t xml:space="preserve"> for adverse psychological examination of a victim), </w:t>
      </w:r>
      <w:r w:rsidRPr="00CA4465">
        <w:rPr>
          <w:i/>
          <w:iCs/>
        </w:rPr>
        <w:t>review denied</w:t>
      </w:r>
      <w:r w:rsidRPr="00CA4465">
        <w:t xml:space="preserve"> (Minn. Apr. 29, 1992).  A reviewing court will not reverse the district court absent an abuse of that discretion.  </w:t>
      </w:r>
      <w:r w:rsidRPr="00CA4465">
        <w:rPr>
          <w:i/>
        </w:rPr>
        <w:t>See</w:t>
      </w:r>
      <w:r w:rsidRPr="00CA4465">
        <w:t xml:space="preserve"> </w:t>
      </w:r>
      <w:r w:rsidRPr="00CA4465">
        <w:rPr>
          <w:i/>
        </w:rPr>
        <w:t>id.</w:t>
      </w:r>
    </w:p>
    <w:p w:rsidR="004F10A3" w:rsidRPr="00CA4465" w:rsidRDefault="00133FA5" w:rsidP="00337FFA">
      <w:pPr>
        <w:pStyle w:val="Heading3"/>
      </w:pPr>
      <w:bookmarkStart w:id="365" w:name="_Toc395604624"/>
      <w:r>
        <w:t>9</w:t>
      </w:r>
      <w:r w:rsidR="004F10A3" w:rsidRPr="00CA4465">
        <w:t>.</w:t>
      </w:r>
      <w:r w:rsidR="004F10A3" w:rsidRPr="00CA4465">
        <w:tab/>
        <w:t>Change of Venue</w:t>
      </w:r>
      <w:bookmarkEnd w:id="364"/>
      <w:bookmarkEnd w:id="365"/>
      <w:r w:rsidR="004F10A3" w:rsidRPr="00CA4465">
        <w:t xml:space="preserve"> </w:t>
      </w:r>
    </w:p>
    <w:p w:rsidR="00133FA5" w:rsidRDefault="00133FA5" w:rsidP="00133FA5">
      <w:pPr>
        <w:ind w:left="720"/>
      </w:pPr>
      <w:r w:rsidRPr="00133FA5">
        <w:t xml:space="preserve">“The standard of review on a venue transfer challenge is whether the district court abused its discretion.”  </w:t>
      </w:r>
      <w:r w:rsidRPr="00133FA5">
        <w:rPr>
          <w:i/>
        </w:rPr>
        <w:t>State v. Fairbanks</w:t>
      </w:r>
      <w:r w:rsidRPr="00133FA5">
        <w:t>, 842 N.W.2d 297, 302 (Minn. 2014).</w:t>
      </w:r>
    </w:p>
    <w:p w:rsidR="00133FA5" w:rsidRPr="00133FA5" w:rsidRDefault="00133FA5" w:rsidP="00133FA5">
      <w:pPr>
        <w:ind w:left="720"/>
      </w:pPr>
    </w:p>
    <w:p w:rsidR="006A5009" w:rsidRPr="00CA4465" w:rsidRDefault="006A5009" w:rsidP="006A5009">
      <w:pPr>
        <w:ind w:left="720"/>
      </w:pPr>
      <w:r w:rsidRPr="00CA4465">
        <w:t xml:space="preserve">District courts have wide discretion in deciding motions for change of venue and we will sustain such decisions absent a clear abuse of discretion.  </w:t>
      </w:r>
      <w:r w:rsidRPr="00CA4465">
        <w:rPr>
          <w:i/>
        </w:rPr>
        <w:t>State v. Warren</w:t>
      </w:r>
      <w:r w:rsidRPr="00CA4465">
        <w:t>, 592 N.W.2d 440, 447 n.6 (Minn. 1999).</w:t>
      </w:r>
    </w:p>
    <w:p w:rsidR="006A5009" w:rsidRPr="00CA4465" w:rsidRDefault="006A5009" w:rsidP="006A5009"/>
    <w:p w:rsidR="006A5009" w:rsidRPr="00CA4465" w:rsidRDefault="006A5009" w:rsidP="006A5009">
      <w:pPr>
        <w:ind w:left="720"/>
      </w:pPr>
      <w:r w:rsidRPr="00CA4465">
        <w:lastRenderedPageBreak/>
        <w:t xml:space="preserve">“Before </w:t>
      </w:r>
      <w:r>
        <w:t>[a reviewing]</w:t>
      </w:r>
      <w:r w:rsidRPr="00CA4465">
        <w:t xml:space="preserve"> court will reverse a conviction based on a denial of a change of venue motion, we must find not only that the [district] court abused [its] wide discretion, but also that the denial resulted in prejudice to the defendant.”  </w:t>
      </w:r>
      <w:r w:rsidRPr="00CA4465">
        <w:rPr>
          <w:i/>
        </w:rPr>
        <w:t>State v. Chambers</w:t>
      </w:r>
      <w:r w:rsidRPr="00CA4465">
        <w:t xml:space="preserve">, 589 N.W.2d 466, 473 (Minn. 1999); </w:t>
      </w:r>
      <w:r w:rsidRPr="00CA4465">
        <w:rPr>
          <w:i/>
        </w:rPr>
        <w:t>see State v. Everett</w:t>
      </w:r>
      <w:r w:rsidRPr="00CA4465">
        <w:t>, 472 N.W.2d 864, 866 (Minn. 1991) (affirming district court</w:t>
      </w:r>
      <w:r>
        <w:t>’s denial of</w:t>
      </w:r>
      <w:r w:rsidRPr="00CA4465">
        <w:t xml:space="preserve"> defendant’s motion for a change </w:t>
      </w:r>
      <w:r>
        <w:t>of</w:t>
      </w:r>
      <w:r w:rsidRPr="00CA4465">
        <w:t xml:space="preserve"> venue whe</w:t>
      </w:r>
      <w:r>
        <w:t>n</w:t>
      </w:r>
      <w:r w:rsidRPr="00CA4465">
        <w:t xml:space="preserve"> defendant made no showing of actual prejudice).</w:t>
      </w:r>
    </w:p>
    <w:p w:rsidR="00A079A0" w:rsidRPr="00CA4465" w:rsidRDefault="00133FA5" w:rsidP="00337FFA">
      <w:pPr>
        <w:pStyle w:val="Heading3"/>
      </w:pPr>
      <w:bookmarkStart w:id="366" w:name="_Toc395604625"/>
      <w:r>
        <w:t>10</w:t>
      </w:r>
      <w:r w:rsidR="00A079A0" w:rsidRPr="00CA4465">
        <w:t>.</w:t>
      </w:r>
      <w:r w:rsidR="00A079A0" w:rsidRPr="00CA4465">
        <w:tab/>
        <w:t>Double Jeopardy</w:t>
      </w:r>
      <w:bookmarkEnd w:id="366"/>
    </w:p>
    <w:p w:rsidR="006A5009" w:rsidRPr="00CA4465" w:rsidRDefault="006A5009" w:rsidP="006A5009">
      <w:pPr>
        <w:ind w:left="720"/>
      </w:pPr>
      <w:bookmarkStart w:id="367" w:name="_Toc48979635"/>
      <w:r w:rsidRPr="00CA4465">
        <w:t xml:space="preserve">An appellate court reviews double-jeopardy issues de novo.  </w:t>
      </w:r>
      <w:r w:rsidRPr="00CA4465">
        <w:rPr>
          <w:i/>
        </w:rPr>
        <w:t>State v. Leroy</w:t>
      </w:r>
      <w:r w:rsidRPr="00CA4465">
        <w:t xml:space="preserve">, 604 N.W.2d 75, 77 (Minn. 1999).  But decisions to declare a mistrial sua sponte without the defendant’s consent are reviewed for an abuse of discretion.  </w:t>
      </w:r>
      <w:r w:rsidRPr="00CA4465">
        <w:rPr>
          <w:i/>
        </w:rPr>
        <w:t>State v. Gouleed</w:t>
      </w:r>
      <w:r w:rsidRPr="00CA4465">
        <w:t>, 720 N.W.2d 794, 800 (Minn. 2006).</w:t>
      </w:r>
    </w:p>
    <w:p w:rsidR="004F10A3" w:rsidRPr="00CA4465" w:rsidRDefault="00133FA5" w:rsidP="00337FFA">
      <w:pPr>
        <w:pStyle w:val="Heading3"/>
      </w:pPr>
      <w:bookmarkStart w:id="368" w:name="_Toc395604626"/>
      <w:r>
        <w:t>11</w:t>
      </w:r>
      <w:r w:rsidR="004F10A3" w:rsidRPr="00CA4465">
        <w:t>.</w:t>
      </w:r>
      <w:r w:rsidR="004F10A3" w:rsidRPr="00CA4465">
        <w:tab/>
        <w:t>Continuances</w:t>
      </w:r>
      <w:bookmarkEnd w:id="367"/>
      <w:bookmarkEnd w:id="368"/>
      <w:r w:rsidR="004F10A3" w:rsidRPr="00CA4465">
        <w:t xml:space="preserve"> </w:t>
      </w:r>
    </w:p>
    <w:p w:rsidR="006A5009" w:rsidRDefault="006A5009" w:rsidP="006A5009">
      <w:pPr>
        <w:ind w:left="720"/>
      </w:pPr>
      <w:r w:rsidRPr="00CA4465">
        <w:t xml:space="preserve">A ruling on a request for a continuance is within the district court’s discretion and a conviction will not be reversed for denial of a motion for a continuance unless the denial is a clear abuse of discretion.  </w:t>
      </w:r>
      <w:r w:rsidRPr="00CA4465">
        <w:rPr>
          <w:i/>
        </w:rPr>
        <w:t>State v. Rainer</w:t>
      </w:r>
      <w:r w:rsidRPr="00CA4465">
        <w:t>, 411 N.W.2d 490, 495 (Minn. 1987).</w:t>
      </w:r>
    </w:p>
    <w:p w:rsidR="006A5009" w:rsidRPr="00CA4465" w:rsidRDefault="006A5009" w:rsidP="006A5009">
      <w:pPr>
        <w:ind w:left="720"/>
      </w:pPr>
    </w:p>
    <w:p w:rsidR="006A5009" w:rsidRPr="00CA4465" w:rsidRDefault="006A5009" w:rsidP="006A5009">
      <w:pPr>
        <w:ind w:left="720"/>
      </w:pPr>
      <w:r w:rsidRPr="00CA4465">
        <w:t xml:space="preserve">“The reviewing court must examine the circumstances before the [district] court at the time the motion [for </w:t>
      </w:r>
      <w:r>
        <w:t xml:space="preserve">a </w:t>
      </w:r>
      <w:r w:rsidRPr="00CA4465">
        <w:t xml:space="preserve">continuance] was made to determine whether the [district] court’s decision prejudiced </w:t>
      </w:r>
      <w:r>
        <w:t xml:space="preserve">[the] </w:t>
      </w:r>
      <w:r w:rsidRPr="00CA4465">
        <w:t xml:space="preserve">defendant by materially affecting the outcome of the trial.”  </w:t>
      </w:r>
      <w:r w:rsidRPr="00CA4465">
        <w:rPr>
          <w:i/>
        </w:rPr>
        <w:t>State v. Turnipseed</w:t>
      </w:r>
      <w:r w:rsidRPr="00CA4465">
        <w:t>, 297 N.W.2d 308, 311 (Minn. 1980).</w:t>
      </w:r>
    </w:p>
    <w:p w:rsidR="006A5009" w:rsidRPr="00CA4465" w:rsidRDefault="006A5009" w:rsidP="006A5009"/>
    <w:p w:rsidR="006A5009" w:rsidRDefault="006A5009" w:rsidP="006A5009">
      <w:pPr>
        <w:ind w:left="720"/>
      </w:pPr>
      <w:r w:rsidRPr="00CA4465">
        <w:t xml:space="preserve">“In evaluating a request for a continuance, the test is whether the denial of a continuance prejudices the outcome of the trial.”  </w:t>
      </w:r>
      <w:r w:rsidRPr="00CA4465">
        <w:rPr>
          <w:i/>
        </w:rPr>
        <w:t>State v. Stroud</w:t>
      </w:r>
      <w:r w:rsidRPr="00CA4465">
        <w:t>, 459 N.W.2d 332, 335 (Minn. App. 1990).</w:t>
      </w:r>
    </w:p>
    <w:p w:rsidR="006A5009" w:rsidRDefault="00133FA5" w:rsidP="00337FFA">
      <w:pPr>
        <w:pStyle w:val="Heading3"/>
      </w:pPr>
      <w:bookmarkStart w:id="369" w:name="_Toc395604627"/>
      <w:r>
        <w:t>12</w:t>
      </w:r>
      <w:r w:rsidR="006A5009">
        <w:t>.</w:t>
      </w:r>
      <w:r w:rsidR="006A5009">
        <w:tab/>
        <w:t>Competency of Defendant</w:t>
      </w:r>
      <w:bookmarkEnd w:id="369"/>
      <w:r w:rsidR="006A5009">
        <w:t xml:space="preserve"> </w:t>
      </w:r>
    </w:p>
    <w:p w:rsidR="006A5009" w:rsidRDefault="006A5009" w:rsidP="006A5009">
      <w:pPr>
        <w:ind w:left="720"/>
      </w:pPr>
      <w:r>
        <w:t xml:space="preserve">The standards for competency to stand trial and for competency to waive counsel are the same.  </w:t>
      </w:r>
      <w:r>
        <w:rPr>
          <w:i/>
        </w:rPr>
        <w:t>State v. Comacho</w:t>
      </w:r>
      <w:r>
        <w:t xml:space="preserve">, 561 N.W.2d 160, 172 (Minn. 1997).  The appellate courts have reviewed competency determinations on undisputed facts “to determine whether the district court gave proper weight” to the evidence in the record.  </w:t>
      </w:r>
      <w:r>
        <w:rPr>
          <w:i/>
        </w:rPr>
        <w:t>Id.</w:t>
      </w:r>
      <w:r>
        <w:t xml:space="preserve"> at 174.  </w:t>
      </w:r>
    </w:p>
    <w:p w:rsidR="006A5009" w:rsidRDefault="00133FA5" w:rsidP="00337FFA">
      <w:pPr>
        <w:pStyle w:val="Heading3"/>
      </w:pPr>
      <w:bookmarkStart w:id="370" w:name="_Toc395604628"/>
      <w:r>
        <w:t>13</w:t>
      </w:r>
      <w:r w:rsidR="006A5009">
        <w:t>.</w:t>
      </w:r>
      <w:r w:rsidR="006A5009">
        <w:tab/>
        <w:t xml:space="preserve">Waiver of </w:t>
      </w:r>
      <w:r w:rsidR="00CD7AEA">
        <w:t>C</w:t>
      </w:r>
      <w:r w:rsidR="006A5009">
        <w:t>ounsel</w:t>
      </w:r>
      <w:bookmarkEnd w:id="370"/>
    </w:p>
    <w:p w:rsidR="006A5009" w:rsidRPr="00AC7196" w:rsidRDefault="006A5009" w:rsidP="006A5009">
      <w:pPr>
        <w:ind w:left="720"/>
      </w:pPr>
      <w:r>
        <w:t xml:space="preserve">“We will only overturn a ‘finding of a valid waiver of a defendant’s right to counsel if that finding is clearly erroneous.’”  </w:t>
      </w:r>
      <w:r>
        <w:rPr>
          <w:i/>
        </w:rPr>
        <w:t>State v. Jones</w:t>
      </w:r>
      <w:r>
        <w:t xml:space="preserve">, 772 N.W.2d 496, 504 (Minn. 2009) (quoting </w:t>
      </w:r>
      <w:r>
        <w:rPr>
          <w:i/>
        </w:rPr>
        <w:t>State v. Worthy</w:t>
      </w:r>
      <w:r>
        <w:t xml:space="preserve">, 583 N.W.2d 270, 276 (Minn. 1998)).  </w:t>
      </w:r>
    </w:p>
    <w:p w:rsidR="0017390F" w:rsidRPr="00CA4465" w:rsidRDefault="00133FA5" w:rsidP="00337FFA">
      <w:pPr>
        <w:pStyle w:val="Heading3"/>
      </w:pPr>
      <w:bookmarkStart w:id="371" w:name="_Toc395604629"/>
      <w:r>
        <w:t>14</w:t>
      </w:r>
      <w:r w:rsidR="000E53E7" w:rsidRPr="00CA4465">
        <w:t>.</w:t>
      </w:r>
      <w:r w:rsidR="000E53E7" w:rsidRPr="00CA4465">
        <w:tab/>
        <w:t>Substitution of Counsel</w:t>
      </w:r>
      <w:bookmarkEnd w:id="371"/>
    </w:p>
    <w:p w:rsidR="006A5009" w:rsidRPr="006A5009" w:rsidRDefault="00CD7AEA" w:rsidP="006A5009">
      <w:pPr>
        <w:ind w:left="720"/>
      </w:pPr>
      <w:r>
        <w:t xml:space="preserve">The decision whether to grant a request for substitute counsel is within the district court’s discretion.  </w:t>
      </w:r>
      <w:r>
        <w:rPr>
          <w:i/>
        </w:rPr>
        <w:t>State v. Clark</w:t>
      </w:r>
      <w:r>
        <w:t>, 722 N.W.2d 460, 464 (Minn. 2006).</w:t>
      </w:r>
      <w:r w:rsidR="006A5009" w:rsidRPr="006A5009">
        <w:t xml:space="preserve">  </w:t>
      </w:r>
    </w:p>
    <w:p w:rsidR="0017390F" w:rsidRPr="00E17A10" w:rsidRDefault="000E53E7" w:rsidP="00337FFA">
      <w:pPr>
        <w:pStyle w:val="Heading3"/>
      </w:pPr>
      <w:bookmarkStart w:id="372" w:name="_Toc395604630"/>
      <w:r w:rsidRPr="00CA4465">
        <w:lastRenderedPageBreak/>
        <w:t>1</w:t>
      </w:r>
      <w:r w:rsidR="00133FA5">
        <w:t>5</w:t>
      </w:r>
      <w:r w:rsidR="0017390F" w:rsidRPr="00CA4465">
        <w:t>.</w:t>
      </w:r>
      <w:r w:rsidR="0017390F" w:rsidRPr="00CA4465">
        <w:tab/>
        <w:t>Speedy Trial</w:t>
      </w:r>
      <w:bookmarkEnd w:id="372"/>
    </w:p>
    <w:p w:rsidR="006A5009" w:rsidRPr="00CA4465" w:rsidRDefault="006A5009" w:rsidP="006A5009">
      <w:pPr>
        <w:ind w:left="720"/>
      </w:pPr>
      <w:bookmarkStart w:id="373" w:name="_Toc48979636"/>
      <w:r>
        <w:t>“</w:t>
      </w:r>
      <w:r w:rsidRPr="00CA4465">
        <w:t xml:space="preserve">A speedy-trial </w:t>
      </w:r>
      <w:r>
        <w:t>challenge</w:t>
      </w:r>
      <w:r w:rsidRPr="00CA4465">
        <w:t xml:space="preserve"> presents a constitutional question subject to de novo review.</w:t>
      </w:r>
      <w:r>
        <w:t>”</w:t>
      </w:r>
      <w:r w:rsidRPr="00CA4465">
        <w:t xml:space="preserve">  </w:t>
      </w:r>
      <w:r w:rsidRPr="00CA4465">
        <w:rPr>
          <w:i/>
        </w:rPr>
        <w:t>State v. Griffin</w:t>
      </w:r>
      <w:r w:rsidRPr="00CA4465">
        <w:t>, 760 N.W.2d 336, 339 (Minn. App. 2009).</w:t>
      </w:r>
    </w:p>
    <w:p w:rsidR="004F10A3" w:rsidRPr="00CA4465" w:rsidRDefault="0017390F" w:rsidP="00337FFA">
      <w:pPr>
        <w:pStyle w:val="Heading3"/>
      </w:pPr>
      <w:bookmarkStart w:id="374" w:name="_Toc395604631"/>
      <w:r w:rsidRPr="00CA4465">
        <w:t>1</w:t>
      </w:r>
      <w:r w:rsidR="00133FA5">
        <w:t>6</w:t>
      </w:r>
      <w:r w:rsidR="004F10A3" w:rsidRPr="00CA4465">
        <w:t>.</w:t>
      </w:r>
      <w:r w:rsidR="004F10A3" w:rsidRPr="00CA4465">
        <w:tab/>
        <w:t>Joinder and Severance of Defendants</w:t>
      </w:r>
      <w:bookmarkEnd w:id="373"/>
      <w:bookmarkEnd w:id="374"/>
      <w:r w:rsidR="004F10A3" w:rsidRPr="00CA4465">
        <w:t xml:space="preserve"> </w:t>
      </w:r>
    </w:p>
    <w:p w:rsidR="006A5009" w:rsidRPr="006A5009" w:rsidRDefault="006A5009" w:rsidP="006A5009">
      <w:pPr>
        <w:ind w:left="720"/>
      </w:pPr>
      <w:bookmarkStart w:id="375" w:name="_Toc48979637"/>
      <w:r w:rsidRPr="006A5009">
        <w:t xml:space="preserve">In reviewing the district court’s decision regarding the joinder of defendants, the appellate court makes “an independent inquiry into any substantial prejudice to defendants that may have resulted from their being joined for trial.”  </w:t>
      </w:r>
      <w:r w:rsidRPr="006A5009">
        <w:rPr>
          <w:i/>
        </w:rPr>
        <w:t>State v. Powers</w:t>
      </w:r>
      <w:r w:rsidRPr="006A5009">
        <w:t xml:space="preserve">, 654 N.W.2d 667, 674 (Minn. 2003) (quotation omitted); </w:t>
      </w:r>
      <w:r w:rsidRPr="006A5009">
        <w:rPr>
          <w:i/>
        </w:rPr>
        <w:t>see</w:t>
      </w:r>
      <w:r w:rsidRPr="006A5009">
        <w:t xml:space="preserve"> Minn. R. Crim. P. 17.03, subd. 2 (giving district courts discretion regarding joinder of defendants, and providing factors that the court must consider when determining whether to join defendants).  Severance claims are evaluated under the standard provided in Minn. R. Crim. P. 17.03, subd. 2(1).  </w:t>
      </w:r>
      <w:r w:rsidRPr="006A5009">
        <w:rPr>
          <w:i/>
          <w:iCs/>
        </w:rPr>
        <w:t>Santiago v. State</w:t>
      </w:r>
      <w:r w:rsidRPr="006A5009">
        <w:t>, 644 N.W.2d 425, 444 (Minn. 2002).</w:t>
      </w:r>
    </w:p>
    <w:p w:rsidR="004F10A3" w:rsidRPr="00CA4465" w:rsidRDefault="0017390F" w:rsidP="00337FFA">
      <w:pPr>
        <w:pStyle w:val="Heading3"/>
      </w:pPr>
      <w:bookmarkStart w:id="376" w:name="_Toc395604632"/>
      <w:r w:rsidRPr="00CA4465">
        <w:t>1</w:t>
      </w:r>
      <w:r w:rsidR="00133FA5">
        <w:t>7</w:t>
      </w:r>
      <w:r w:rsidR="004F10A3" w:rsidRPr="00CA4465">
        <w:t>.</w:t>
      </w:r>
      <w:r w:rsidR="004F10A3" w:rsidRPr="00CA4465">
        <w:tab/>
        <w:t>Joinder of Offenses</w:t>
      </w:r>
      <w:bookmarkEnd w:id="375"/>
      <w:bookmarkEnd w:id="376"/>
    </w:p>
    <w:p w:rsidR="006A5009" w:rsidRDefault="006A5009" w:rsidP="006A5009">
      <w:pPr>
        <w:ind w:left="720"/>
      </w:pPr>
      <w:bookmarkStart w:id="377" w:name="_Toc48979638"/>
      <w:r w:rsidRPr="00CA4465">
        <w:t xml:space="preserve">The determination of whether offenses arose from a single behavioral incident so as to permit joinder depends on the facts and circumstances of the case.  </w:t>
      </w:r>
      <w:r w:rsidRPr="00CA4465">
        <w:rPr>
          <w:i/>
          <w:iCs/>
        </w:rPr>
        <w:t>State v. Jackson</w:t>
      </w:r>
      <w:r w:rsidRPr="00CA4465">
        <w:t xml:space="preserve">, 615 N.W.2d 391, 394 (Minn. App. 2000), </w:t>
      </w:r>
      <w:r w:rsidRPr="00CA4465">
        <w:rPr>
          <w:i/>
          <w:iCs/>
        </w:rPr>
        <w:t xml:space="preserve">review denied </w:t>
      </w:r>
      <w:r w:rsidRPr="00CA4465">
        <w:t xml:space="preserve">(Minn. Oct.  17, 2000).  The ultimate question when offenses are improperly joined is one of prejudice.  </w:t>
      </w:r>
      <w:r w:rsidRPr="00CA4465">
        <w:rPr>
          <w:i/>
          <w:iCs/>
        </w:rPr>
        <w:t>State v. Profit</w:t>
      </w:r>
      <w:r w:rsidRPr="00CA4465">
        <w:t xml:space="preserve">, 591 N.W.2d 451, 460 (Minn. 1999).  If the evidence of each offense would have been admissible as </w:t>
      </w:r>
      <w:r w:rsidRPr="00CA4465">
        <w:rPr>
          <w:i/>
          <w:iCs/>
        </w:rPr>
        <w:t xml:space="preserve">Spreigl </w:t>
      </w:r>
      <w:r w:rsidRPr="00CA4465">
        <w:t xml:space="preserve">evidence in the trial of the others, there is no prejudice.  </w:t>
      </w:r>
      <w:r w:rsidRPr="00CA4465">
        <w:rPr>
          <w:i/>
          <w:iCs/>
        </w:rPr>
        <w:t>State v. Conaway</w:t>
      </w:r>
      <w:r w:rsidRPr="00CA4465">
        <w:t>, 319 N.W.2d 35, 42 (Minn. 1982).</w:t>
      </w:r>
    </w:p>
    <w:p w:rsidR="00133FA5" w:rsidRDefault="00133FA5" w:rsidP="00133FA5">
      <w:pPr>
        <w:pStyle w:val="Heading3"/>
      </w:pPr>
      <w:bookmarkStart w:id="378" w:name="_Toc395604633"/>
      <w:r>
        <w:t>18.</w:t>
      </w:r>
      <w:r>
        <w:tab/>
        <w:t>Jurisdiction</w:t>
      </w:r>
      <w:bookmarkEnd w:id="378"/>
    </w:p>
    <w:p w:rsidR="00133FA5" w:rsidRPr="00133FA5" w:rsidRDefault="00133FA5" w:rsidP="00133FA5">
      <w:pPr>
        <w:ind w:left="720"/>
      </w:pPr>
      <w:r w:rsidRPr="00133FA5">
        <w:t xml:space="preserve">“The question of whether subject matter jurisdiction exists is a question of law that we review de novo.”  </w:t>
      </w:r>
      <w:r w:rsidRPr="00133FA5">
        <w:rPr>
          <w:i/>
        </w:rPr>
        <w:t>State v. Vang</w:t>
      </w:r>
      <w:r w:rsidRPr="00133FA5">
        <w:t>, 847 N.W.2d 248, 257-58 (Minn. 2014) (considering question of whether district court had subject matter jurisdiction to consider indictment filed against 23-year-old appellant who committed crime at 14 years of age).</w:t>
      </w:r>
    </w:p>
    <w:p w:rsidR="004F10A3" w:rsidRPr="00CA4465" w:rsidRDefault="004F10A3" w:rsidP="00604DD4">
      <w:pPr>
        <w:pStyle w:val="Heading2"/>
      </w:pPr>
      <w:bookmarkStart w:id="379" w:name="_Toc395604634"/>
      <w:r w:rsidRPr="00CA4465">
        <w:t>C.</w:t>
      </w:r>
      <w:r w:rsidRPr="00CA4465">
        <w:tab/>
        <w:t>TRIAL MATTERS</w:t>
      </w:r>
      <w:bookmarkEnd w:id="377"/>
      <w:bookmarkEnd w:id="379"/>
      <w:r w:rsidRPr="00CA4465">
        <w:t xml:space="preserve"> </w:t>
      </w:r>
      <w:bookmarkStart w:id="380" w:name="_Toc48979639"/>
    </w:p>
    <w:p w:rsidR="004F10A3" w:rsidRPr="00CA4465" w:rsidRDefault="004F10A3" w:rsidP="00337FFA">
      <w:pPr>
        <w:pStyle w:val="Heading3"/>
      </w:pPr>
      <w:bookmarkStart w:id="381" w:name="_Toc395604635"/>
      <w:r w:rsidRPr="00CA4465">
        <w:t>1.</w:t>
      </w:r>
      <w:r w:rsidRPr="00CA4465">
        <w:tab/>
        <w:t>Jury Selection</w:t>
      </w:r>
      <w:bookmarkEnd w:id="380"/>
      <w:bookmarkEnd w:id="381"/>
      <w:r w:rsidRPr="00CA4465">
        <w:t xml:space="preserve"> </w:t>
      </w:r>
      <w:bookmarkStart w:id="382" w:name="_Toc48979640"/>
    </w:p>
    <w:p w:rsidR="004F10A3" w:rsidRPr="00CA4465" w:rsidRDefault="004F10A3" w:rsidP="00300AEE">
      <w:pPr>
        <w:pStyle w:val="Heading4"/>
      </w:pPr>
      <w:bookmarkStart w:id="383" w:name="_Toc395604636"/>
      <w:r w:rsidRPr="00CA4465">
        <w:t>a.</w:t>
      </w:r>
      <w:r w:rsidRPr="00CA4465">
        <w:tab/>
        <w:t>Peremptory Challenges</w:t>
      </w:r>
      <w:bookmarkEnd w:id="382"/>
      <w:bookmarkEnd w:id="383"/>
      <w:r w:rsidRPr="00CA4465">
        <w:t xml:space="preserve"> </w:t>
      </w:r>
    </w:p>
    <w:p w:rsidR="004F10A3" w:rsidRPr="00CA4465" w:rsidRDefault="004F10A3" w:rsidP="006A4E16">
      <w:pPr>
        <w:keepNext/>
        <w:ind w:left="1440"/>
      </w:pPr>
      <w:r w:rsidRPr="00CA4465">
        <w:t xml:space="preserve">The district court has discretion to allow or deny the use of a peremptory challenge after the right to make the challenge has expired and before the entire jury has been impaneled.  </w:t>
      </w:r>
      <w:r w:rsidRPr="00CA4465">
        <w:rPr>
          <w:i/>
        </w:rPr>
        <w:t>State v. Kitto</w:t>
      </w:r>
      <w:r w:rsidRPr="00CA4465">
        <w:t>, 373 N.W.2d 307, 3</w:t>
      </w:r>
      <w:r w:rsidR="000229DA" w:rsidRPr="00CA4465">
        <w:t>10-</w:t>
      </w:r>
      <w:r w:rsidRPr="00CA4465">
        <w:t>11 (Minn. 1985).</w:t>
      </w:r>
    </w:p>
    <w:p w:rsidR="004F10A3" w:rsidRPr="00CA4465" w:rsidRDefault="004F10A3" w:rsidP="006A4E16">
      <w:pPr>
        <w:ind w:left="1440"/>
      </w:pPr>
    </w:p>
    <w:p w:rsidR="004F10A3" w:rsidRPr="00CA4465" w:rsidRDefault="004F10A3" w:rsidP="00E17A10">
      <w:pPr>
        <w:ind w:left="1440"/>
      </w:pPr>
      <w:r w:rsidRPr="00CA4465">
        <w:t xml:space="preserve">The district court’s erroneous denial of a peremptory challenge automatically entitles </w:t>
      </w:r>
      <w:r w:rsidR="00063F46" w:rsidRPr="00CA4465">
        <w:t xml:space="preserve">a defendant </w:t>
      </w:r>
      <w:r w:rsidRPr="00CA4465">
        <w:t xml:space="preserve">to a new trial without a showing of prejudice.  </w:t>
      </w:r>
      <w:r w:rsidRPr="00CA4465">
        <w:rPr>
          <w:i/>
        </w:rPr>
        <w:t>State v. Reiners</w:t>
      </w:r>
      <w:r w:rsidRPr="00CA4465">
        <w:t>, 664 N.W.2d 826, 835 (Minn. 2003).</w:t>
      </w:r>
      <w:bookmarkStart w:id="384" w:name="_Toc48979641"/>
    </w:p>
    <w:p w:rsidR="004F10A3" w:rsidRDefault="004F10A3" w:rsidP="00300AEE">
      <w:pPr>
        <w:pStyle w:val="Heading4"/>
      </w:pPr>
      <w:bookmarkStart w:id="385" w:name="_Toc395604637"/>
      <w:r w:rsidRPr="00CA4465">
        <w:lastRenderedPageBreak/>
        <w:t>b.</w:t>
      </w:r>
      <w:r w:rsidRPr="00CA4465">
        <w:tab/>
        <w:t>Batson Challenges</w:t>
      </w:r>
      <w:bookmarkEnd w:id="384"/>
      <w:bookmarkEnd w:id="385"/>
      <w:r w:rsidRPr="00CA4465">
        <w:t xml:space="preserve"> </w:t>
      </w:r>
    </w:p>
    <w:p w:rsidR="006921A4" w:rsidRPr="006921A4" w:rsidRDefault="006921A4" w:rsidP="006921A4">
      <w:pPr>
        <w:pStyle w:val="Heading5"/>
      </w:pPr>
      <w:bookmarkStart w:id="386" w:name="_Toc395604638"/>
      <w:r>
        <w:t>(1)</w:t>
      </w:r>
      <w:r w:rsidR="00181694">
        <w:tab/>
      </w:r>
      <w:r w:rsidRPr="006921A4">
        <w:t>General</w:t>
      </w:r>
      <w:bookmarkEnd w:id="386"/>
    </w:p>
    <w:p w:rsidR="006921A4" w:rsidRDefault="006921A4" w:rsidP="006921A4">
      <w:pPr>
        <w:keepNext/>
        <w:ind w:left="2160"/>
      </w:pPr>
      <w:bookmarkStart w:id="387" w:name="_Toc48979642"/>
      <w:r w:rsidRPr="00CA4465">
        <w:t xml:space="preserve">The district court’s determination on a </w:t>
      </w:r>
      <w:r w:rsidRPr="00CA4465">
        <w:rPr>
          <w:i/>
        </w:rPr>
        <w:t>Batson</w:t>
      </w:r>
      <w:r w:rsidRPr="00CA4465">
        <w:t xml:space="preserve"> challenge will not be reversed unless clearly erroneous.  </w:t>
      </w:r>
      <w:r w:rsidRPr="00CA4465">
        <w:rPr>
          <w:i/>
        </w:rPr>
        <w:t>State v. McDonough</w:t>
      </w:r>
      <w:r w:rsidRPr="00CA4465">
        <w:t>, 631 N.W.2d 373, 385 (Minn. 2001).</w:t>
      </w:r>
    </w:p>
    <w:p w:rsidR="006921A4" w:rsidRDefault="006921A4" w:rsidP="006921A4">
      <w:pPr>
        <w:keepNext/>
        <w:ind w:left="2160"/>
      </w:pPr>
    </w:p>
    <w:p w:rsidR="006921A4" w:rsidRDefault="006921A4" w:rsidP="006921A4">
      <w:pPr>
        <w:ind w:left="2160"/>
      </w:pPr>
      <w:r w:rsidRPr="00CA4465">
        <w:t xml:space="preserve">“We are mindful of the unique position of a district court to determine, based on all relevant factors, whether the circumstances of the case raise an inference that the challenge was based upon race. We have consistently given deference to the district court’s rulings on </w:t>
      </w:r>
      <w:r w:rsidRPr="00CA4465">
        <w:rPr>
          <w:i/>
        </w:rPr>
        <w:t>Batson</w:t>
      </w:r>
      <w:r w:rsidRPr="00CA4465">
        <w:t xml:space="preserve"> issues, realizing that the record may not accurately reflect all relevant circumstances that may properly be considered.”  </w:t>
      </w:r>
      <w:r w:rsidRPr="00CA4465">
        <w:rPr>
          <w:i/>
        </w:rPr>
        <w:t>State v. White</w:t>
      </w:r>
      <w:r w:rsidRPr="00CA4465">
        <w:t>, 684 N.W.2d 500, 506 (Minn. 2004) (citation</w:t>
      </w:r>
      <w:r>
        <w:t>s</w:t>
      </w:r>
      <w:r w:rsidRPr="00CA4465">
        <w:t xml:space="preserve"> omitted).</w:t>
      </w:r>
    </w:p>
    <w:p w:rsidR="006921A4" w:rsidRDefault="006921A4" w:rsidP="006921A4">
      <w:pPr>
        <w:ind w:left="2160"/>
      </w:pPr>
    </w:p>
    <w:p w:rsidR="006921A4" w:rsidRDefault="006921A4" w:rsidP="006921A4">
      <w:pPr>
        <w:ind w:left="2160"/>
      </w:pPr>
      <w:r>
        <w:t xml:space="preserve">The supreme court has emphasized “[t]he importance of clarity at each step of the analysis,” but when the district court fails to follow this “prescribed procedure” the appellate courts will “examine the record without deferring to the district court’s analysis.”  </w:t>
      </w:r>
      <w:r>
        <w:rPr>
          <w:i/>
        </w:rPr>
        <w:t>State v. Seaver</w:t>
      </w:r>
      <w:r>
        <w:t>, 820 N.W.2d 627, 633 (Minn. App. 2012) (</w:t>
      </w:r>
      <w:r w:rsidR="001C66ED">
        <w:t>quotations</w:t>
      </w:r>
      <w:r>
        <w:t xml:space="preserve"> omitted).   </w:t>
      </w:r>
    </w:p>
    <w:p w:rsidR="006921A4" w:rsidRPr="006921A4" w:rsidRDefault="006921A4" w:rsidP="006921A4">
      <w:pPr>
        <w:pStyle w:val="Heading5"/>
      </w:pPr>
      <w:bookmarkStart w:id="388" w:name="_Toc395604639"/>
      <w:r>
        <w:t>(2)</w:t>
      </w:r>
      <w:r>
        <w:tab/>
      </w:r>
      <w:r w:rsidRPr="008B7513">
        <w:t>Prong one</w:t>
      </w:r>
      <w:r w:rsidR="0070608C" w:rsidRPr="008B7513">
        <w:t>—</w:t>
      </w:r>
      <w:r w:rsidRPr="008B7513">
        <w:t>prima facie case of discrimination</w:t>
      </w:r>
      <w:bookmarkEnd w:id="388"/>
    </w:p>
    <w:p w:rsidR="006921A4" w:rsidRPr="006921A4" w:rsidRDefault="006921A4" w:rsidP="006921A4">
      <w:pPr>
        <w:ind w:left="2160"/>
        <w:rPr>
          <w:i/>
        </w:rPr>
      </w:pPr>
      <w:r w:rsidRPr="00CA4465">
        <w:t xml:space="preserve">“[U]pon review of a district court’s determination under step one of the </w:t>
      </w:r>
      <w:r w:rsidRPr="00CA4465">
        <w:rPr>
          <w:i/>
        </w:rPr>
        <w:t>Batson</w:t>
      </w:r>
      <w:r w:rsidRPr="00CA4465">
        <w:t xml:space="preserve"> process that a prima facie showing of discrimination has not been established, we will reverse only in the face of clear error.”  </w:t>
      </w:r>
      <w:r w:rsidRPr="00CA4465">
        <w:rPr>
          <w:i/>
        </w:rPr>
        <w:t>State v. White</w:t>
      </w:r>
      <w:r w:rsidRPr="00CA4465">
        <w:t>, 684 N.W.2d 500, 507 (Minn. 2004).</w:t>
      </w:r>
    </w:p>
    <w:p w:rsidR="006921A4" w:rsidRPr="006921A4" w:rsidRDefault="006921A4" w:rsidP="006921A4">
      <w:pPr>
        <w:pStyle w:val="Heading5"/>
      </w:pPr>
      <w:bookmarkStart w:id="389" w:name="_Toc395604640"/>
      <w:r>
        <w:t>(3)</w:t>
      </w:r>
      <w:r w:rsidR="00181694">
        <w:tab/>
      </w:r>
      <w:r w:rsidRPr="008B7513">
        <w:t>Prong three—purposeful discrimination</w:t>
      </w:r>
      <w:bookmarkEnd w:id="389"/>
    </w:p>
    <w:p w:rsidR="006921A4" w:rsidRPr="00CA4465" w:rsidRDefault="006921A4" w:rsidP="006921A4">
      <w:pPr>
        <w:ind w:left="2160"/>
      </w:pPr>
      <w:r w:rsidRPr="00CA4465">
        <w:t xml:space="preserve">Whether racial discrimination in the exercise of a peremptory challenge has been shown “is an essentially factual determination, which typically will turn largely on an evaluation by the [district] court of credibility.”  </w:t>
      </w:r>
      <w:r w:rsidRPr="00CA4465">
        <w:rPr>
          <w:i/>
        </w:rPr>
        <w:t>State v. James</w:t>
      </w:r>
      <w:r w:rsidRPr="00CA4465">
        <w:t xml:space="preserve">, 520 N.W.2d 399, 403-04 (Minn. 1994) (quotation omitted).  “A [district] court’s determination of the genuineness of the prosecutor’s response is entitled to great deference on review.”  </w:t>
      </w:r>
      <w:r w:rsidRPr="00CA4465">
        <w:rPr>
          <w:i/>
          <w:iCs/>
        </w:rPr>
        <w:t>Id.</w:t>
      </w:r>
      <w:r w:rsidRPr="00CA4465">
        <w:rPr>
          <w:i/>
        </w:rPr>
        <w:t xml:space="preserve"> </w:t>
      </w:r>
      <w:r w:rsidRPr="00CA4465">
        <w:t>at 404 (quotation</w:t>
      </w:r>
      <w:r>
        <w:t>s</w:t>
      </w:r>
      <w:r w:rsidRPr="00CA4465">
        <w:t xml:space="preserve"> omitted).  The clearly erroneous standard of review applies to this factual determination.  </w:t>
      </w:r>
      <w:r w:rsidRPr="00CA4465">
        <w:rPr>
          <w:i/>
          <w:iCs/>
        </w:rPr>
        <w:t>Id.</w:t>
      </w:r>
    </w:p>
    <w:p w:rsidR="006921A4" w:rsidRPr="00962BF5" w:rsidRDefault="006921A4" w:rsidP="006921A4">
      <w:pPr>
        <w:ind w:left="720"/>
        <w:rPr>
          <w:i/>
        </w:rPr>
      </w:pPr>
    </w:p>
    <w:p w:rsidR="006921A4" w:rsidRPr="006921A4" w:rsidRDefault="006921A4" w:rsidP="006921A4">
      <w:pPr>
        <w:ind w:left="2160"/>
        <w:rPr>
          <w:i/>
          <w:iCs/>
        </w:rPr>
      </w:pPr>
      <w:r w:rsidRPr="00CA4465">
        <w:t>Appellate courts give “considerable deference” to district court findings on whether a peremptory challenge was motivated by p</w:t>
      </w:r>
      <w:r>
        <w:t>rohibited discriminatory intent</w:t>
      </w:r>
      <w:r w:rsidRPr="00CA4465">
        <w:t xml:space="preserve"> because the issue typically requires an evaluation of the prosecutor’s credibility.  </w:t>
      </w:r>
      <w:r w:rsidRPr="00CA4465">
        <w:rPr>
          <w:i/>
        </w:rPr>
        <w:t>State v. Johnson</w:t>
      </w:r>
      <w:r w:rsidRPr="00CA4465">
        <w:t xml:space="preserve">, 616 N.W.2d 720, 725 (Minn. 2000).  Appellate courts must determine whether the district court “abused its considerable discretion” in determining that a “prosecutor did not engage in purposeful discrimination.”  </w:t>
      </w:r>
      <w:r w:rsidRPr="00CA4465">
        <w:rPr>
          <w:i/>
          <w:iCs/>
        </w:rPr>
        <w:t>Id.</w:t>
      </w:r>
    </w:p>
    <w:p w:rsidR="004F10A3" w:rsidRPr="00CA4465" w:rsidRDefault="004F10A3" w:rsidP="00300AEE">
      <w:pPr>
        <w:pStyle w:val="Heading4"/>
      </w:pPr>
      <w:bookmarkStart w:id="390" w:name="_Toc395604641"/>
      <w:r w:rsidRPr="00CA4465">
        <w:lastRenderedPageBreak/>
        <w:t>c.</w:t>
      </w:r>
      <w:r w:rsidRPr="00CA4465">
        <w:tab/>
        <w:t>Challenges for Cause</w:t>
      </w:r>
      <w:bookmarkEnd w:id="387"/>
      <w:bookmarkEnd w:id="390"/>
    </w:p>
    <w:p w:rsidR="006921A4" w:rsidRDefault="006921A4" w:rsidP="006921A4">
      <w:pPr>
        <w:ind w:left="1440"/>
      </w:pPr>
      <w:bookmarkStart w:id="391" w:name="_Toc48979643"/>
      <w:r w:rsidRPr="00CA4465">
        <w:t xml:space="preserve">The district court is in the best position to determine whether prospective jurors can be impartial because it hears their testimony and observes their demeanor.  </w:t>
      </w:r>
      <w:r w:rsidRPr="00CA4465">
        <w:rPr>
          <w:i/>
        </w:rPr>
        <w:t>State v. Drieman</w:t>
      </w:r>
      <w:r w:rsidRPr="00CA4465">
        <w:t xml:space="preserve">, 457 N.W.2d 703, 708-09 (Minn. 1990).  The district court’s resolution of whether a prospective juror’s protestation of impartiality is credible is </w:t>
      </w:r>
      <w:r>
        <w:t xml:space="preserve">a </w:t>
      </w:r>
      <w:r w:rsidRPr="00CA4465">
        <w:t xml:space="preserve">determination of credibility and demeanor </w:t>
      </w:r>
      <w:r>
        <w:t xml:space="preserve">and, therefore, is </w:t>
      </w:r>
      <w:r w:rsidRPr="00CA4465">
        <w:t xml:space="preserve">entitled to </w:t>
      </w:r>
      <w:r>
        <w:t>“</w:t>
      </w:r>
      <w:r w:rsidRPr="00CA4465">
        <w:t>special deference.</w:t>
      </w:r>
      <w:r>
        <w:t>”</w:t>
      </w:r>
      <w:r w:rsidRPr="00CA4465">
        <w:t xml:space="preserve">  </w:t>
      </w:r>
      <w:r w:rsidRPr="00CA4465">
        <w:rPr>
          <w:i/>
        </w:rPr>
        <w:t>State v. Logan</w:t>
      </w:r>
      <w:r w:rsidRPr="00CA4465">
        <w:t>, 535 N.W.2d 320, 323 (Minn. 1995).</w:t>
      </w:r>
    </w:p>
    <w:p w:rsidR="006921A4" w:rsidRDefault="006921A4" w:rsidP="006921A4">
      <w:pPr>
        <w:ind w:left="1440"/>
      </w:pPr>
    </w:p>
    <w:p w:rsidR="006921A4" w:rsidRPr="00AE4698" w:rsidRDefault="006921A4" w:rsidP="006921A4">
      <w:pPr>
        <w:ind w:left="1440"/>
      </w:pPr>
      <w:r>
        <w:t>Removals for cause are reviewed under an abuse</w:t>
      </w:r>
      <w:r w:rsidR="006C46C6">
        <w:t>-</w:t>
      </w:r>
      <w:r>
        <w:t>of</w:t>
      </w:r>
      <w:r w:rsidR="006C46C6">
        <w:t>-</w:t>
      </w:r>
      <w:r>
        <w:t xml:space="preserve">discretion standard.  </w:t>
      </w:r>
      <w:r>
        <w:rPr>
          <w:i/>
        </w:rPr>
        <w:t>State v. Spangler</w:t>
      </w:r>
      <w:r>
        <w:t xml:space="preserve">, 816 N.W.2d 651, 653 (Minn. App. 2012), </w:t>
      </w:r>
      <w:r>
        <w:rPr>
          <w:i/>
        </w:rPr>
        <w:t xml:space="preserve">review denied </w:t>
      </w:r>
      <w:r>
        <w:t xml:space="preserve">(Minn. Aug. 21, 2012).  </w:t>
      </w:r>
    </w:p>
    <w:p w:rsidR="004F10A3" w:rsidRPr="00CA4465" w:rsidRDefault="004F10A3" w:rsidP="00337FFA">
      <w:pPr>
        <w:pStyle w:val="Heading3"/>
      </w:pPr>
      <w:bookmarkStart w:id="392" w:name="_Toc395604642"/>
      <w:r w:rsidRPr="00CA4465">
        <w:t>2.</w:t>
      </w:r>
      <w:r w:rsidRPr="00CA4465">
        <w:tab/>
        <w:t>Trial Management</w:t>
      </w:r>
      <w:bookmarkEnd w:id="391"/>
      <w:bookmarkEnd w:id="392"/>
      <w:r w:rsidRPr="00CA4465">
        <w:t xml:space="preserve"> </w:t>
      </w:r>
      <w:bookmarkStart w:id="393" w:name="_Toc48979644"/>
    </w:p>
    <w:p w:rsidR="00A31B8C" w:rsidRDefault="004F10A3" w:rsidP="00300AEE">
      <w:pPr>
        <w:pStyle w:val="Heading4"/>
      </w:pPr>
      <w:bookmarkStart w:id="394" w:name="_Toc395604643"/>
      <w:r w:rsidRPr="00CA4465">
        <w:t>a.</w:t>
      </w:r>
      <w:r w:rsidRPr="00CA4465">
        <w:tab/>
      </w:r>
      <w:r w:rsidR="00A31B8C">
        <w:t>Removal of Judge</w:t>
      </w:r>
      <w:bookmarkEnd w:id="394"/>
    </w:p>
    <w:p w:rsidR="00A31B8C" w:rsidRPr="00703390" w:rsidRDefault="00A31B8C" w:rsidP="00A31B8C">
      <w:pPr>
        <w:ind w:left="1440"/>
      </w:pPr>
      <w:r w:rsidRPr="00A31B8C">
        <w:t xml:space="preserve">“A judicial officer’s authority to conduct a trial is a legal question that we review de novo.”  </w:t>
      </w:r>
      <w:r w:rsidRPr="00A31B8C">
        <w:rPr>
          <w:i/>
        </w:rPr>
        <w:t>State v. Irby</w:t>
      </w:r>
      <w:r w:rsidRPr="00A31B8C">
        <w:t>, 848 N.W.2d 515, ___ (Minn. 2014) (applying de novo review on appeal despite failure to object to judge presiding at trial because the issue involves a “fundamental question of judicial authority”).</w:t>
      </w:r>
    </w:p>
    <w:p w:rsidR="004F10A3" w:rsidRPr="00E17A10" w:rsidRDefault="00A31B8C" w:rsidP="00300AEE">
      <w:pPr>
        <w:pStyle w:val="Heading4"/>
      </w:pPr>
      <w:bookmarkStart w:id="395" w:name="_Toc395604644"/>
      <w:r>
        <w:t>b.</w:t>
      </w:r>
      <w:r>
        <w:tab/>
      </w:r>
      <w:r w:rsidR="004F10A3" w:rsidRPr="00CA4465">
        <w:t>Sanctions for Discovery Violations</w:t>
      </w:r>
      <w:bookmarkEnd w:id="395"/>
      <w:r w:rsidR="004F10A3" w:rsidRPr="00CA4465">
        <w:t xml:space="preserve">  </w:t>
      </w:r>
    </w:p>
    <w:p w:rsidR="006921A4" w:rsidRDefault="006921A4" w:rsidP="006921A4">
      <w:pPr>
        <w:keepNext/>
        <w:ind w:left="1440"/>
      </w:pPr>
      <w:r w:rsidRPr="00CA4465">
        <w:t xml:space="preserve">“[District] courts have broad discretion in imposing sanctions for violations of the discovery rules.”  </w:t>
      </w:r>
      <w:r w:rsidRPr="00CA4465">
        <w:rPr>
          <w:i/>
        </w:rPr>
        <w:t>State v. Patterson</w:t>
      </w:r>
      <w:r w:rsidRPr="00CA4465">
        <w:t xml:space="preserve">, 587 N.W.2d 45, 50 (Minn. 1998).  The appellate court will not overturn the district court’s ruling absent a clear abuse of discretion.  </w:t>
      </w:r>
      <w:r w:rsidRPr="00CA4465">
        <w:rPr>
          <w:i/>
        </w:rPr>
        <w:t xml:space="preserve">Id. </w:t>
      </w:r>
      <w:r w:rsidRPr="00CA4465">
        <w:t xml:space="preserve"> “Despite the [district] court’s broad discretion, ‘[p]reclusion of evidence is a severe sanction which should not be lightly invoked.’” </w:t>
      </w:r>
      <w:r w:rsidRPr="00CA4465">
        <w:rPr>
          <w:i/>
        </w:rPr>
        <w:t xml:space="preserve">Id. </w:t>
      </w:r>
      <w:r w:rsidRPr="00CA4465">
        <w:t xml:space="preserve">(quoting </w:t>
      </w:r>
      <w:r w:rsidRPr="00CA4465">
        <w:rPr>
          <w:i/>
        </w:rPr>
        <w:t>State v. Lindsey</w:t>
      </w:r>
      <w:r w:rsidRPr="00CA4465">
        <w:t>, 284 N.W.2d 368, 374 (Minn. 1979)).</w:t>
      </w:r>
    </w:p>
    <w:p w:rsidR="006921A4" w:rsidRDefault="006921A4" w:rsidP="006921A4">
      <w:pPr>
        <w:keepNext/>
        <w:ind w:left="1440"/>
      </w:pPr>
    </w:p>
    <w:p w:rsidR="006921A4" w:rsidRDefault="006921A4" w:rsidP="006921A4">
      <w:pPr>
        <w:keepNext/>
        <w:ind w:left="1440"/>
      </w:pPr>
      <w:r>
        <w:t xml:space="preserve">The reviewing court should not order a new trial to remedy a discovery violation unless the evidence would have affected the outcome of the trial.  </w:t>
      </w:r>
      <w:r>
        <w:rPr>
          <w:i/>
        </w:rPr>
        <w:t>State v. Clobes</w:t>
      </w:r>
      <w:r>
        <w:t xml:space="preserve">, 422 N.W.2d 252, 255 (Minn. 1988).  </w:t>
      </w:r>
    </w:p>
    <w:p w:rsidR="0068302E" w:rsidRDefault="00A31B8C" w:rsidP="0068302E">
      <w:pPr>
        <w:pStyle w:val="Heading4"/>
      </w:pPr>
      <w:bookmarkStart w:id="396" w:name="_Toc395604645"/>
      <w:r>
        <w:t>c</w:t>
      </w:r>
      <w:r w:rsidR="0068302E">
        <w:t>.</w:t>
      </w:r>
      <w:r w:rsidR="0068302E">
        <w:tab/>
        <w:t>Sequestration/Courtroom Closure</w:t>
      </w:r>
      <w:bookmarkEnd w:id="396"/>
    </w:p>
    <w:p w:rsidR="0068302E" w:rsidRDefault="0068302E" w:rsidP="0068302E">
      <w:pPr>
        <w:ind w:left="1440"/>
      </w:pPr>
      <w:r>
        <w:t xml:space="preserve">Sequestration of defendant’s family and friends during voir dire is a question of constitutional law because it involves the right to a public trial, which is reviewed de novo.  </w:t>
      </w:r>
      <w:r>
        <w:rPr>
          <w:i/>
        </w:rPr>
        <w:t>State v. Zornes</w:t>
      </w:r>
      <w:r>
        <w:t xml:space="preserve">, 831 N.W.2d 609, 618 (Minn. 2013).  But because the district court has “substantial discretion in conducting voir dire,” the question of whether the court’s conduct during voir fell within the contours of that right is reviewed for an abuse of discretion.  </w:t>
      </w:r>
      <w:r>
        <w:rPr>
          <w:i/>
        </w:rPr>
        <w:t xml:space="preserve">Id.  </w:t>
      </w:r>
      <w:r>
        <w:t>(</w:t>
      </w:r>
      <w:r w:rsidR="00C03215">
        <w:t>quotation</w:t>
      </w:r>
      <w:r>
        <w:t xml:space="preserve"> omitted).  </w:t>
      </w:r>
    </w:p>
    <w:p w:rsidR="0068302E" w:rsidRDefault="0068302E" w:rsidP="0068302E">
      <w:pPr>
        <w:ind w:left="1440"/>
      </w:pPr>
    </w:p>
    <w:p w:rsidR="0068302E" w:rsidRPr="004556F4" w:rsidRDefault="00C03215" w:rsidP="0068302E">
      <w:pPr>
        <w:ind w:left="1440"/>
      </w:pPr>
      <w:r>
        <w:t>The q</w:t>
      </w:r>
      <w:r w:rsidR="0068302E">
        <w:t xml:space="preserve">uestion of whether the closing of the courtroom violated the right to a public trial is a constitutional issue the appellate courts review de novo.  </w:t>
      </w:r>
      <w:r w:rsidR="0068302E">
        <w:rPr>
          <w:i/>
        </w:rPr>
        <w:t>State v. Brown</w:t>
      </w:r>
      <w:r w:rsidR="0068302E">
        <w:t>, 815 N.W.2d 609, 616 (Minn. 2012).</w:t>
      </w:r>
    </w:p>
    <w:p w:rsidR="004F10A3" w:rsidRPr="00CA4465" w:rsidRDefault="00A31B8C" w:rsidP="00300AEE">
      <w:pPr>
        <w:pStyle w:val="Heading4"/>
      </w:pPr>
      <w:bookmarkStart w:id="397" w:name="_Toc395604646"/>
      <w:r>
        <w:lastRenderedPageBreak/>
        <w:t>d</w:t>
      </w:r>
      <w:r w:rsidR="004F10A3" w:rsidRPr="00CA4465">
        <w:t>.</w:t>
      </w:r>
      <w:r w:rsidR="004F10A3" w:rsidRPr="00CA4465">
        <w:tab/>
        <w:t>Trial in Absentia</w:t>
      </w:r>
      <w:bookmarkEnd w:id="393"/>
      <w:bookmarkEnd w:id="397"/>
      <w:r w:rsidR="004F10A3" w:rsidRPr="00CA4465">
        <w:t xml:space="preserve"> </w:t>
      </w:r>
    </w:p>
    <w:p w:rsidR="0068302E" w:rsidRPr="00CA4465" w:rsidRDefault="0068302E" w:rsidP="0068302E">
      <w:pPr>
        <w:ind w:left="1440"/>
      </w:pPr>
      <w:bookmarkStart w:id="398" w:name="_Toc48979645"/>
      <w:r w:rsidRPr="00CA4465">
        <w:t xml:space="preserve">The decision to proceed with trial in absentia is reviewed under an abuse-of-discretion standard.  </w:t>
      </w:r>
      <w:r w:rsidRPr="00CA4465">
        <w:rPr>
          <w:i/>
          <w:iCs/>
        </w:rPr>
        <w:t>State v. Cassidy</w:t>
      </w:r>
      <w:r w:rsidRPr="00CA4465">
        <w:t xml:space="preserve">, 567 N.W.2d 707, 709 (Minn. 1997).  The district court’s factual findings will not be disturbed unless clearly erroneous.  </w:t>
      </w:r>
      <w:r w:rsidRPr="00CA4465">
        <w:rPr>
          <w:i/>
          <w:iCs/>
        </w:rPr>
        <w:t>Id.</w:t>
      </w:r>
      <w:r w:rsidRPr="00CA4465">
        <w:t xml:space="preserve"> at 709-10.  The district court, however, has </w:t>
      </w:r>
      <w:r>
        <w:t>“</w:t>
      </w:r>
      <w:r w:rsidRPr="00CA4465">
        <w:t>only a narrow discretion</w:t>
      </w:r>
      <w:r>
        <w:t>”</w:t>
      </w:r>
      <w:r w:rsidRPr="00CA4465">
        <w:t xml:space="preserve"> in deciding whether to proceed with trial in the defendant</w:t>
      </w:r>
      <w:r>
        <w:t>’s absence because the right to be present at trial must be safeguarded.</w:t>
      </w:r>
      <w:r w:rsidRPr="00CA4465">
        <w:t xml:space="preserve">  </w:t>
      </w:r>
      <w:r w:rsidRPr="00CA4465">
        <w:rPr>
          <w:i/>
          <w:iCs/>
        </w:rPr>
        <w:t>Id.</w:t>
      </w:r>
      <w:r w:rsidRPr="00CA4465">
        <w:t xml:space="preserve"> at 710.</w:t>
      </w:r>
    </w:p>
    <w:p w:rsidR="004F10A3" w:rsidRPr="00CA4465" w:rsidRDefault="00A31B8C" w:rsidP="00300AEE">
      <w:pPr>
        <w:pStyle w:val="Heading4"/>
      </w:pPr>
      <w:bookmarkStart w:id="399" w:name="_Toc395604647"/>
      <w:r>
        <w:t>e</w:t>
      </w:r>
      <w:r w:rsidR="004F10A3" w:rsidRPr="00CA4465">
        <w:t>.</w:t>
      </w:r>
      <w:r w:rsidR="004F10A3" w:rsidRPr="00CA4465">
        <w:tab/>
        <w:t>Restraints on Defendant</w:t>
      </w:r>
      <w:bookmarkEnd w:id="398"/>
      <w:bookmarkEnd w:id="399"/>
      <w:r w:rsidR="004F10A3" w:rsidRPr="00CA4465">
        <w:t xml:space="preserve"> </w:t>
      </w:r>
    </w:p>
    <w:p w:rsidR="004F10A3" w:rsidRPr="00E17A10" w:rsidRDefault="004F10A3" w:rsidP="00E17A10">
      <w:pPr>
        <w:ind w:left="1440"/>
        <w:rPr>
          <w:b/>
        </w:rPr>
      </w:pPr>
      <w:r w:rsidRPr="00CA4465">
        <w:t xml:space="preserve">The decision to require a criminal defendant to wear restraints during trial is within the discretion of the district court and will not be overturned absent an abuse of discretion.  </w:t>
      </w:r>
      <w:r w:rsidRPr="00CA4465">
        <w:rPr>
          <w:i/>
        </w:rPr>
        <w:t>State v. Chambers</w:t>
      </w:r>
      <w:r w:rsidRPr="00CA4465">
        <w:t>, 589 N.W.2d 466, 475 (Minn. 1999).</w:t>
      </w:r>
      <w:bookmarkStart w:id="400" w:name="_Toc48979646"/>
    </w:p>
    <w:p w:rsidR="004F10A3" w:rsidRPr="00CA4465" w:rsidRDefault="00A31B8C" w:rsidP="00300AEE">
      <w:pPr>
        <w:pStyle w:val="Heading4"/>
      </w:pPr>
      <w:bookmarkStart w:id="401" w:name="_Toc395604648"/>
      <w:r>
        <w:t>f</w:t>
      </w:r>
      <w:r w:rsidR="004F10A3" w:rsidRPr="00CA4465">
        <w:t>.</w:t>
      </w:r>
      <w:r w:rsidR="004F10A3" w:rsidRPr="00CA4465">
        <w:tab/>
        <w:t>Unruly Defendant</w:t>
      </w:r>
      <w:bookmarkEnd w:id="400"/>
      <w:bookmarkEnd w:id="401"/>
      <w:r w:rsidR="004F10A3" w:rsidRPr="00CA4465">
        <w:t xml:space="preserve"> </w:t>
      </w:r>
    </w:p>
    <w:p w:rsidR="00D64E19" w:rsidRPr="00CA4465" w:rsidRDefault="004F10A3" w:rsidP="00E17A10">
      <w:pPr>
        <w:ind w:left="1440"/>
      </w:pPr>
      <w:r w:rsidRPr="00CA4465">
        <w:t xml:space="preserve">The district court has broad discretion in dealing with “disruptive, contumacious, stubbornly defiant defendants.”  </w:t>
      </w:r>
      <w:r w:rsidRPr="00CA4465">
        <w:rPr>
          <w:i/>
        </w:rPr>
        <w:t>State v. Richards</w:t>
      </w:r>
      <w:r w:rsidRPr="00CA4465">
        <w:t xml:space="preserve">, 495 N.W.2d 187, 197 (Minn. 1992). </w:t>
      </w:r>
    </w:p>
    <w:p w:rsidR="004F10A3" w:rsidRPr="00CA4465" w:rsidRDefault="00A31B8C" w:rsidP="00300AEE">
      <w:pPr>
        <w:pStyle w:val="Heading4"/>
      </w:pPr>
      <w:bookmarkStart w:id="402" w:name="_Toc395604649"/>
      <w:r>
        <w:t>g</w:t>
      </w:r>
      <w:r w:rsidR="00D64E19" w:rsidRPr="00CA4465">
        <w:t>.</w:t>
      </w:r>
      <w:r w:rsidR="00D64E19" w:rsidRPr="00CA4465">
        <w:tab/>
        <w:t>Mistrial</w:t>
      </w:r>
      <w:bookmarkStart w:id="403" w:name="_Toc48979647"/>
      <w:bookmarkEnd w:id="402"/>
    </w:p>
    <w:p w:rsidR="00D64E19" w:rsidRPr="00CA4465" w:rsidRDefault="00D64E19" w:rsidP="00E17A10">
      <w:pPr>
        <w:keepNext/>
        <w:ind w:left="1440"/>
      </w:pPr>
      <w:r w:rsidRPr="00CA4465">
        <w:t xml:space="preserve">The denial of a motion for a mistrial is reviewed for abuse of discretion.  </w:t>
      </w:r>
      <w:r w:rsidRPr="00CA4465">
        <w:rPr>
          <w:i/>
        </w:rPr>
        <w:t>State v. Jorgens</w:t>
      </w:r>
      <w:r w:rsidR="00B80D3E" w:rsidRPr="00CA4465">
        <w:rPr>
          <w:i/>
        </w:rPr>
        <w:t>e</w:t>
      </w:r>
      <w:r w:rsidRPr="00CA4465">
        <w:rPr>
          <w:i/>
        </w:rPr>
        <w:t>n</w:t>
      </w:r>
      <w:r w:rsidRPr="00CA4465">
        <w:t>, 660 N.W.2d 127, 133 (Minn. 2003) (mistrial motion based on prosecutorial misconduct</w:t>
      </w:r>
      <w:r w:rsidR="00C03215">
        <w:t>)</w:t>
      </w:r>
      <w:r w:rsidRPr="00CA4465">
        <w:t xml:space="preserve">; </w:t>
      </w:r>
      <w:r w:rsidRPr="00CA4465">
        <w:rPr>
          <w:i/>
        </w:rPr>
        <w:t>State v. Spann</w:t>
      </w:r>
      <w:r w:rsidRPr="00CA4465">
        <w:t>, 574 N.W.2d 47, 52 (Minn. 1998) (mistrial based on prosecutorial misconduct in failing to provide discovery).</w:t>
      </w:r>
    </w:p>
    <w:p w:rsidR="004F10A3" w:rsidRPr="00CA4465" w:rsidRDefault="004F10A3" w:rsidP="00337FFA">
      <w:pPr>
        <w:pStyle w:val="Heading3"/>
      </w:pPr>
      <w:bookmarkStart w:id="404" w:name="_Toc395604650"/>
      <w:r w:rsidRPr="00CA4465">
        <w:t>3.</w:t>
      </w:r>
      <w:r w:rsidRPr="00CA4465">
        <w:tab/>
        <w:t>Evidentiary Rulings</w:t>
      </w:r>
      <w:bookmarkEnd w:id="403"/>
      <w:bookmarkEnd w:id="404"/>
      <w:r w:rsidRPr="00CA4465">
        <w:t xml:space="preserve"> </w:t>
      </w:r>
      <w:bookmarkStart w:id="405" w:name="_Toc48979648"/>
    </w:p>
    <w:p w:rsidR="004F10A3" w:rsidRPr="00CA4465" w:rsidRDefault="004F10A3" w:rsidP="00300AEE">
      <w:pPr>
        <w:pStyle w:val="Heading4"/>
      </w:pPr>
      <w:bookmarkStart w:id="406" w:name="_Toc395604651"/>
      <w:r w:rsidRPr="00CA4465">
        <w:t>a.</w:t>
      </w:r>
      <w:r w:rsidRPr="00CA4465">
        <w:tab/>
        <w:t>In General</w:t>
      </w:r>
      <w:bookmarkEnd w:id="405"/>
      <w:bookmarkEnd w:id="406"/>
      <w:r w:rsidRPr="00CA4465">
        <w:t xml:space="preserve"> </w:t>
      </w:r>
    </w:p>
    <w:p w:rsidR="00BA5237" w:rsidRPr="00E17A10" w:rsidRDefault="004F10A3" w:rsidP="00E17A10">
      <w:pPr>
        <w:ind w:left="1440"/>
      </w:pPr>
      <w:r w:rsidRPr="00CA4465">
        <w:t xml:space="preserve">“Evidentiary rulings rest within the sound discretion of the </w:t>
      </w:r>
      <w:r w:rsidR="00A14F2D" w:rsidRPr="00CA4465">
        <w:t>[district]</w:t>
      </w:r>
      <w:r w:rsidRPr="00CA4465">
        <w:t xml:space="preserve"> court and will not be reversed absent a clear abuse of discretion.  On appeal, the appellant has the burden of establishing that the </w:t>
      </w:r>
      <w:r w:rsidR="00A14F2D" w:rsidRPr="00CA4465">
        <w:t>[district]</w:t>
      </w:r>
      <w:r w:rsidRPr="00CA4465">
        <w:t xml:space="preserve"> court abused its discretion and that appellant was thereby prejudiced.”  </w:t>
      </w:r>
      <w:r w:rsidRPr="00CA4465">
        <w:rPr>
          <w:i/>
        </w:rPr>
        <w:t>State v. Amos</w:t>
      </w:r>
      <w:r w:rsidRPr="00CA4465">
        <w:t xml:space="preserve">, 658 N.W.2d 201, 203 (Minn. 2003) (citation omitted). </w:t>
      </w:r>
      <w:bookmarkStart w:id="407" w:name="_Toc48979649"/>
    </w:p>
    <w:p w:rsidR="004F10A3" w:rsidRPr="00CA4465" w:rsidRDefault="004F10A3" w:rsidP="00300AEE">
      <w:pPr>
        <w:pStyle w:val="Heading4"/>
      </w:pPr>
      <w:bookmarkStart w:id="408" w:name="_Toc395604652"/>
      <w:r w:rsidRPr="00CA4465">
        <w:t>b.</w:t>
      </w:r>
      <w:r w:rsidRPr="00CA4465">
        <w:tab/>
        <w:t>Harmless Error</w:t>
      </w:r>
      <w:bookmarkEnd w:id="407"/>
      <w:bookmarkEnd w:id="408"/>
      <w:r w:rsidRPr="00CA4465">
        <w:t xml:space="preserve"> </w:t>
      </w:r>
    </w:p>
    <w:p w:rsidR="0068302E" w:rsidRDefault="0068302E" w:rsidP="0068302E">
      <w:pPr>
        <w:ind w:left="1440"/>
      </w:pPr>
      <w:bookmarkStart w:id="409" w:name="_Toc48979650"/>
      <w:r>
        <w:t xml:space="preserve">“When an error implicates a constitutional right, we will award a new trial unless the error is harmless beyond a reasonable doubt.  An error is harmless beyond a reasonable doubt if the jury’s verdict was surely unattributable to the error.”  </w:t>
      </w:r>
      <w:r>
        <w:rPr>
          <w:i/>
        </w:rPr>
        <w:t>State v. Davis</w:t>
      </w:r>
      <w:r>
        <w:t>, 820 N.W.2d 525, 533 (Minn. 2012)</w:t>
      </w:r>
      <w:r w:rsidR="00C03215">
        <w:t xml:space="preserve"> (citation and quotation omitted)</w:t>
      </w:r>
      <w:r>
        <w:t xml:space="preserve">.  </w:t>
      </w:r>
    </w:p>
    <w:p w:rsidR="0068302E" w:rsidRDefault="0068302E" w:rsidP="0068302E">
      <w:pPr>
        <w:ind w:left="1440"/>
      </w:pPr>
      <w:r>
        <w:t xml:space="preserve"> </w:t>
      </w:r>
    </w:p>
    <w:p w:rsidR="0068302E" w:rsidRPr="00CA4465" w:rsidRDefault="0068302E" w:rsidP="0068302E">
      <w:pPr>
        <w:ind w:left="1440"/>
      </w:pPr>
      <w:r>
        <w:t xml:space="preserve">Harmless beyond a reasonable doubt means that “the reviewing court must be </w:t>
      </w:r>
      <w:r w:rsidRPr="00CA4465">
        <w:t>satisfied beyond a reasonable doubt that if the evidence had been admitted and the damaging potential of</w:t>
      </w:r>
      <w:r>
        <w:t xml:space="preserve"> the evidence fully realized, a [reasonable]</w:t>
      </w:r>
      <w:r w:rsidRPr="00CA4465">
        <w:t xml:space="preserve"> jury </w:t>
      </w:r>
      <w:r>
        <w:t xml:space="preserve">. . . </w:t>
      </w:r>
      <w:r w:rsidRPr="00CA4465">
        <w:t xml:space="preserve">would </w:t>
      </w:r>
      <w:r w:rsidRPr="00CA4465">
        <w:lastRenderedPageBreak/>
        <w:t xml:space="preserve">have reached the same verdict.”  </w:t>
      </w:r>
      <w:r w:rsidRPr="00CA4465">
        <w:rPr>
          <w:i/>
        </w:rPr>
        <w:t>State v. Post</w:t>
      </w:r>
      <w:r w:rsidRPr="00CA4465">
        <w:t xml:space="preserve">, </w:t>
      </w:r>
      <w:r>
        <w:t>512 N.W.2d 99, 102 (Minn. 1994) (analyzing the impact of district court’s erroneous exclusion of defense evidence).</w:t>
      </w:r>
      <w:r w:rsidRPr="00CA4465">
        <w:t xml:space="preserve">  But if there is a reasonable possibility that the verdict might have been different if the evidence had been admitted, the</w:t>
      </w:r>
      <w:r>
        <w:t>n the</w:t>
      </w:r>
      <w:r w:rsidRPr="00CA4465">
        <w:t xml:space="preserve"> error is prejudicial.  </w:t>
      </w:r>
      <w:r w:rsidRPr="00CA4465">
        <w:rPr>
          <w:i/>
          <w:iCs/>
        </w:rPr>
        <w:t>Id.</w:t>
      </w:r>
    </w:p>
    <w:p w:rsidR="0068302E" w:rsidRPr="00CA4465" w:rsidRDefault="0068302E" w:rsidP="0068302E"/>
    <w:p w:rsidR="0068302E" w:rsidRPr="00CA4465" w:rsidRDefault="0068302E" w:rsidP="0068302E">
      <w:pPr>
        <w:ind w:left="1440"/>
      </w:pPr>
      <w:r w:rsidRPr="00CA4465">
        <w:t xml:space="preserve">If the district court has erred in admitting evidence, the reviewing court determines whether there is a reasonable possibility that the wrongfully admitted evidence significantly affected the verdict.  </w:t>
      </w:r>
      <w:r w:rsidRPr="00CA4465">
        <w:rPr>
          <w:i/>
        </w:rPr>
        <w:t>State v. Post</w:t>
      </w:r>
      <w:r w:rsidRPr="00CA4465">
        <w:t xml:space="preserve">, 512 N.W.2d 99, 102 n.2 (Minn. 1994).  If there is a reasonable possibility that the verdict might have been more favorable to the defendant without the evidence, then the error is prejudicial.  </w:t>
      </w:r>
      <w:r w:rsidRPr="00CA4465">
        <w:rPr>
          <w:i/>
          <w:iCs/>
        </w:rPr>
        <w:t>Id.</w:t>
      </w:r>
    </w:p>
    <w:p w:rsidR="0068302E" w:rsidRPr="00CA4465" w:rsidRDefault="0068302E" w:rsidP="0068302E"/>
    <w:p w:rsidR="0068302E" w:rsidRPr="00CA4465" w:rsidRDefault="0068302E" w:rsidP="0068302E">
      <w:pPr>
        <w:ind w:left="1440"/>
      </w:pPr>
      <w:r w:rsidRPr="00CA4465">
        <w:t>In completing a “harmless error impact” analysis, the inquiry is not whether the jury could have convicted the defendant without the error</w:t>
      </w:r>
      <w:r>
        <w:t xml:space="preserve">; rather, we must determine </w:t>
      </w:r>
      <w:r w:rsidRPr="00CA4465">
        <w:t xml:space="preserve">what effect the error had on the jury’s verdict, “and more specifically, whether the jury’s verdict is ‘surely unattributable’ to [the error].”  </w:t>
      </w:r>
      <w:r w:rsidRPr="00CA4465">
        <w:rPr>
          <w:i/>
        </w:rPr>
        <w:t>State v. King</w:t>
      </w:r>
      <w:r w:rsidRPr="00CA4465">
        <w:t xml:space="preserve">, 622 N.W.2d 800, 811 (Minn. 2001) (quoting </w:t>
      </w:r>
      <w:r w:rsidRPr="00CA4465">
        <w:rPr>
          <w:i/>
        </w:rPr>
        <w:t>State v. Juarez</w:t>
      </w:r>
      <w:r w:rsidRPr="00CA4465">
        <w:t>, 572 N.W.2d 286, 292 (Minn. 1997)).</w:t>
      </w:r>
    </w:p>
    <w:p w:rsidR="0068302E" w:rsidRPr="00CA4465" w:rsidRDefault="0068302E" w:rsidP="0068302E">
      <w:pPr>
        <w:ind w:left="1440"/>
      </w:pPr>
    </w:p>
    <w:p w:rsidR="0068302E" w:rsidRDefault="0068302E" w:rsidP="0068302E">
      <w:pPr>
        <w:ind w:left="1440"/>
      </w:pPr>
      <w:r w:rsidRPr="00CA4465">
        <w:t>In conducting this</w:t>
      </w:r>
      <w:r>
        <w:t xml:space="preserve"> analysis, </w:t>
      </w:r>
      <w:r w:rsidRPr="00CA4465">
        <w:t xml:space="preserve">the reviewing court considers </w:t>
      </w:r>
      <w:r>
        <w:t>“</w:t>
      </w:r>
      <w:r w:rsidRPr="00CA4465">
        <w:t xml:space="preserve">the manner in which the evidence was presented, whether it was highly persuasive, whether it was used in closing argument, and whether </w:t>
      </w:r>
      <w:r>
        <w:t>the defense effectively countered it</w:t>
      </w:r>
      <w:r w:rsidRPr="00CA4465">
        <w:t xml:space="preserve">.”  </w:t>
      </w:r>
      <w:r w:rsidRPr="00CA4465">
        <w:rPr>
          <w:i/>
        </w:rPr>
        <w:t>Townsend v. State</w:t>
      </w:r>
      <w:r w:rsidRPr="00CA4465">
        <w:t>, 646 N.W.2d 218, 223 (Minn. 2002).</w:t>
      </w:r>
    </w:p>
    <w:p w:rsidR="0068302E" w:rsidRDefault="0068302E" w:rsidP="0068302E">
      <w:pPr>
        <w:ind w:left="1440"/>
      </w:pPr>
    </w:p>
    <w:p w:rsidR="0068302E" w:rsidRPr="001B0657" w:rsidRDefault="0068302E" w:rsidP="0068302E">
      <w:pPr>
        <w:ind w:left="1440"/>
      </w:pPr>
      <w:r>
        <w:t xml:space="preserve">“If no constitutional right was implicated, we will reverse only if the district court’s error ‘substantially influenced[d] the jury’s decision.’”  </w:t>
      </w:r>
      <w:r>
        <w:rPr>
          <w:i/>
        </w:rPr>
        <w:t>State v. Vang</w:t>
      </w:r>
      <w:r>
        <w:t>, 774 N.W.2d 566, 576 (Minn. 2009).</w:t>
      </w:r>
    </w:p>
    <w:p w:rsidR="004F10A3" w:rsidRPr="00CA4465" w:rsidRDefault="004F10A3" w:rsidP="00300AEE">
      <w:pPr>
        <w:pStyle w:val="Heading4"/>
      </w:pPr>
      <w:bookmarkStart w:id="410" w:name="_Toc395604653"/>
      <w:r w:rsidRPr="00CA4465">
        <w:t>c.</w:t>
      </w:r>
      <w:r w:rsidRPr="00CA4465">
        <w:tab/>
        <w:t>Plain Error</w:t>
      </w:r>
      <w:bookmarkEnd w:id="409"/>
      <w:bookmarkEnd w:id="410"/>
      <w:r w:rsidRPr="00CA4465">
        <w:t xml:space="preserve"> </w:t>
      </w:r>
    </w:p>
    <w:p w:rsidR="0068302E" w:rsidRPr="00CA4465" w:rsidRDefault="0068302E" w:rsidP="0068302E">
      <w:pPr>
        <w:ind w:left="1440"/>
      </w:pPr>
      <w:bookmarkStart w:id="411" w:name="_Toc48979651"/>
      <w:r w:rsidRPr="00CA4465">
        <w:t xml:space="preserve">Where a defendant fails to object to the admission of evidence, our review is under the plain error standard.  </w:t>
      </w:r>
      <w:r w:rsidRPr="00CA4465">
        <w:rPr>
          <w:i/>
        </w:rPr>
        <w:t>See</w:t>
      </w:r>
      <w:r w:rsidRPr="00CA4465">
        <w:t xml:space="preserve"> Minn. R. Crim. P. 31.02; </w:t>
      </w:r>
      <w:r w:rsidRPr="00CA4465">
        <w:rPr>
          <w:i/>
        </w:rPr>
        <w:t>State v. Griller</w:t>
      </w:r>
      <w:r w:rsidRPr="00CA4465">
        <w:t xml:space="preserve">, 583 N.W.2d 736, 740 (Minn. 1998).  “The plain error standard requires that the defendant show:  (1) error; (2) that was plain; and (3) that affected substantial rights.”  </w:t>
      </w:r>
      <w:r w:rsidRPr="00CA4465">
        <w:rPr>
          <w:i/>
        </w:rPr>
        <w:t>State v. Strommen</w:t>
      </w:r>
      <w:r w:rsidRPr="00CA4465">
        <w:t xml:space="preserve">, 648 N.W.2d 681, 686 (Minn. 2002) (citing </w:t>
      </w:r>
      <w:r w:rsidRPr="00CA4465">
        <w:rPr>
          <w:i/>
          <w:iCs/>
        </w:rPr>
        <w:t>Griller</w:t>
      </w:r>
      <w:r w:rsidRPr="00CA4465">
        <w:t xml:space="preserve">, 583 N.W.2d at 740 (citing </w:t>
      </w:r>
      <w:r w:rsidRPr="00CA4465">
        <w:rPr>
          <w:i/>
        </w:rPr>
        <w:t>Johnson v. United States</w:t>
      </w:r>
      <w:r w:rsidRPr="00CA4465">
        <w:t xml:space="preserve">, 520 U.S. 461, 466-67, 117 S. Ct. 1544, 1548-49 (1997))). </w:t>
      </w:r>
      <w:r>
        <w:t xml:space="preserve"> The third prong is satisfied if there is a “reasonable likelihood that the error had a significant effect on the verdict.” </w:t>
      </w:r>
      <w:r w:rsidRPr="00CA4465">
        <w:t xml:space="preserve"> </w:t>
      </w:r>
      <w:r>
        <w:rPr>
          <w:i/>
        </w:rPr>
        <w:t>See State v. Vance</w:t>
      </w:r>
      <w:r>
        <w:t xml:space="preserve">, 734 N.W.2d 650, 660 n.8 (Minn. 2007), </w:t>
      </w:r>
      <w:r>
        <w:rPr>
          <w:i/>
        </w:rPr>
        <w:t>overruled on other grounds by State v. Fleck</w:t>
      </w:r>
      <w:r>
        <w:t xml:space="preserve">, 810 N.W.2d 303 (Minn. 2012).  </w:t>
      </w:r>
      <w:r w:rsidRPr="00CA4465">
        <w:t xml:space="preserve">“If those three prongs are met, we may correct the error only if it ‘seriously affect[s] the fairness, integrity, or public reputation of judicial proceedings.’”  </w:t>
      </w:r>
      <w:r>
        <w:rPr>
          <w:i/>
          <w:iCs/>
        </w:rPr>
        <w:t>Strommen</w:t>
      </w:r>
      <w:r>
        <w:rPr>
          <w:iCs/>
        </w:rPr>
        <w:t>, 648 N.W.2d at 686</w:t>
      </w:r>
      <w:r w:rsidRPr="00CA4465">
        <w:rPr>
          <w:i/>
          <w:iCs/>
        </w:rPr>
        <w:t xml:space="preserve"> </w:t>
      </w:r>
      <w:r w:rsidRPr="00CA4465">
        <w:t xml:space="preserve">(quoting </w:t>
      </w:r>
      <w:r w:rsidRPr="00CA4465">
        <w:rPr>
          <w:i/>
        </w:rPr>
        <w:t>State v. Crowsbreast</w:t>
      </w:r>
      <w:r w:rsidRPr="00CA4465">
        <w:t>, 629 N.W.2d 433, 437 (Minn. 2001)).</w:t>
      </w:r>
      <w:r>
        <w:t xml:space="preserve">  (In general, the term “forfeiture” applies to the failure to object, which permits only review for plain error.  </w:t>
      </w:r>
      <w:r>
        <w:rPr>
          <w:i/>
        </w:rPr>
        <w:t>Vance</w:t>
      </w:r>
      <w:r w:rsidRPr="00324868">
        <w:t>, 734 N.W.2d at</w:t>
      </w:r>
      <w:r>
        <w:t xml:space="preserve"> </w:t>
      </w:r>
      <w:r w:rsidRPr="00324868">
        <w:t>654-55</w:t>
      </w:r>
      <w:r>
        <w:t xml:space="preserve">. </w:t>
      </w:r>
      <w:r>
        <w:rPr>
          <w:i/>
        </w:rPr>
        <w:t xml:space="preserve"> </w:t>
      </w:r>
      <w:r>
        <w:t xml:space="preserve">The term “waiver” refers to “affirmative waiver,” which requires more than mere silence.  </w:t>
      </w:r>
      <w:r>
        <w:rPr>
          <w:i/>
        </w:rPr>
        <w:t>See id.</w:t>
      </w:r>
      <w:r>
        <w:t xml:space="preserve"> at 655).</w:t>
      </w:r>
      <w:r w:rsidRPr="00CA4465">
        <w:t xml:space="preserve"> </w:t>
      </w:r>
    </w:p>
    <w:p w:rsidR="00A31B8C" w:rsidRDefault="004F10A3" w:rsidP="00300AEE">
      <w:pPr>
        <w:pStyle w:val="Heading4"/>
      </w:pPr>
      <w:bookmarkStart w:id="412" w:name="_Toc395604654"/>
      <w:r w:rsidRPr="00CA4465">
        <w:lastRenderedPageBreak/>
        <w:t>d.</w:t>
      </w:r>
      <w:r w:rsidRPr="00CA4465">
        <w:tab/>
      </w:r>
      <w:r w:rsidR="00A31B8C">
        <w:t>Privilege</w:t>
      </w:r>
      <w:bookmarkEnd w:id="412"/>
    </w:p>
    <w:p w:rsidR="00A31B8C" w:rsidRPr="00AF3804" w:rsidRDefault="00A31B8C" w:rsidP="00A31B8C">
      <w:pPr>
        <w:ind w:left="1440"/>
      </w:pPr>
      <w:r w:rsidRPr="00A31B8C">
        <w:t xml:space="preserve">“The availability of a privilege established by statute ‘is an evidentiary ruling to be determined by the [district] court and reviewed based on an abuse of discretion standard.’”  </w:t>
      </w:r>
      <w:r w:rsidRPr="00A31B8C">
        <w:rPr>
          <w:i/>
        </w:rPr>
        <w:t>State v. Expose</w:t>
      </w:r>
      <w:r w:rsidRPr="00A31B8C">
        <w:t xml:space="preserve">, ___ N.W.2d ___, ___ (Minn. App. 2014) (quoting </w:t>
      </w:r>
      <w:r w:rsidRPr="00A31B8C">
        <w:rPr>
          <w:i/>
        </w:rPr>
        <w:t>State v. Gianakos</w:t>
      </w:r>
      <w:r w:rsidRPr="00A31B8C">
        <w:t xml:space="preserve">, 644 N.W.2d 409, 415 (Minn. 2002)).  But the “determination of ‘whether a particular testimonial privilege or exception exists . . . is a question of law’ that we review de novo.”  </w:t>
      </w:r>
      <w:r w:rsidRPr="00A31B8C">
        <w:rPr>
          <w:i/>
        </w:rPr>
        <w:t>Id.</w:t>
      </w:r>
    </w:p>
    <w:p w:rsidR="004F10A3" w:rsidRPr="00CA4465" w:rsidRDefault="00A31B8C" w:rsidP="00300AEE">
      <w:pPr>
        <w:pStyle w:val="Heading4"/>
      </w:pPr>
      <w:bookmarkStart w:id="413" w:name="_Toc395604655"/>
      <w:r>
        <w:t>e.</w:t>
      </w:r>
      <w:r>
        <w:tab/>
      </w:r>
      <w:r w:rsidR="004F10A3" w:rsidRPr="00CA4465">
        <w:t>Expert</w:t>
      </w:r>
      <w:r w:rsidR="007A027F">
        <w:t>-</w:t>
      </w:r>
      <w:r w:rsidR="004F10A3" w:rsidRPr="00CA4465">
        <w:t>Witness Testimony</w:t>
      </w:r>
      <w:bookmarkEnd w:id="411"/>
      <w:bookmarkEnd w:id="413"/>
      <w:r w:rsidR="004F10A3" w:rsidRPr="00CA4465">
        <w:t xml:space="preserve"> </w:t>
      </w:r>
    </w:p>
    <w:p w:rsidR="0068302E" w:rsidRPr="00CA4465" w:rsidRDefault="0068302E" w:rsidP="0068302E">
      <w:pPr>
        <w:ind w:left="1440"/>
      </w:pPr>
      <w:bookmarkStart w:id="414" w:name="_Toc48979652"/>
      <w:r w:rsidRPr="00CA4465">
        <w:t xml:space="preserve">“The admission of expert testimony is within the broad discretion accorded </w:t>
      </w:r>
      <w:r>
        <w:t xml:space="preserve">[to] </w:t>
      </w:r>
      <w:r w:rsidRPr="00CA4465">
        <w:t xml:space="preserve">a [district] court, and rulings regarding materiality, foundation, remoteness, relevancy, or the cumulative nature of the evidence may be reversed only if the [district] court clearly abused its discretion.”  </w:t>
      </w:r>
      <w:r w:rsidRPr="00CA4465">
        <w:rPr>
          <w:i/>
        </w:rPr>
        <w:t>State v. Ritt</w:t>
      </w:r>
      <w:r w:rsidRPr="00CA4465">
        <w:t xml:space="preserve">, 599 N.W.2d 802, 810 (Minn. 1999) (quotation and citations omitted); </w:t>
      </w:r>
      <w:r w:rsidRPr="00CA4465">
        <w:rPr>
          <w:i/>
        </w:rPr>
        <w:t>see also State v.</w:t>
      </w:r>
      <w:r w:rsidRPr="00CA4465">
        <w:t xml:space="preserve"> </w:t>
      </w:r>
      <w:r w:rsidRPr="00CA4465">
        <w:rPr>
          <w:i/>
        </w:rPr>
        <w:t>Grecinger</w:t>
      </w:r>
      <w:r w:rsidRPr="00CA4465">
        <w:t>, 569 N.W.2d 189, 194 (Minn. 1997) (stating that reversal requires “apparent error”).</w:t>
      </w:r>
    </w:p>
    <w:p w:rsidR="0068302E" w:rsidRPr="00CA4465" w:rsidRDefault="0068302E" w:rsidP="0068302E"/>
    <w:p w:rsidR="0068302E" w:rsidRPr="00CA4465" w:rsidRDefault="0068302E" w:rsidP="0068302E">
      <w:pPr>
        <w:ind w:left="1440"/>
      </w:pPr>
      <w:r w:rsidRPr="00CA4465">
        <w:t xml:space="preserve">Appellate courts defer to the fact-finder’s determination of weight and credibility of expert witnesses.  </w:t>
      </w:r>
      <w:r w:rsidRPr="00CA4465">
        <w:rPr>
          <w:i/>
        </w:rPr>
        <w:t>State v. Triplett</w:t>
      </w:r>
      <w:r w:rsidRPr="00CA4465">
        <w:t xml:space="preserve">, 435 N.W.2d 38, 44 (Minn. 1989). </w:t>
      </w:r>
    </w:p>
    <w:p w:rsidR="0068302E" w:rsidRPr="00CA4465" w:rsidRDefault="0068302E" w:rsidP="0068302E">
      <w:pPr>
        <w:ind w:left="1440"/>
      </w:pPr>
    </w:p>
    <w:p w:rsidR="0068302E" w:rsidRPr="00CA4465" w:rsidRDefault="0068302E" w:rsidP="0068302E">
      <w:pPr>
        <w:ind w:left="1440"/>
      </w:pPr>
      <w:r w:rsidRPr="00CA4465">
        <w:t xml:space="preserve">When reviewing the admission of expert testimony, appellate courts review de novo </w:t>
      </w:r>
      <w:r>
        <w:t>“</w:t>
      </w:r>
      <w:r w:rsidRPr="00CA4465">
        <w:t xml:space="preserve">whether a particular technique is generally accepted in the relevant scientific field, and review under </w:t>
      </w:r>
      <w:r>
        <w:t>an</w:t>
      </w:r>
      <w:r w:rsidRPr="00CA4465">
        <w:t xml:space="preserve"> abuse-of-discretion standard whether </w:t>
      </w:r>
      <w:r>
        <w:t>an</w:t>
      </w:r>
      <w:r w:rsidRPr="00CA4465">
        <w:t xml:space="preserve"> expert witness is qualified and the testimony </w:t>
      </w:r>
      <w:r>
        <w:t>[</w:t>
      </w:r>
      <w:r w:rsidRPr="00CA4465">
        <w:t>is</w:t>
      </w:r>
      <w:r>
        <w:t>]</w:t>
      </w:r>
      <w:r w:rsidRPr="00CA4465">
        <w:t xml:space="preserve"> helpful to the jury.</w:t>
      </w:r>
      <w:r>
        <w:t>”</w:t>
      </w:r>
      <w:r w:rsidRPr="00CA4465">
        <w:t xml:space="preserve">  </w:t>
      </w:r>
      <w:r w:rsidRPr="00CA4465">
        <w:rPr>
          <w:i/>
        </w:rPr>
        <w:t>State v. Pirsig</w:t>
      </w:r>
      <w:r w:rsidRPr="00CA4465">
        <w:t xml:space="preserve">, 670 N.W.2d 610, 616 (Minn. App. 2003), </w:t>
      </w:r>
      <w:r w:rsidRPr="00CA4465">
        <w:rPr>
          <w:i/>
        </w:rPr>
        <w:t>review denied</w:t>
      </w:r>
      <w:r w:rsidRPr="00CA4465">
        <w:t xml:space="preserve"> (Minn. Jan. 20, 2004).</w:t>
      </w:r>
    </w:p>
    <w:p w:rsidR="004F10A3" w:rsidRPr="00E17A10" w:rsidRDefault="00A31B8C" w:rsidP="00300AEE">
      <w:pPr>
        <w:pStyle w:val="Heading4"/>
      </w:pPr>
      <w:bookmarkStart w:id="415" w:name="_Toc395604656"/>
      <w:r>
        <w:t>f</w:t>
      </w:r>
      <w:r w:rsidR="004F10A3" w:rsidRPr="00CA4465">
        <w:t>.</w:t>
      </w:r>
      <w:r w:rsidR="004F10A3" w:rsidRPr="00CA4465">
        <w:tab/>
        <w:t>Identification Evidence</w:t>
      </w:r>
      <w:bookmarkEnd w:id="414"/>
      <w:bookmarkEnd w:id="415"/>
      <w:r w:rsidR="004F10A3" w:rsidRPr="00CA4465">
        <w:t xml:space="preserve"> </w:t>
      </w:r>
    </w:p>
    <w:p w:rsidR="0068302E" w:rsidRPr="00CA4465" w:rsidRDefault="0068302E" w:rsidP="0068302E">
      <w:pPr>
        <w:ind w:left="1440"/>
      </w:pPr>
      <w:bookmarkStart w:id="416" w:name="_Toc48979653"/>
      <w:r w:rsidRPr="00CA4465">
        <w:t xml:space="preserve">If an identification procedure is found to be unnecessarily suggestive, the court must determine under the “totality of the circumstances” whether the identification created “a very substantial likelihood of irreparable misidentification.”  </w:t>
      </w:r>
      <w:r w:rsidRPr="00CA4465">
        <w:rPr>
          <w:i/>
        </w:rPr>
        <w:t>State v. Taylor</w:t>
      </w:r>
      <w:r w:rsidRPr="00CA4465">
        <w:t xml:space="preserve">, 594 N.W.2d 158, 161 (Minn. 1999) (quoting </w:t>
      </w:r>
      <w:r w:rsidRPr="00CA4465">
        <w:rPr>
          <w:i/>
        </w:rPr>
        <w:t>Simmons v. United States</w:t>
      </w:r>
      <w:r w:rsidRPr="00CA4465">
        <w:t xml:space="preserve">, 390 U.S. 377, 384, 88 S. Ct. 967, 971 (1968)); </w:t>
      </w:r>
      <w:r w:rsidRPr="00CA4465">
        <w:rPr>
          <w:i/>
        </w:rPr>
        <w:t>see also State v. Ostrem</w:t>
      </w:r>
      <w:r w:rsidRPr="00CA4465">
        <w:t>, 535 N.W.2d 916, 921 (Minn. 1995).</w:t>
      </w:r>
    </w:p>
    <w:p w:rsidR="0068302E" w:rsidRPr="00CA4465" w:rsidRDefault="0068302E" w:rsidP="0068302E">
      <w:pPr>
        <w:rPr>
          <w:b/>
        </w:rPr>
      </w:pPr>
    </w:p>
    <w:p w:rsidR="0068302E" w:rsidRPr="00CA4465" w:rsidRDefault="0068302E" w:rsidP="0068302E">
      <w:pPr>
        <w:ind w:left="1440"/>
      </w:pPr>
      <w:r w:rsidRPr="00CA4465">
        <w:t xml:space="preserve">Error in admission of tainted pretrial identification does not require a new trial if the state can show beyond a reasonable doubt that the error was harmless.  </w:t>
      </w:r>
      <w:r w:rsidRPr="00CA4465">
        <w:rPr>
          <w:i/>
        </w:rPr>
        <w:t>State v. Jones</w:t>
      </w:r>
      <w:r w:rsidRPr="00CA4465">
        <w:t xml:space="preserve">, 556 N.W.2d 903, 913 (Minn. 1996). </w:t>
      </w:r>
    </w:p>
    <w:p w:rsidR="004F10A3" w:rsidRPr="00CA4465" w:rsidRDefault="00A31B8C" w:rsidP="00300AEE">
      <w:pPr>
        <w:pStyle w:val="Heading4"/>
      </w:pPr>
      <w:bookmarkStart w:id="417" w:name="_Toc395604657"/>
      <w:r>
        <w:t>g</w:t>
      </w:r>
      <w:r w:rsidR="004F10A3" w:rsidRPr="00CA4465">
        <w:t>.</w:t>
      </w:r>
      <w:r w:rsidR="004F10A3" w:rsidRPr="00CA4465">
        <w:tab/>
        <w:t>Prior Bad Acts Evidence</w:t>
      </w:r>
      <w:bookmarkEnd w:id="416"/>
      <w:bookmarkEnd w:id="417"/>
      <w:r w:rsidR="004F10A3" w:rsidRPr="00CA4465">
        <w:t xml:space="preserve"> </w:t>
      </w:r>
    </w:p>
    <w:p w:rsidR="0068302E" w:rsidRDefault="00D1284A" w:rsidP="0068302E">
      <w:pPr>
        <w:ind w:left="1440"/>
      </w:pPr>
      <w:bookmarkStart w:id="418" w:name="_Toc48979654"/>
      <w:r>
        <w:t>“</w:t>
      </w:r>
      <w:r w:rsidR="0068302E" w:rsidRPr="00CA4465">
        <w:t xml:space="preserve">A </w:t>
      </w:r>
      <w:r w:rsidR="0068302E">
        <w:t>defendant who claims the district court erred in admitting evidence bears the burden of showing the error and any resulting prejudice.</w:t>
      </w:r>
      <w:r>
        <w:t>”</w:t>
      </w:r>
      <w:r w:rsidR="0068302E">
        <w:t xml:space="preserve">  </w:t>
      </w:r>
      <w:r w:rsidR="0068302E">
        <w:rPr>
          <w:i/>
        </w:rPr>
        <w:t>State v. Kennedy</w:t>
      </w:r>
      <w:r w:rsidR="0068302E">
        <w:t xml:space="preserve">, 585 N.W.2d 385, 389 (Minn. 1998).  </w:t>
      </w:r>
    </w:p>
    <w:p w:rsidR="0068302E" w:rsidRDefault="0068302E" w:rsidP="0068302E">
      <w:pPr>
        <w:ind w:left="1440"/>
      </w:pPr>
    </w:p>
    <w:p w:rsidR="0068302E" w:rsidRPr="00CA4465" w:rsidRDefault="0068302E" w:rsidP="0068302E">
      <w:pPr>
        <w:ind w:left="1440"/>
      </w:pPr>
      <w:r>
        <w:lastRenderedPageBreak/>
        <w:t>A</w:t>
      </w:r>
      <w:r>
        <w:rPr>
          <w:i/>
        </w:rPr>
        <w:t xml:space="preserve"> </w:t>
      </w:r>
      <w:r w:rsidRPr="00CA4465">
        <w:t xml:space="preserve">reviewing court will not reverse the district court’s admission of evidence of other crimes or bad acts unless an abuse of discretion is clearly shown.  </w:t>
      </w:r>
      <w:r w:rsidRPr="00CA4465">
        <w:rPr>
          <w:i/>
        </w:rPr>
        <w:t>State v. Scruggs</w:t>
      </w:r>
      <w:r w:rsidRPr="00CA4465">
        <w:t xml:space="preserve">, 421 N.W.2d 707, 715 (Minn. 1988).  To prevail, an appellant must show error and the prejudice resulting from the error.  </w:t>
      </w:r>
      <w:r w:rsidRPr="00CA4465">
        <w:rPr>
          <w:i/>
        </w:rPr>
        <w:t>State v. Loebach</w:t>
      </w:r>
      <w:r w:rsidRPr="00CA4465">
        <w:t>, 310 N.W.2d 58, 64 (Minn. 1981).</w:t>
      </w:r>
    </w:p>
    <w:p w:rsidR="0068302E" w:rsidRPr="00CA4465" w:rsidRDefault="0068302E" w:rsidP="0068302E">
      <w:pPr>
        <w:ind w:left="1440"/>
      </w:pPr>
    </w:p>
    <w:p w:rsidR="0068302E" w:rsidRPr="00CA4465" w:rsidRDefault="0068302E" w:rsidP="0068302E">
      <w:pPr>
        <w:ind w:left="1440"/>
      </w:pPr>
      <w:r w:rsidRPr="00CA4465">
        <w:t>Evidence of other crimes or bad acts is characterized as “</w:t>
      </w:r>
      <w:r w:rsidRPr="00CA4465">
        <w:rPr>
          <w:i/>
        </w:rPr>
        <w:t>Spreigl</w:t>
      </w:r>
      <w:r>
        <w:t xml:space="preserve"> evidence</w:t>
      </w:r>
      <w:r w:rsidRPr="00CA4465">
        <w:t>”</w:t>
      </w:r>
      <w:r>
        <w:t xml:space="preserve"> after the supreme court’s decision in </w:t>
      </w:r>
      <w:r>
        <w:rPr>
          <w:i/>
        </w:rPr>
        <w:t>State v. Spreigl</w:t>
      </w:r>
      <w:r>
        <w:t>, 272 Minn. 488, 139 N.W.2d 167 (1965).</w:t>
      </w:r>
      <w:r w:rsidRPr="00CA4465">
        <w:t xml:space="preserve">  </w:t>
      </w:r>
      <w:r w:rsidRPr="00CA4465">
        <w:rPr>
          <w:i/>
        </w:rPr>
        <w:t>State v. Kennedy</w:t>
      </w:r>
      <w:r w:rsidRPr="00CA4465">
        <w:t xml:space="preserve">, 585 N.W.2d 385, 389 (Minn. 1998).  The admission of </w:t>
      </w:r>
      <w:r w:rsidRPr="00CA4465">
        <w:rPr>
          <w:i/>
          <w:iCs/>
        </w:rPr>
        <w:t xml:space="preserve">Spreigl </w:t>
      </w:r>
      <w:r w:rsidRPr="00CA4465">
        <w:t xml:space="preserve">evidence lies within the sound discretion of the district court and will not be reversed absent a clear abuse of discretion.  </w:t>
      </w:r>
      <w:r w:rsidRPr="00CA4465">
        <w:rPr>
          <w:i/>
        </w:rPr>
        <w:t>State v. Spaeth</w:t>
      </w:r>
      <w:r w:rsidRPr="00CA4465">
        <w:t>, 552 N.W.2d 187, 193 (Minn. 1996).</w:t>
      </w:r>
    </w:p>
    <w:p w:rsidR="0068302E" w:rsidRPr="00CA4465" w:rsidRDefault="0068302E" w:rsidP="0068302E">
      <w:pPr>
        <w:ind w:left="1440"/>
      </w:pPr>
    </w:p>
    <w:p w:rsidR="0068302E" w:rsidRPr="00CA4465" w:rsidRDefault="0068302E" w:rsidP="0068302E">
      <w:pPr>
        <w:ind w:left="1440"/>
      </w:pPr>
      <w:r w:rsidRPr="00CA4465">
        <w:t xml:space="preserve">The district court’s decision to admit </w:t>
      </w:r>
      <w:r>
        <w:t>similar-</w:t>
      </w:r>
      <w:r w:rsidRPr="00CA4465">
        <w:t>conduct</w:t>
      </w:r>
      <w:r>
        <w:t xml:space="preserve"> or relationship</w:t>
      </w:r>
      <w:r w:rsidRPr="00CA4465">
        <w:t xml:space="preserve"> evidence under Minn. Stat. § 634.20 </w:t>
      </w:r>
      <w:r>
        <w:t xml:space="preserve">in a domestic-abuse prosecution </w:t>
      </w:r>
      <w:r w:rsidRPr="00CA4465">
        <w:t xml:space="preserve">is reviewed for an abuse of discretion.  </w:t>
      </w:r>
      <w:r w:rsidRPr="00CA4465">
        <w:rPr>
          <w:i/>
        </w:rPr>
        <w:t>State v. McCoy</w:t>
      </w:r>
      <w:r w:rsidRPr="00CA4465">
        <w:t>, 682 N.W.2d 153, 161 (Minn. 2004).</w:t>
      </w:r>
    </w:p>
    <w:p w:rsidR="0068302E" w:rsidRPr="00CA4465" w:rsidRDefault="0068302E" w:rsidP="0068302E"/>
    <w:p w:rsidR="0068302E" w:rsidRPr="00CA4465" w:rsidRDefault="0068302E" w:rsidP="0068302E">
      <w:pPr>
        <w:ind w:left="1440"/>
      </w:pPr>
      <w:r w:rsidRPr="00CA4465">
        <w:t xml:space="preserve">The admission of </w:t>
      </w:r>
      <w:r w:rsidRPr="00CA4465">
        <w:rPr>
          <w:i/>
          <w:iCs/>
        </w:rPr>
        <w:t xml:space="preserve">Spreigl </w:t>
      </w:r>
      <w:r w:rsidRPr="00CA4465">
        <w:t xml:space="preserve">evidence is less prejudicial if the trial is to the court rather than a jury.  </w:t>
      </w:r>
      <w:r w:rsidRPr="00CA4465">
        <w:rPr>
          <w:i/>
        </w:rPr>
        <w:t>Irwin v. State</w:t>
      </w:r>
      <w:r w:rsidRPr="00CA4465">
        <w:t xml:space="preserve">, 400 N.W.2d 783, 786 (Minn. App. 1987), </w:t>
      </w:r>
      <w:r w:rsidRPr="00CA4465">
        <w:rPr>
          <w:i/>
          <w:iCs/>
        </w:rPr>
        <w:t>review denied</w:t>
      </w:r>
      <w:r w:rsidRPr="00CA4465">
        <w:t xml:space="preserve"> (Minn. Mar. 25, 1987).</w:t>
      </w:r>
    </w:p>
    <w:p w:rsidR="0068302E" w:rsidRPr="00CA4465" w:rsidRDefault="0068302E" w:rsidP="0068302E"/>
    <w:p w:rsidR="0068302E" w:rsidRPr="00CA4465" w:rsidRDefault="0068302E" w:rsidP="0068302E">
      <w:pPr>
        <w:ind w:left="1440"/>
      </w:pPr>
      <w:r w:rsidRPr="00CA4465">
        <w:t xml:space="preserve">If the district court erred in admitting evidence, the reviewing court determines whether there is a reasonable possibility that the wrongfully admitted evidence significantly affected the verdict.  </w:t>
      </w:r>
      <w:r w:rsidRPr="00CA4465">
        <w:rPr>
          <w:i/>
        </w:rPr>
        <w:t>State v. Post</w:t>
      </w:r>
      <w:r w:rsidRPr="00CA4465">
        <w:t xml:space="preserve">, 512 N.W.2d 99, 102 n.2 (Minn. 1994).  If there is a reasonable possibility that the verdict might have been more favorable to the defendant without the evidence, then the error is prejudicial.  </w:t>
      </w:r>
      <w:r w:rsidRPr="00CA4465">
        <w:rPr>
          <w:i/>
          <w:iCs/>
        </w:rPr>
        <w:t>Id.</w:t>
      </w:r>
    </w:p>
    <w:p w:rsidR="004F10A3" w:rsidRPr="00CA4465" w:rsidRDefault="00A31B8C" w:rsidP="00300AEE">
      <w:pPr>
        <w:pStyle w:val="Heading4"/>
      </w:pPr>
      <w:bookmarkStart w:id="419" w:name="_Toc395604658"/>
      <w:r>
        <w:t>h</w:t>
      </w:r>
      <w:r w:rsidR="004F10A3" w:rsidRPr="00CA4465">
        <w:t>.</w:t>
      </w:r>
      <w:r w:rsidR="004F10A3" w:rsidRPr="00CA4465">
        <w:tab/>
        <w:t>Impeachment by Prior Conviction</w:t>
      </w:r>
      <w:bookmarkEnd w:id="418"/>
      <w:bookmarkEnd w:id="419"/>
      <w:r w:rsidR="004F10A3" w:rsidRPr="00CA4465">
        <w:t xml:space="preserve"> </w:t>
      </w:r>
    </w:p>
    <w:p w:rsidR="0068302E" w:rsidRPr="00CA4465" w:rsidRDefault="0068302E" w:rsidP="0068302E">
      <w:pPr>
        <w:ind w:left="1440"/>
      </w:pPr>
      <w:r w:rsidRPr="00CA4465">
        <w:t xml:space="preserve">A district court’s ruling on the impeachment of a witness by prior conviction is reviewed, as are other evidentiary rulings, under a clear abuse of discretion standard.  </w:t>
      </w:r>
      <w:r w:rsidRPr="00CA4465">
        <w:rPr>
          <w:i/>
        </w:rPr>
        <w:t>State v. Ihnot</w:t>
      </w:r>
      <w:r w:rsidRPr="00CA4465">
        <w:t xml:space="preserve">, 575 N.W.2d 581, 584 (Minn. 1998).  Whether the probative value of the prior convictions outweighs their prejudicial effect is a matter within the discretion of the district court.  </w:t>
      </w:r>
      <w:r w:rsidRPr="00CA4465">
        <w:rPr>
          <w:i/>
        </w:rPr>
        <w:t>State v. Graham</w:t>
      </w:r>
      <w:r w:rsidRPr="00CA4465">
        <w:t xml:space="preserve">, 371 N.W.2d 204, 208 (Minn. 1985).  The district court’s decision will not be reversed absent a clear abuse of discretion.  </w:t>
      </w:r>
      <w:r w:rsidRPr="00CA4465">
        <w:rPr>
          <w:i/>
          <w:iCs/>
        </w:rPr>
        <w:t>Id.</w:t>
      </w:r>
      <w:r w:rsidRPr="00CA4465">
        <w:t xml:space="preserve"> at 209.</w:t>
      </w:r>
    </w:p>
    <w:p w:rsidR="004716DD" w:rsidRPr="00CA4465" w:rsidRDefault="00A31B8C" w:rsidP="00300AEE">
      <w:pPr>
        <w:pStyle w:val="Heading4"/>
      </w:pPr>
      <w:bookmarkStart w:id="420" w:name="_Toc395604659"/>
      <w:r>
        <w:t>i</w:t>
      </w:r>
      <w:r w:rsidR="004716DD" w:rsidRPr="00CA4465">
        <w:t>.</w:t>
      </w:r>
      <w:r w:rsidR="004716DD" w:rsidRPr="00CA4465">
        <w:tab/>
        <w:t>Hearsay Evidence and Confrontation</w:t>
      </w:r>
      <w:bookmarkEnd w:id="420"/>
    </w:p>
    <w:p w:rsidR="0068302E" w:rsidRPr="00CA4465" w:rsidRDefault="0068302E" w:rsidP="007528AE">
      <w:pPr>
        <w:keepNext/>
        <w:ind w:left="1440"/>
      </w:pPr>
      <w:bookmarkStart w:id="421" w:name="_Toc48979655"/>
      <w:r w:rsidRPr="00CA4465">
        <w:t>The district court’s evidentiary rulings will gene</w:t>
      </w:r>
      <w:r w:rsidR="007528AE">
        <w:t xml:space="preserve">rally not be reversed absent a </w:t>
      </w:r>
      <w:r w:rsidRPr="00CA4465">
        <w:t xml:space="preserve">clear abuse of discretion.  </w:t>
      </w:r>
      <w:r w:rsidRPr="00CA4465">
        <w:rPr>
          <w:i/>
        </w:rPr>
        <w:t>State v. Flores</w:t>
      </w:r>
      <w:r w:rsidRPr="00CA4465">
        <w:t>, 59</w:t>
      </w:r>
      <w:r w:rsidR="007528AE">
        <w:t xml:space="preserve">5 N.W.2d 860, 865 (Minn. 1999) </w:t>
      </w:r>
      <w:r w:rsidRPr="00CA4465">
        <w:t>(reviewing hearsay ruling).</w:t>
      </w:r>
    </w:p>
    <w:p w:rsidR="0068302E" w:rsidRPr="00CA4465" w:rsidRDefault="0068302E" w:rsidP="0068302E">
      <w:pPr>
        <w:ind w:left="1080"/>
      </w:pPr>
    </w:p>
    <w:p w:rsidR="007528AE" w:rsidRPr="00324868" w:rsidRDefault="0068302E" w:rsidP="007528AE">
      <w:pPr>
        <w:ind w:left="1440"/>
      </w:pPr>
      <w:r w:rsidRPr="00CA4465">
        <w:t xml:space="preserve">Whether the admission of evidence violates a defendant’s rights under the Confrontation Clause is a question of law that is reviewed de novo.  </w:t>
      </w:r>
      <w:r w:rsidRPr="00CA4465">
        <w:rPr>
          <w:i/>
        </w:rPr>
        <w:t>State v. Caulfield</w:t>
      </w:r>
      <w:r w:rsidRPr="00CA4465">
        <w:t>, 7</w:t>
      </w:r>
      <w:r>
        <w:t xml:space="preserve">22 N.W.2d 304, 308 (Minn. 2006).  </w:t>
      </w:r>
      <w:r>
        <w:rPr>
          <w:i/>
        </w:rPr>
        <w:t>But see State v. Hull</w:t>
      </w:r>
      <w:r>
        <w:t xml:space="preserve">, 788 N.W.2d 91, 100 (Minn. 2010) (noting but not deciding that a hearsay objection at trial may </w:t>
      </w:r>
      <w:r>
        <w:lastRenderedPageBreak/>
        <w:t>not be sufficient to preserve a Confrontation Clause violation on appeal and analyzing that issue under plain</w:t>
      </w:r>
      <w:r w:rsidR="000359E8">
        <w:t>-</w:t>
      </w:r>
      <w:r>
        <w:t>error</w:t>
      </w:r>
      <w:r w:rsidR="000359E8">
        <w:t xml:space="preserve"> standard</w:t>
      </w:r>
      <w:r>
        <w:t xml:space="preserve">).  </w:t>
      </w:r>
    </w:p>
    <w:p w:rsidR="007528AE" w:rsidRPr="00CA4465" w:rsidRDefault="005411B2" w:rsidP="007528AE">
      <w:pPr>
        <w:pStyle w:val="Heading4"/>
      </w:pPr>
      <w:bookmarkStart w:id="422" w:name="_Toc358882952"/>
      <w:bookmarkStart w:id="423" w:name="_Toc395604660"/>
      <w:bookmarkStart w:id="424" w:name="_Toc48979656"/>
      <w:bookmarkEnd w:id="421"/>
      <w:r>
        <w:t>j</w:t>
      </w:r>
      <w:r w:rsidR="007528AE" w:rsidRPr="00E17A10">
        <w:t>.</w:t>
      </w:r>
      <w:r w:rsidR="007528AE" w:rsidRPr="00E17A10">
        <w:tab/>
        <w:t>Physical Evidence</w:t>
      </w:r>
      <w:bookmarkEnd w:id="422"/>
      <w:bookmarkEnd w:id="423"/>
      <w:r w:rsidR="007528AE" w:rsidRPr="00E17A10">
        <w:t xml:space="preserve"> </w:t>
      </w:r>
    </w:p>
    <w:p w:rsidR="007528AE" w:rsidRPr="00CA4465" w:rsidRDefault="007528AE" w:rsidP="007528AE">
      <w:pPr>
        <w:ind w:left="1440"/>
      </w:pPr>
      <w:r w:rsidRPr="00CA4465">
        <w:t xml:space="preserve">A district court’s admission of physical evidence will be affirmed unless it constitutes an abuse of discretion.  </w:t>
      </w:r>
      <w:r w:rsidRPr="00CA4465">
        <w:rPr>
          <w:i/>
        </w:rPr>
        <w:t>State v. Daniels</w:t>
      </w:r>
      <w:r w:rsidRPr="00CA4465">
        <w:t>, 361 N.W.2d 819, 827 (Minn. 1985)</w:t>
      </w:r>
      <w:r>
        <w:t xml:space="preserve"> (admissibility of weapon)</w:t>
      </w:r>
      <w:r w:rsidRPr="00CA4465">
        <w:t>.</w:t>
      </w:r>
    </w:p>
    <w:p w:rsidR="007528AE" w:rsidRPr="00CA4465" w:rsidRDefault="005411B2" w:rsidP="007528AE">
      <w:pPr>
        <w:pStyle w:val="Heading4"/>
      </w:pPr>
      <w:bookmarkStart w:id="425" w:name="_Toc358882953"/>
      <w:bookmarkStart w:id="426" w:name="_Toc395604661"/>
      <w:bookmarkStart w:id="427" w:name="_Toc48979659"/>
      <w:bookmarkEnd w:id="424"/>
      <w:r>
        <w:t>k</w:t>
      </w:r>
      <w:r w:rsidR="007528AE" w:rsidRPr="00CA4465">
        <w:t>.</w:t>
      </w:r>
      <w:r w:rsidR="007528AE" w:rsidRPr="00CA4465">
        <w:tab/>
        <w:t>Photographs</w:t>
      </w:r>
      <w:bookmarkEnd w:id="425"/>
      <w:bookmarkEnd w:id="426"/>
      <w:r w:rsidR="007528AE" w:rsidRPr="00CA4465">
        <w:t xml:space="preserve"> </w:t>
      </w:r>
    </w:p>
    <w:p w:rsidR="007528AE" w:rsidRPr="00CA4465" w:rsidRDefault="007528AE" w:rsidP="007528AE">
      <w:pPr>
        <w:keepNext/>
        <w:ind w:left="1440"/>
      </w:pPr>
      <w:r w:rsidRPr="00CA4465">
        <w:t xml:space="preserve">The admission of photographs is in the discretion of the district court and will not be reversed absent a showing of an abuse of discretion.  </w:t>
      </w:r>
      <w:r w:rsidRPr="00CA4465">
        <w:rPr>
          <w:i/>
        </w:rPr>
        <w:t>State v. Stewart</w:t>
      </w:r>
      <w:r w:rsidRPr="00CA4465">
        <w:t>, 514 N.W.2d 559, 564 (Minn. 1994)</w:t>
      </w:r>
      <w:r>
        <w:t xml:space="preserve"> (admissibility of autopsy photos)</w:t>
      </w:r>
      <w:r w:rsidRPr="00CA4465">
        <w:t>.</w:t>
      </w:r>
    </w:p>
    <w:p w:rsidR="007528AE" w:rsidRPr="00CA4465" w:rsidRDefault="007528AE" w:rsidP="007528AE">
      <w:pPr>
        <w:ind w:left="1440"/>
      </w:pPr>
    </w:p>
    <w:p w:rsidR="007528AE" w:rsidRDefault="007528AE" w:rsidP="007528AE">
      <w:pPr>
        <w:ind w:left="1440"/>
      </w:pPr>
      <w:r w:rsidRPr="00CA4465">
        <w:t xml:space="preserve">“Rulings on the admissibility of photographs as evidence are in the broad discretion of the district court and will not be reversed on appeal absent a showing of a clear abuse of discretion.”  </w:t>
      </w:r>
      <w:r w:rsidRPr="00CA4465">
        <w:rPr>
          <w:i/>
        </w:rPr>
        <w:t>State v. Dame</w:t>
      </w:r>
      <w:r w:rsidRPr="00CA4465">
        <w:t>, 670 N.W.2d 261, 264 (Minn. 2003)</w:t>
      </w:r>
      <w:r>
        <w:t xml:space="preserve"> (admissibility of autopsy photos)</w:t>
      </w:r>
      <w:r w:rsidRPr="00CA4465">
        <w:t>.</w:t>
      </w:r>
      <w:bookmarkStart w:id="428" w:name="_Toc48979657"/>
    </w:p>
    <w:p w:rsidR="005411B2" w:rsidRDefault="005411B2" w:rsidP="007528AE">
      <w:pPr>
        <w:ind w:left="1440"/>
      </w:pPr>
    </w:p>
    <w:p w:rsidR="005411B2" w:rsidRPr="00711662" w:rsidRDefault="005411B2" w:rsidP="005411B2">
      <w:pPr>
        <w:ind w:left="1440"/>
      </w:pPr>
      <w:r w:rsidRPr="005411B2">
        <w:t xml:space="preserve">“We review a district court’s decision to admit photographic evidence for an abuse of discretion.”  </w:t>
      </w:r>
      <w:r w:rsidRPr="005411B2">
        <w:rPr>
          <w:i/>
        </w:rPr>
        <w:t>State v. Morrow</w:t>
      </w:r>
      <w:r w:rsidRPr="005411B2">
        <w:t>, 834 N.W.2d 715, 726 (Minn. 2013) (discussing admissibility of spark of life evidence).</w:t>
      </w:r>
    </w:p>
    <w:p w:rsidR="007528AE" w:rsidRPr="00CA4465" w:rsidRDefault="005411B2" w:rsidP="007528AE">
      <w:pPr>
        <w:pStyle w:val="Heading4"/>
      </w:pPr>
      <w:bookmarkStart w:id="429" w:name="_Toc358882954"/>
      <w:bookmarkStart w:id="430" w:name="_Toc395604662"/>
      <w:r>
        <w:t>l</w:t>
      </w:r>
      <w:r w:rsidR="007528AE" w:rsidRPr="00CA4465">
        <w:t>.</w:t>
      </w:r>
      <w:r w:rsidR="007528AE" w:rsidRPr="00CA4465">
        <w:tab/>
        <w:t>Scope of Cross-Examination</w:t>
      </w:r>
      <w:bookmarkEnd w:id="428"/>
      <w:bookmarkEnd w:id="429"/>
      <w:bookmarkEnd w:id="430"/>
      <w:r w:rsidR="007528AE" w:rsidRPr="00CA4465">
        <w:t xml:space="preserve"> </w:t>
      </w:r>
    </w:p>
    <w:p w:rsidR="007528AE" w:rsidRDefault="007528AE" w:rsidP="007528AE">
      <w:pPr>
        <w:ind w:left="1440"/>
      </w:pPr>
      <w:r w:rsidRPr="00CA4465">
        <w:t xml:space="preserve">The scope of cross-examination is left largely to the district court’s discretion and will not be reversed absent a clear abuse of discretion.  </w:t>
      </w:r>
      <w:r w:rsidRPr="00CA4465">
        <w:rPr>
          <w:i/>
        </w:rPr>
        <w:t>State v. Parker</w:t>
      </w:r>
      <w:r w:rsidRPr="00CA4465">
        <w:t>, 585 N.W.2d 398, 406 (Minn. 1998).</w:t>
      </w:r>
      <w:bookmarkStart w:id="431" w:name="_Toc48979658"/>
    </w:p>
    <w:p w:rsidR="007528AE" w:rsidRDefault="005411B2" w:rsidP="007528AE">
      <w:pPr>
        <w:pStyle w:val="Heading4"/>
      </w:pPr>
      <w:bookmarkStart w:id="432" w:name="_Toc358882955"/>
      <w:bookmarkStart w:id="433" w:name="_Toc395604663"/>
      <w:r>
        <w:t>m</w:t>
      </w:r>
      <w:r w:rsidR="007528AE" w:rsidRPr="00CA4465">
        <w:t>.</w:t>
      </w:r>
      <w:r w:rsidR="007528AE" w:rsidRPr="00CA4465">
        <w:tab/>
        <w:t>Scope of C</w:t>
      </w:r>
      <w:r w:rsidR="007528AE">
        <w:t>losing Arguments</w:t>
      </w:r>
      <w:bookmarkEnd w:id="432"/>
      <w:bookmarkEnd w:id="433"/>
    </w:p>
    <w:p w:rsidR="007528AE" w:rsidRPr="00E17A10" w:rsidRDefault="007528AE" w:rsidP="007528AE">
      <w:pPr>
        <w:ind w:left="1440"/>
      </w:pPr>
      <w:r>
        <w:t xml:space="preserve">“We review a district court’s restricting the scope of a closing argument for an abuse of discretion.”  </w:t>
      </w:r>
      <w:r>
        <w:rPr>
          <w:i/>
        </w:rPr>
        <w:t>State v. Caldwell</w:t>
      </w:r>
      <w:r>
        <w:t xml:space="preserve">, 815 N.W.2d 512, 516 (Minn. App. 2012), </w:t>
      </w:r>
      <w:r>
        <w:rPr>
          <w:i/>
        </w:rPr>
        <w:t>review denied</w:t>
      </w:r>
      <w:r>
        <w:t xml:space="preserve"> (Minn. June 27, 2012).</w:t>
      </w:r>
    </w:p>
    <w:p w:rsidR="004F10A3" w:rsidRPr="00CA4465" w:rsidRDefault="004F10A3" w:rsidP="00337FFA">
      <w:pPr>
        <w:pStyle w:val="Heading3"/>
      </w:pPr>
      <w:bookmarkStart w:id="434" w:name="_Toc395604664"/>
      <w:bookmarkEnd w:id="431"/>
      <w:r w:rsidRPr="00CA4465">
        <w:t>4.</w:t>
      </w:r>
      <w:r w:rsidRPr="00CA4465">
        <w:tab/>
        <w:t>Jury Instructions</w:t>
      </w:r>
      <w:bookmarkEnd w:id="427"/>
      <w:bookmarkEnd w:id="434"/>
      <w:r w:rsidRPr="00CA4465">
        <w:t xml:space="preserve"> </w:t>
      </w:r>
    </w:p>
    <w:p w:rsidR="007528AE" w:rsidRPr="00CA4465" w:rsidRDefault="007528AE" w:rsidP="007528AE">
      <w:pPr>
        <w:ind w:left="720"/>
      </w:pPr>
      <w:r w:rsidRPr="00CA4465">
        <w:t xml:space="preserve">District courts are allowed “considerable latitude” in the selection of language for the jury instructions.  </w:t>
      </w:r>
      <w:r w:rsidRPr="00CA4465">
        <w:rPr>
          <w:i/>
        </w:rPr>
        <w:t>State v. Baird</w:t>
      </w:r>
      <w:r w:rsidRPr="00CA4465">
        <w:t xml:space="preserve">, 654 N.W.2d 105, 113 (Minn. 2002).  “[J]ury instructions must be viewed in their entirety to determine whether they fairly and adequately explained the law of the case.”  </w:t>
      </w:r>
      <w:r w:rsidRPr="00CA4465">
        <w:rPr>
          <w:i/>
        </w:rPr>
        <w:t>State v. Flores</w:t>
      </w:r>
      <w:r w:rsidRPr="00CA4465">
        <w:t xml:space="preserve">, 418 N.W.2d 150, 155 (Minn. 1988).  “An instruction is in error if it materially misstates the law. </w:t>
      </w:r>
      <w:r w:rsidR="00E87199">
        <w:t xml:space="preserve"> </w:t>
      </w:r>
      <w:r w:rsidRPr="00CA4465">
        <w:t xml:space="preserve">Furthermore, it is well settled that the court’s instructions must define the crime charged.  In accordance with this, it is desirable for the court to explain the elements of the offense rather than simply to read statutes.”  </w:t>
      </w:r>
      <w:r w:rsidRPr="00CA4465">
        <w:rPr>
          <w:i/>
        </w:rPr>
        <w:t>State v. Kuhnau</w:t>
      </w:r>
      <w:r w:rsidRPr="00CA4465">
        <w:t>, 622 N.W.2d 552, 556 (Minn. 2001) (citations omitted).</w:t>
      </w:r>
    </w:p>
    <w:p w:rsidR="007528AE" w:rsidRPr="00CA4465" w:rsidRDefault="007528AE" w:rsidP="007528AE"/>
    <w:p w:rsidR="007528AE" w:rsidRDefault="007528AE" w:rsidP="007528AE">
      <w:pPr>
        <w:ind w:left="720"/>
      </w:pPr>
      <w:r w:rsidRPr="00CA4465">
        <w:lastRenderedPageBreak/>
        <w:t xml:space="preserve">The refusal to give a requested jury instruction lies within the discretion of the district court and will not be reversed absent an abuse of discretion.  </w:t>
      </w:r>
      <w:r w:rsidRPr="00CA4465">
        <w:rPr>
          <w:i/>
        </w:rPr>
        <w:t>State v. Cole</w:t>
      </w:r>
      <w:r w:rsidRPr="00CA4465">
        <w:t xml:space="preserve">, 542 N.W.2d 43, 50 (Minn. 1996).  The focus of the analysis is on whether the refusal resulted in error.  </w:t>
      </w:r>
      <w:r w:rsidRPr="00CA4465">
        <w:rPr>
          <w:i/>
        </w:rPr>
        <w:t>State v. Kuhnau</w:t>
      </w:r>
      <w:r w:rsidRPr="00CA4465">
        <w:t>, 622 N.W.2d 552, 555 (Minn. 2001).</w:t>
      </w:r>
    </w:p>
    <w:p w:rsidR="005411B2" w:rsidRDefault="005411B2" w:rsidP="007528AE">
      <w:pPr>
        <w:ind w:left="720"/>
      </w:pPr>
    </w:p>
    <w:p w:rsidR="005411B2" w:rsidRDefault="005411B2" w:rsidP="005411B2">
      <w:pPr>
        <w:ind w:left="720"/>
      </w:pPr>
      <w:r w:rsidRPr="005411B2">
        <w:t xml:space="preserve">“We review a district court’s refusal to give a requested jury instruction for an abuse of discretion.  The interpretation of a statute is a legal question we review de novo.”  </w:t>
      </w:r>
      <w:r w:rsidRPr="005411B2">
        <w:rPr>
          <w:i/>
        </w:rPr>
        <w:t>State v. Ndikum</w:t>
      </w:r>
      <w:r w:rsidRPr="005411B2">
        <w:t>, 815 N.W.2d 816, 818 (Minn. 2012) (citation omitted).</w:t>
      </w:r>
    </w:p>
    <w:p w:rsidR="007528AE" w:rsidRPr="00CA4465" w:rsidRDefault="007528AE" w:rsidP="007528AE">
      <w:pPr>
        <w:ind w:left="720"/>
      </w:pPr>
    </w:p>
    <w:p w:rsidR="005411B2" w:rsidRDefault="007528AE" w:rsidP="005411B2">
      <w:pPr>
        <w:ind w:left="720"/>
      </w:pPr>
      <w:r w:rsidRPr="00CA4465">
        <w:t xml:space="preserve">Generally, when </w:t>
      </w:r>
      <w:r>
        <w:t>there is no argument</w:t>
      </w:r>
      <w:r w:rsidRPr="00CA4465">
        <w:t xml:space="preserve"> that an unobjected-to instruction violated the defendant’s right to a jury trial, the instruction is reviewed under the plain</w:t>
      </w:r>
      <w:r w:rsidR="00E87199">
        <w:t>-</w:t>
      </w:r>
      <w:r w:rsidRPr="00CA4465">
        <w:t xml:space="preserve">error standard.  </w:t>
      </w:r>
      <w:r w:rsidRPr="00CA4465">
        <w:rPr>
          <w:i/>
        </w:rPr>
        <w:t>State v. Vance</w:t>
      </w:r>
      <w:r w:rsidRPr="00CA4465">
        <w:t>, 734 N.W.2d 650, 655 (Minn. 2007)</w:t>
      </w:r>
      <w:r>
        <w:t xml:space="preserve">, </w:t>
      </w:r>
      <w:r>
        <w:rPr>
          <w:i/>
        </w:rPr>
        <w:t>overruled on other grounds by State v. Fleck</w:t>
      </w:r>
      <w:r>
        <w:t>, 810 N.W.2d 303 (Minn. 2012)</w:t>
      </w:r>
      <w:r w:rsidRPr="00CA4465">
        <w:t>.</w:t>
      </w:r>
      <w:r>
        <w:t xml:space="preserve">  Even when there is no objection to jury instructions at trial, the appellate court has discretion to consider a claim of error on appeal if there was “plain error affecting substantial rights,” or an error of fundamental law in the jury instructions.  </w:t>
      </w:r>
      <w:r>
        <w:rPr>
          <w:i/>
        </w:rPr>
        <w:t>State v. Crowsbreast</w:t>
      </w:r>
      <w:r>
        <w:t>, 629  N.W.2d 433, 437 (Minn. 2001)</w:t>
      </w:r>
      <w:r w:rsidR="00E87199">
        <w:t xml:space="preserve"> (quotation omitted)</w:t>
      </w:r>
      <w:r>
        <w:t xml:space="preserve">. </w:t>
      </w:r>
      <w:r w:rsidR="005411B2">
        <w:t xml:space="preserve"> </w:t>
      </w:r>
      <w:r w:rsidR="005411B2" w:rsidRPr="005411B2">
        <w:rPr>
          <w:i/>
        </w:rPr>
        <w:t>See State v. Milton</w:t>
      </w:r>
      <w:r w:rsidR="005411B2" w:rsidRPr="005411B2">
        <w:t>, 821 N.W.2d 789, 807-08 (Minn. 2012) (holding erroneous jury instruction was not “clear” or “obvious” error when supreme court had not clearly held what accomplice-liability jury instruction requires).</w:t>
      </w:r>
    </w:p>
    <w:p w:rsidR="007528AE" w:rsidRPr="00CA4465" w:rsidRDefault="007528AE" w:rsidP="007528AE">
      <w:pPr>
        <w:rPr>
          <w:b/>
        </w:rPr>
      </w:pPr>
    </w:p>
    <w:p w:rsidR="007528AE" w:rsidRPr="00E17A10" w:rsidRDefault="007528AE" w:rsidP="007528AE">
      <w:pPr>
        <w:ind w:left="720"/>
        <w:rPr>
          <w:i/>
          <w:iCs/>
        </w:rPr>
      </w:pPr>
      <w:r w:rsidRPr="00CA4465">
        <w:t xml:space="preserve">“We evaluate the erroneous omission of a jury instruction under a harmless error analysis.”  </w:t>
      </w:r>
      <w:r w:rsidRPr="00CA4465">
        <w:rPr>
          <w:i/>
        </w:rPr>
        <w:t>State v. Lee</w:t>
      </w:r>
      <w:r w:rsidRPr="00CA4465">
        <w:t>, 683 N.W.2d 309, 316 (Minn. 2004).</w:t>
      </w:r>
      <w:r w:rsidRPr="00CA4465">
        <w:rPr>
          <w:b/>
        </w:rPr>
        <w:t xml:space="preserve"> </w:t>
      </w:r>
      <w:r w:rsidRPr="00CA4465">
        <w:t xml:space="preserve"> When faced with an erroneous refusal to give jury instructions, the reviewing court must “examine all relevant factors to determine whether, beyond a reasonable doubt, the error did not have a significant impact on the verdict.”  </w:t>
      </w:r>
      <w:r w:rsidRPr="00CA4465">
        <w:rPr>
          <w:i/>
        </w:rPr>
        <w:t>State v. Shoop</w:t>
      </w:r>
      <w:r w:rsidRPr="00CA4465">
        <w:t xml:space="preserve">, 441 N.W.2d 475, 481 (Minn. 1989).  If the error might have prompted the jury to reach a harsher verdict than it might otherwise have reached, the defendant is entitled to a new trial.  </w:t>
      </w:r>
      <w:r w:rsidRPr="00CA4465">
        <w:rPr>
          <w:i/>
          <w:iCs/>
        </w:rPr>
        <w:t>Id.</w:t>
      </w:r>
    </w:p>
    <w:p w:rsidR="007528AE" w:rsidRPr="00E17A10" w:rsidRDefault="007528AE" w:rsidP="007528AE">
      <w:pPr>
        <w:pStyle w:val="Heading4"/>
      </w:pPr>
      <w:bookmarkStart w:id="435" w:name="_Toc358882957"/>
      <w:bookmarkStart w:id="436" w:name="_Toc395604665"/>
      <w:bookmarkStart w:id="437" w:name="_Toc48979660"/>
      <w:r w:rsidRPr="00CA4465">
        <w:t>a.</w:t>
      </w:r>
      <w:r w:rsidRPr="00CA4465">
        <w:tab/>
        <w:t>Lesser-Included Offenses</w:t>
      </w:r>
      <w:bookmarkEnd w:id="435"/>
      <w:bookmarkEnd w:id="436"/>
    </w:p>
    <w:p w:rsidR="007528AE" w:rsidRPr="00CA4465" w:rsidRDefault="007528AE" w:rsidP="007528AE">
      <w:pPr>
        <w:ind w:left="1440"/>
      </w:pPr>
      <w:r w:rsidRPr="00CA4465">
        <w:t xml:space="preserve">“It is well established in our jurisprudence that we review the denial of a requested lesser-included offense instruction under an abuse of discretion standard.”  </w:t>
      </w:r>
      <w:r w:rsidRPr="00CA4465">
        <w:rPr>
          <w:i/>
        </w:rPr>
        <w:t>State v. Dahlin</w:t>
      </w:r>
      <w:r w:rsidRPr="00CA4465">
        <w:t xml:space="preserve">, 695 N.W.2d 588, 597 (Minn. 2005). </w:t>
      </w:r>
      <w:r>
        <w:t xml:space="preserve"> But “the failure to submit lesser-included offenses to the jury is grounds for reversal only if the defendant is prejudiced thereby.”  </w:t>
      </w:r>
      <w:r>
        <w:rPr>
          <w:i/>
        </w:rPr>
        <w:t xml:space="preserve">Id. </w:t>
      </w:r>
      <w:r>
        <w:t xml:space="preserve"> “As a preliminary matter, w</w:t>
      </w:r>
      <w:r w:rsidRPr="00CA4465">
        <w:t xml:space="preserve">e emphasize that when a defendant fails to request a lesser-included offense instruction warranted by the evidence, the defendant impliedly waives his or her right to receive the instruction.”  </w:t>
      </w:r>
      <w:r w:rsidRPr="00CA4465">
        <w:rPr>
          <w:i/>
        </w:rPr>
        <w:t>Id.</w:t>
      </w:r>
      <w:r w:rsidRPr="00CA4465">
        <w:t xml:space="preserve"> at 597-98.</w:t>
      </w:r>
    </w:p>
    <w:p w:rsidR="007528AE" w:rsidRPr="00CA4465" w:rsidRDefault="007528AE" w:rsidP="007528AE">
      <w:pPr>
        <w:ind w:left="1440"/>
        <w:rPr>
          <w:i/>
        </w:rPr>
      </w:pPr>
    </w:p>
    <w:p w:rsidR="007528AE" w:rsidRPr="00E17A10" w:rsidRDefault="007528AE" w:rsidP="007528AE">
      <w:pPr>
        <w:ind w:left="1440"/>
      </w:pPr>
      <w:r w:rsidRPr="00CA4465">
        <w:t xml:space="preserve">“The determination of what, if any, lesser offense to submit to the jury lies within the sound discretion of the [district] court, but where the evidence warrants an instruction, the [district] court must give it.”  </w:t>
      </w:r>
      <w:r w:rsidRPr="00CA4465">
        <w:rPr>
          <w:i/>
        </w:rPr>
        <w:t>Bellcourt v. State</w:t>
      </w:r>
      <w:r w:rsidRPr="00CA4465">
        <w:t>, 390 N.W.2d 269, 273 (Minn. 1986) (citations omitted).</w:t>
      </w:r>
    </w:p>
    <w:p w:rsidR="007528AE" w:rsidRPr="00E17A10" w:rsidRDefault="007528AE" w:rsidP="007528AE">
      <w:pPr>
        <w:pStyle w:val="Heading4"/>
      </w:pPr>
      <w:bookmarkStart w:id="438" w:name="_Toc358882958"/>
      <w:bookmarkStart w:id="439" w:name="_Toc395604666"/>
      <w:r w:rsidRPr="00CA4465">
        <w:lastRenderedPageBreak/>
        <w:t>b.</w:t>
      </w:r>
      <w:r w:rsidRPr="00CA4465">
        <w:tab/>
        <w:t>Accomplice Instruction</w:t>
      </w:r>
      <w:bookmarkEnd w:id="438"/>
      <w:bookmarkEnd w:id="439"/>
      <w:r w:rsidRPr="00CA4465">
        <w:t xml:space="preserve"> </w:t>
      </w:r>
    </w:p>
    <w:p w:rsidR="007528AE" w:rsidRPr="00E17A10" w:rsidRDefault="007528AE" w:rsidP="007528AE">
      <w:pPr>
        <w:ind w:left="1440"/>
      </w:pPr>
      <w:r w:rsidRPr="00CA4465">
        <w:t xml:space="preserve">“An accomplice instruction ‘must be given in any criminal case in which any witness against the defendant might reasonably be considered an accomplice to the crime.’”  </w:t>
      </w:r>
      <w:r w:rsidRPr="00CA4465">
        <w:rPr>
          <w:i/>
        </w:rPr>
        <w:t>State v. Lee</w:t>
      </w:r>
      <w:r w:rsidRPr="00CA4465">
        <w:t xml:space="preserve">, 683 N.W.2d 309, 316 (Minn. 2004) (quoting </w:t>
      </w:r>
      <w:r w:rsidRPr="00CA4465">
        <w:rPr>
          <w:i/>
        </w:rPr>
        <w:t>State v. Shoop</w:t>
      </w:r>
      <w:r w:rsidRPr="00CA4465">
        <w:t xml:space="preserve">, 441 N.W.2d 475, 479 (Minn. 1989)).  “The duty to instruct on accomplice testimony remains regardless of whether counsel for the defendant requests the instruction” and omission of the jury instruction is error.  </w:t>
      </w:r>
      <w:r w:rsidRPr="00CA4465">
        <w:rPr>
          <w:i/>
        </w:rPr>
        <w:t>Id.</w:t>
      </w:r>
      <w:r w:rsidRPr="00CA4465">
        <w:t xml:space="preserve"> (citing </w:t>
      </w:r>
      <w:r w:rsidRPr="00CA4465">
        <w:rPr>
          <w:i/>
        </w:rPr>
        <w:t>State v. Strommen</w:t>
      </w:r>
      <w:r w:rsidRPr="00CA4465">
        <w:t xml:space="preserve">, 648 N.W.2d 681, 689 (Minn. 2002)).  “[W]here a district court fails to give a required accomplice corroboration instruction and the defendant does not object, an appellate court must apply the plain error analysis.”  </w:t>
      </w:r>
      <w:r w:rsidRPr="00CA4465">
        <w:rPr>
          <w:i/>
        </w:rPr>
        <w:t>State v. Reed</w:t>
      </w:r>
      <w:r w:rsidRPr="00CA4465">
        <w:t>, 737 N.W.2d 572, 584 n.4 (Minn. 2007).</w:t>
      </w:r>
    </w:p>
    <w:p w:rsidR="004F10A3" w:rsidRPr="00CA4465" w:rsidRDefault="004F10A3" w:rsidP="00337FFA">
      <w:pPr>
        <w:pStyle w:val="Heading3"/>
      </w:pPr>
      <w:bookmarkStart w:id="440" w:name="_Toc395604667"/>
      <w:r w:rsidRPr="00CA4465">
        <w:t>5.</w:t>
      </w:r>
      <w:r w:rsidRPr="00CA4465">
        <w:tab/>
        <w:t>Prosecutorial Misconduct</w:t>
      </w:r>
      <w:bookmarkEnd w:id="437"/>
      <w:bookmarkEnd w:id="440"/>
    </w:p>
    <w:p w:rsidR="007528AE" w:rsidRDefault="007528AE" w:rsidP="007528AE">
      <w:pPr>
        <w:keepNext/>
        <w:ind w:left="720"/>
      </w:pPr>
      <w:bookmarkStart w:id="441" w:name="_Toc48979661"/>
      <w:r w:rsidRPr="00CA4465">
        <w:t>A d</w:t>
      </w:r>
      <w:r>
        <w:t>istrict court’s denial of a new-</w:t>
      </w:r>
      <w:r w:rsidRPr="00CA4465">
        <w:t xml:space="preserve">trial motion based on alleged prosecutorial misconduct will be reversed only “when the misconduct, considered in the context of the trial as a whole, was so serious and prejudicial that the defendant’s constitutional right to a fair trial was impaired.”  </w:t>
      </w:r>
      <w:r w:rsidRPr="00CA4465">
        <w:rPr>
          <w:i/>
        </w:rPr>
        <w:t>State v. Johnson</w:t>
      </w:r>
      <w:r w:rsidRPr="00CA4465">
        <w:t>, 616 N.W.2d 720, 727-28 (Minn. 2000).</w:t>
      </w:r>
    </w:p>
    <w:p w:rsidR="007528AE" w:rsidRPr="00CA4465" w:rsidRDefault="007528AE" w:rsidP="007528AE">
      <w:pPr>
        <w:ind w:left="720"/>
      </w:pPr>
    </w:p>
    <w:p w:rsidR="007528AE" w:rsidRPr="00B17CBA" w:rsidRDefault="007528AE" w:rsidP="007528AE">
      <w:pPr>
        <w:ind w:left="720"/>
      </w:pPr>
      <w:r w:rsidRPr="00CA4465">
        <w:t xml:space="preserve">There </w:t>
      </w:r>
      <w:r>
        <w:t>are</w:t>
      </w:r>
      <w:r w:rsidRPr="00CA4465">
        <w:t xml:space="preserve"> two distinct standards for determining whether prosecutorial misconduct is harmless error; serious misconduct will be found “harmless beyond a reasonable doubt if the verdict rendered was surely unattributable to the error,” while for less serious misconduct, the standard is “whether the misconduct likely played a substantial part in influencing the jury to convict.”  </w:t>
      </w:r>
      <w:r w:rsidRPr="00CA4465">
        <w:rPr>
          <w:i/>
        </w:rPr>
        <w:t>State v. Powers</w:t>
      </w:r>
      <w:r w:rsidRPr="00CA4465">
        <w:t>, 654 N.W.2d 667, 678 (Minn. 2003) (</w:t>
      </w:r>
      <w:r>
        <w:t>quo</w:t>
      </w:r>
      <w:r w:rsidRPr="00CA4465">
        <w:t xml:space="preserve">ting </w:t>
      </w:r>
      <w:r w:rsidRPr="00CA4465">
        <w:rPr>
          <w:i/>
        </w:rPr>
        <w:t>State v. Hunt</w:t>
      </w:r>
      <w:r w:rsidRPr="00CA4465">
        <w:t>, 615 N.W.2d 294, 302 (Minn. 2000))</w:t>
      </w:r>
      <w:r>
        <w:t xml:space="preserve">; </w:t>
      </w:r>
      <w:r>
        <w:rPr>
          <w:i/>
        </w:rPr>
        <w:t>but see State v. Mayhorn</w:t>
      </w:r>
      <w:r>
        <w:t xml:space="preserve">, 720 N.W.2d 776, 785 (Minn. 2006) (applying a streamlined approach to review of prosecutorial misconduct).  The supreme court recently has questioned whether this two-tier approach is still good law, while declining to decide the question.  </w:t>
      </w:r>
      <w:r>
        <w:rPr>
          <w:i/>
        </w:rPr>
        <w:t>See State v. McDaniel</w:t>
      </w:r>
      <w:r>
        <w:t>, 777 N.W.2d 739, 749 (Minn. 2010).</w:t>
      </w:r>
    </w:p>
    <w:p w:rsidR="007528AE" w:rsidRPr="00CA4465" w:rsidRDefault="007528AE" w:rsidP="007528AE"/>
    <w:p w:rsidR="007528AE" w:rsidRPr="00CA4465" w:rsidRDefault="007528AE" w:rsidP="007528AE">
      <w:pPr>
        <w:ind w:left="720"/>
      </w:pPr>
      <w:r w:rsidRPr="00CA4465">
        <w:t xml:space="preserve">“If the defendant failed to object to the misconduct at trial, he forfeits the right to have the issue considered on appeal, but if the error is sufficient, this court may review.”  </w:t>
      </w:r>
      <w:r w:rsidRPr="00CA4465">
        <w:rPr>
          <w:i/>
        </w:rPr>
        <w:t>State v. Powers</w:t>
      </w:r>
      <w:r w:rsidRPr="00CA4465">
        <w:t xml:space="preserve">, 654 N.W.2d 667, 678 (Minn. 2003) (citing </w:t>
      </w:r>
      <w:r w:rsidRPr="00CA4465">
        <w:rPr>
          <w:i/>
        </w:rPr>
        <w:t>State v. Sanders</w:t>
      </w:r>
      <w:r w:rsidRPr="00CA4465">
        <w:t xml:space="preserve">, 598 N.W.2d 650, 656 (Minn. 1999)). </w:t>
      </w:r>
      <w:r>
        <w:t xml:space="preserve"> </w:t>
      </w:r>
      <w:r w:rsidRPr="00CA4465">
        <w:t xml:space="preserve">Only when the misconduct is unduly prejudicial will relief be granted absent a trial objection or request for instruction.  </w:t>
      </w:r>
      <w:r w:rsidRPr="00CA4465">
        <w:rPr>
          <w:i/>
        </w:rPr>
        <w:t>State v. Whittaker</w:t>
      </w:r>
      <w:r w:rsidRPr="00CA4465">
        <w:t xml:space="preserve">, 568 N.W.2d 440, 450 (Minn. 1997).  When the defendant fails to object, prosecutorial misconduct is reviewed under the plain-error standard announced in </w:t>
      </w:r>
      <w:r w:rsidRPr="00CA4465">
        <w:rPr>
          <w:i/>
        </w:rPr>
        <w:t>State v. Griller</w:t>
      </w:r>
      <w:r w:rsidRPr="00CA4465">
        <w:t xml:space="preserve">, 583 N.W.2d 736, 740 (Minn. 1998).  </w:t>
      </w:r>
      <w:r>
        <w:rPr>
          <w:i/>
        </w:rPr>
        <w:t xml:space="preserve">State v. </w:t>
      </w:r>
      <w:r w:rsidRPr="00E24B2B">
        <w:rPr>
          <w:i/>
        </w:rPr>
        <w:t>Ramey</w:t>
      </w:r>
      <w:r>
        <w:t>, 721 N.W.2d 294, 302 (Minn. 2006).  But under this modified plain-error standard, o</w:t>
      </w:r>
      <w:r w:rsidRPr="00E24B2B">
        <w:t>n</w:t>
      </w:r>
      <w:r>
        <w:t xml:space="preserve"> the third</w:t>
      </w:r>
      <w:r w:rsidRPr="00CA4465">
        <w:t xml:space="preserve"> or “prejudice” prong, the state now bears the burden of proving that there is no reasonable likelihood that the absence of the misconduct would have a significant effect on the jury’s verdict.  </w:t>
      </w:r>
      <w:r>
        <w:rPr>
          <w:i/>
        </w:rPr>
        <w:t>Id.</w:t>
      </w:r>
      <w:r>
        <w:t xml:space="preserve"> at </w:t>
      </w:r>
      <w:r w:rsidRPr="00CA4465">
        <w:t>302.</w:t>
      </w:r>
    </w:p>
    <w:p w:rsidR="007528AE" w:rsidRPr="00CA4465" w:rsidRDefault="007528AE" w:rsidP="007528AE">
      <w:pPr>
        <w:rPr>
          <w:strike/>
        </w:rPr>
      </w:pPr>
    </w:p>
    <w:p w:rsidR="007528AE" w:rsidRPr="00E17A10" w:rsidRDefault="007528AE" w:rsidP="007528AE">
      <w:pPr>
        <w:ind w:left="720"/>
        <w:rPr>
          <w:i/>
        </w:rPr>
      </w:pPr>
      <w:r w:rsidRPr="00CA4465">
        <w:t xml:space="preserve">The general rule that a party must object to alleged prosecutorial misconduct or waive the issue does not apply to a criminal defendant appearing pro se.  </w:t>
      </w:r>
      <w:r w:rsidRPr="00CA4465">
        <w:rPr>
          <w:i/>
        </w:rPr>
        <w:t>State v. Stufflebean</w:t>
      </w:r>
      <w:r w:rsidRPr="00CA4465">
        <w:t>, 329 N.W.2d 314, 318 (Minn. 1983</w:t>
      </w:r>
      <w:r>
        <w:t>) (holding appellate court must evaluate the misconduct to determine whether it was so serious the district court should have intervened sua sponte).</w:t>
      </w:r>
      <w:r w:rsidRPr="00CA4465">
        <w:t xml:space="preserve"> </w:t>
      </w:r>
    </w:p>
    <w:p w:rsidR="004F10A3" w:rsidRPr="00CA4465" w:rsidRDefault="004F10A3" w:rsidP="00337FFA">
      <w:pPr>
        <w:pStyle w:val="Heading3"/>
      </w:pPr>
      <w:bookmarkStart w:id="442" w:name="_Toc395604668"/>
      <w:r w:rsidRPr="00CA4465">
        <w:lastRenderedPageBreak/>
        <w:t>6.</w:t>
      </w:r>
      <w:r w:rsidRPr="00CA4465">
        <w:tab/>
        <w:t>Juror Misconduct</w:t>
      </w:r>
      <w:bookmarkEnd w:id="441"/>
      <w:bookmarkEnd w:id="442"/>
      <w:r w:rsidRPr="00CA4465">
        <w:t xml:space="preserve"> </w:t>
      </w:r>
    </w:p>
    <w:p w:rsidR="007528AE" w:rsidRPr="00CA4465" w:rsidRDefault="007528AE" w:rsidP="007528AE">
      <w:pPr>
        <w:ind w:left="720"/>
      </w:pPr>
      <w:bookmarkStart w:id="443" w:name="_Toc48979662"/>
      <w:r w:rsidRPr="00CA4465">
        <w:t xml:space="preserve">“The standard of review for denial of a </w:t>
      </w:r>
      <w:r w:rsidRPr="00CA4465">
        <w:rPr>
          <w:i/>
          <w:iCs/>
        </w:rPr>
        <w:t>Schwartz</w:t>
      </w:r>
      <w:r w:rsidRPr="00CA4465">
        <w:t xml:space="preserve"> hearing is abuse of discretion.”  </w:t>
      </w:r>
      <w:r w:rsidR="0035647F">
        <w:rPr>
          <w:i/>
        </w:rPr>
        <w:t>State v. Church</w:t>
      </w:r>
      <w:r w:rsidR="0035647F">
        <w:t>,</w:t>
      </w:r>
      <w:r w:rsidRPr="00CA4465">
        <w:t xml:space="preserve"> 577 N.W.2d 715, 721 (Minn. 1998).  “The granting of a </w:t>
      </w:r>
      <w:r w:rsidRPr="00CA4465">
        <w:rPr>
          <w:i/>
          <w:iCs/>
        </w:rPr>
        <w:t>Schwartz</w:t>
      </w:r>
      <w:r w:rsidRPr="00CA4465">
        <w:t xml:space="preserve"> hearing is generally a matter of discretion for the [district] court.”  </w:t>
      </w:r>
      <w:r w:rsidRPr="00CA4465">
        <w:rPr>
          <w:i/>
        </w:rPr>
        <w:t>State v. Rainer</w:t>
      </w:r>
      <w:r w:rsidRPr="00CA4465">
        <w:t>, 411 N.W.2d 490, 498 (Minn. 1987).</w:t>
      </w:r>
    </w:p>
    <w:p w:rsidR="007528AE" w:rsidRPr="00CA4465" w:rsidRDefault="007528AE" w:rsidP="007528AE">
      <w:pPr>
        <w:ind w:left="720"/>
      </w:pPr>
    </w:p>
    <w:p w:rsidR="007528AE" w:rsidRPr="00CA4465" w:rsidRDefault="007528AE" w:rsidP="007528AE">
      <w:pPr>
        <w:ind w:left="720"/>
      </w:pPr>
      <w:r w:rsidRPr="00CA4465">
        <w:t xml:space="preserve">A district court’s findings as to the presence or absence of juror bias is “based upon determinations of demeanor and credibility” and therefore is entitled to deference.  Actual bias is a question of fact that the district court is in the best position to evaluate.  </w:t>
      </w:r>
      <w:r w:rsidRPr="00CA4465">
        <w:rPr>
          <w:i/>
        </w:rPr>
        <w:t>State v. Evans</w:t>
      </w:r>
      <w:r w:rsidRPr="00CA4465">
        <w:t xml:space="preserve">, 756 N.W.2d 854, 870 (Minn. 2008) (quotation omitted). </w:t>
      </w:r>
    </w:p>
    <w:p w:rsidR="004F10A3" w:rsidRPr="00CA4465" w:rsidRDefault="00BD2015" w:rsidP="00337FFA">
      <w:pPr>
        <w:pStyle w:val="Heading3"/>
      </w:pPr>
      <w:bookmarkStart w:id="444" w:name="_Toc395604669"/>
      <w:r>
        <w:t>7</w:t>
      </w:r>
      <w:r w:rsidR="004F10A3" w:rsidRPr="00CA4465">
        <w:t>.</w:t>
      </w:r>
      <w:r w:rsidR="004F10A3" w:rsidRPr="00CA4465">
        <w:tab/>
        <w:t>Sufficiency of the Evidence</w:t>
      </w:r>
      <w:bookmarkEnd w:id="443"/>
      <w:bookmarkEnd w:id="444"/>
      <w:r w:rsidR="004F10A3" w:rsidRPr="00CA4465">
        <w:t xml:space="preserve"> </w:t>
      </w:r>
      <w:bookmarkStart w:id="445" w:name="_Toc48979663"/>
    </w:p>
    <w:p w:rsidR="00BD2015" w:rsidRPr="00CA4465" w:rsidRDefault="00BD2015" w:rsidP="00BD2015">
      <w:pPr>
        <w:pStyle w:val="Heading4"/>
      </w:pPr>
      <w:bookmarkStart w:id="446" w:name="_Toc358882963"/>
      <w:bookmarkStart w:id="447" w:name="_Toc395604670"/>
      <w:bookmarkStart w:id="448" w:name="_Toc48979671"/>
      <w:bookmarkEnd w:id="445"/>
      <w:r w:rsidRPr="00CA4465">
        <w:t>a.</w:t>
      </w:r>
      <w:r w:rsidRPr="00CA4465">
        <w:tab/>
        <w:t>In General</w:t>
      </w:r>
      <w:bookmarkEnd w:id="446"/>
      <w:bookmarkEnd w:id="447"/>
      <w:r w:rsidRPr="00CA4465">
        <w:t xml:space="preserve"> </w:t>
      </w:r>
    </w:p>
    <w:p w:rsidR="005411B2" w:rsidRDefault="005411B2" w:rsidP="005411B2">
      <w:pPr>
        <w:ind w:left="1440"/>
      </w:pPr>
      <w:r w:rsidRPr="005411B2">
        <w:t xml:space="preserve">When a sufficiency-of-the-evidence claim involves the question of whether the defendant’s conduct meets the statutory definition of an offense, an appellate court is presented with a question of statutory interpretation that is reviewed de novo.  </w:t>
      </w:r>
      <w:r w:rsidRPr="005411B2">
        <w:rPr>
          <w:i/>
        </w:rPr>
        <w:t>See State v. Hayes</w:t>
      </w:r>
      <w:r w:rsidRPr="005411B2">
        <w:t>, 826 N.W.2d 799, 803 (Minn. 2013).</w:t>
      </w:r>
    </w:p>
    <w:p w:rsidR="005411B2" w:rsidRPr="005411B2" w:rsidRDefault="005411B2" w:rsidP="005411B2">
      <w:pPr>
        <w:ind w:left="1440"/>
      </w:pPr>
    </w:p>
    <w:p w:rsidR="00BD2015" w:rsidRPr="00CA4465" w:rsidRDefault="00BD2015" w:rsidP="00BD2015">
      <w:pPr>
        <w:ind w:left="1440"/>
      </w:pPr>
      <w:r w:rsidRPr="00CA4465">
        <w:t xml:space="preserve">In considering a claim of insufficient evidence, this court’s review is limited to a painstaking analysis of the record to determine whether the evidence, when viewed in the light most favorable to the conviction, is sufficient to allow the jurors to reach the verdict that they did.  </w:t>
      </w:r>
      <w:r w:rsidRPr="00CA4465">
        <w:rPr>
          <w:i/>
        </w:rPr>
        <w:t>State v.</w:t>
      </w:r>
      <w:r w:rsidRPr="00CA4465">
        <w:t xml:space="preserve"> </w:t>
      </w:r>
      <w:r w:rsidRPr="00CA4465">
        <w:rPr>
          <w:i/>
        </w:rPr>
        <w:t>Webb</w:t>
      </w:r>
      <w:r w:rsidRPr="00CA4465">
        <w:t xml:space="preserve">, 440 N.W.2d 426, 430 (Minn. 1989).  The reviewing court must assume “the jury believed the state’s witnesses and disbelieved any evidence to the contrary.”  </w:t>
      </w:r>
      <w:r w:rsidRPr="00CA4465">
        <w:rPr>
          <w:i/>
          <w:iCs/>
        </w:rPr>
        <w:t>State v. Moore</w:t>
      </w:r>
      <w:r w:rsidRPr="00CA4465">
        <w:t xml:space="preserve">, 438 N.W.2d 101, 108 (Minn. 1989).  This is especially true when resolution of the matter depends mainly on conflicting testimony.  </w:t>
      </w:r>
      <w:r w:rsidRPr="00CA4465">
        <w:rPr>
          <w:i/>
        </w:rPr>
        <w:t>State v. Pieschke</w:t>
      </w:r>
      <w:r w:rsidRPr="00CA4465">
        <w:t xml:space="preserve">, 295 N.W.2d 580, 584 (Minn. 1980).  The reviewing court will not disturb the verdict if the jury, acting with due regard for the presumption of innocence and the requirement of proof beyond a reasonable doubt, could reasonably conclude the defendant was guilty of the charged offense.  </w:t>
      </w:r>
      <w:r w:rsidRPr="00CA4465">
        <w:rPr>
          <w:i/>
        </w:rPr>
        <w:t>Bernhardt v. State</w:t>
      </w:r>
      <w:r w:rsidRPr="00CA4465">
        <w:t>, 684 N.W.2d 465, 476-77 (Minn. 2004).</w:t>
      </w:r>
    </w:p>
    <w:p w:rsidR="00BD2015" w:rsidRPr="00CA4465" w:rsidRDefault="00BD2015" w:rsidP="00BD2015">
      <w:pPr>
        <w:pStyle w:val="Heading4"/>
      </w:pPr>
      <w:bookmarkStart w:id="449" w:name="_Toc48979664"/>
      <w:bookmarkStart w:id="450" w:name="_Toc358882964"/>
      <w:bookmarkStart w:id="451" w:name="_Toc395604671"/>
      <w:r w:rsidRPr="00CA4465">
        <w:t>b.</w:t>
      </w:r>
      <w:r w:rsidRPr="00CA4465">
        <w:tab/>
      </w:r>
      <w:r w:rsidR="005411B2">
        <w:t xml:space="preserve">Direct and </w:t>
      </w:r>
      <w:r w:rsidRPr="00CA4465">
        <w:t>Circumstantial Evidence</w:t>
      </w:r>
      <w:bookmarkEnd w:id="449"/>
      <w:bookmarkEnd w:id="450"/>
      <w:bookmarkEnd w:id="451"/>
      <w:r w:rsidRPr="00CA4465">
        <w:t xml:space="preserve"> </w:t>
      </w:r>
    </w:p>
    <w:p w:rsidR="005411B2" w:rsidRDefault="005411B2" w:rsidP="005411B2">
      <w:pPr>
        <w:ind w:left="1440"/>
      </w:pPr>
      <w:r w:rsidRPr="005411B2">
        <w:t xml:space="preserve">Direct evidence is the testimony of a person who perceived the fact through his senses or physical evidence of the fact itself.  </w:t>
      </w:r>
      <w:r w:rsidRPr="005411B2">
        <w:rPr>
          <w:i/>
        </w:rPr>
        <w:t>State v. Williams</w:t>
      </w:r>
      <w:r w:rsidRPr="005411B2">
        <w:t xml:space="preserve">, 337 N.W.2d 387, 389 (Minn. 1983).  For example, a victim’s identification of her assailant’s voice is direct evidence, </w:t>
      </w:r>
      <w:r w:rsidRPr="005411B2">
        <w:rPr>
          <w:i/>
        </w:rPr>
        <w:t>see State v. Otten</w:t>
      </w:r>
      <w:r w:rsidRPr="005411B2">
        <w:t xml:space="preserve">, 292 Minn. 493, 494, 195 N.W.2d 590, 591 (1972), and a defendant’s confession is also direct evidence of guilt, </w:t>
      </w:r>
      <w:r w:rsidRPr="005411B2">
        <w:rPr>
          <w:i/>
        </w:rPr>
        <w:t>see State v. McClain</w:t>
      </w:r>
      <w:r w:rsidRPr="005411B2">
        <w:t>, 208 Minn. 91, 95-96, 292 N.W. 753, 755 (1940).</w:t>
      </w:r>
    </w:p>
    <w:p w:rsidR="005411B2" w:rsidRPr="005411B2" w:rsidRDefault="005411B2" w:rsidP="005411B2">
      <w:pPr>
        <w:ind w:left="1440"/>
      </w:pPr>
    </w:p>
    <w:p w:rsidR="00BD2015" w:rsidRPr="00CA4465" w:rsidRDefault="005411B2" w:rsidP="005411B2">
      <w:pPr>
        <w:ind w:left="1440"/>
      </w:pPr>
      <w:r w:rsidRPr="005411B2">
        <w:t xml:space="preserve"> </w:t>
      </w:r>
      <w:r w:rsidR="00BD2015" w:rsidRPr="00CA4465">
        <w:t xml:space="preserve">“[A] conviction based entirely on circumstantial evidence merits stricter scrutiny than convictions based in part on direct evidence.”  </w:t>
      </w:r>
      <w:r w:rsidR="00BD2015" w:rsidRPr="00CA4465">
        <w:rPr>
          <w:i/>
        </w:rPr>
        <w:t>State v. Jones</w:t>
      </w:r>
      <w:r w:rsidR="00BD2015" w:rsidRPr="00CA4465">
        <w:t xml:space="preserve">, 516 N.W.2d 545, 549 (Minn. 1994).  “While it warrants stricter scrutiny, circumstantial </w:t>
      </w:r>
      <w:r w:rsidR="00BD2015" w:rsidRPr="00CA4465">
        <w:lastRenderedPageBreak/>
        <w:t xml:space="preserve">evidence is entitled to the same weight as direct evidence.”  </w:t>
      </w:r>
      <w:r w:rsidR="00BD2015" w:rsidRPr="00CA4465">
        <w:rPr>
          <w:i/>
        </w:rPr>
        <w:t>State v. Bauer</w:t>
      </w:r>
      <w:r w:rsidR="00BD2015" w:rsidRPr="00CA4465">
        <w:t xml:space="preserve">, 598 N.W.2d 352, 370 (Minn. 1999).  The circumstantial evidence must form a complete chain that, in view of the evidence as a whole, leads so directly to the guilt of the defendant as to exclude beyond a reasonable doubt any reasonable inference other than guilt.  </w:t>
      </w:r>
      <w:r w:rsidR="00BD2015" w:rsidRPr="00CA4465">
        <w:rPr>
          <w:i/>
        </w:rPr>
        <w:t>Jones</w:t>
      </w:r>
      <w:r w:rsidR="00BD2015" w:rsidRPr="00CA4465">
        <w:t xml:space="preserve">, 516 N.W.2d at 549.  A jury, however, is in the best position to evaluate circumstantial evidence, and its verdict is entitled to due deference.  </w:t>
      </w:r>
      <w:r w:rsidR="00BD2015" w:rsidRPr="00CA4465">
        <w:rPr>
          <w:i/>
        </w:rPr>
        <w:t>State v. Webb</w:t>
      </w:r>
      <w:r w:rsidR="00BD2015" w:rsidRPr="00CA4465">
        <w:t>, 440 N.W.2d 426, 430 (Minn. 1989).</w:t>
      </w:r>
    </w:p>
    <w:p w:rsidR="00BD2015" w:rsidRPr="00CA4465" w:rsidRDefault="00BD2015" w:rsidP="00BD2015">
      <w:pPr>
        <w:ind w:left="1440"/>
      </w:pPr>
    </w:p>
    <w:p w:rsidR="00BD2015" w:rsidRPr="00E17A10" w:rsidRDefault="00BD2015" w:rsidP="00BD2015">
      <w:pPr>
        <w:ind w:left="1440"/>
      </w:pPr>
      <w:r>
        <w:t xml:space="preserve">In applying the circumstantial evidence </w:t>
      </w:r>
      <w:r w:rsidRPr="00CA4465">
        <w:t xml:space="preserve">standard, the reviewing court </w:t>
      </w:r>
      <w:r>
        <w:t xml:space="preserve">uses a two-step analysis.  </w:t>
      </w:r>
      <w:r>
        <w:rPr>
          <w:i/>
        </w:rPr>
        <w:t>State v. Silvernail</w:t>
      </w:r>
      <w:r>
        <w:t xml:space="preserve">, 831 N.W.2d 594, 598 (Minn. 2013). </w:t>
      </w:r>
      <w:r>
        <w:rPr>
          <w:i/>
        </w:rPr>
        <w:t xml:space="preserve"> </w:t>
      </w:r>
      <w:r w:rsidRPr="001E5C01">
        <w:t>“</w:t>
      </w:r>
      <w:r>
        <w:t xml:space="preserve">The first step is to identify the circumstances proved.  In identifying the circumstances proved, we defer ‘to the jury’s acceptance of the proof of these circumstances and rejection of evidence in the record that conflicted with the circumstances proved by the State.’”  </w:t>
      </w:r>
      <w:r>
        <w:rPr>
          <w:i/>
        </w:rPr>
        <w:t>Id.</w:t>
      </w:r>
      <w:r>
        <w:t xml:space="preserve"> at 599</w:t>
      </w:r>
      <w:r>
        <w:rPr>
          <w:i/>
        </w:rPr>
        <w:t xml:space="preserve"> </w:t>
      </w:r>
      <w:r>
        <w:t>(</w:t>
      </w:r>
      <w:r w:rsidR="001E5C01">
        <w:t>citing</w:t>
      </w:r>
      <w:r>
        <w:t xml:space="preserve"> </w:t>
      </w:r>
      <w:r w:rsidRPr="00CA4465">
        <w:rPr>
          <w:i/>
        </w:rPr>
        <w:t xml:space="preserve">State v. </w:t>
      </w:r>
      <w:r>
        <w:rPr>
          <w:i/>
        </w:rPr>
        <w:t>Andersen</w:t>
      </w:r>
      <w:r w:rsidRPr="00CA4465">
        <w:t>, 7</w:t>
      </w:r>
      <w:r>
        <w:t>84</w:t>
      </w:r>
      <w:r w:rsidRPr="00CA4465">
        <w:t xml:space="preserve"> N.W.2d </w:t>
      </w:r>
      <w:r>
        <w:t>320, 329</w:t>
      </w:r>
      <w:r w:rsidRPr="00CA4465">
        <w:t xml:space="preserve"> (Minn. 2010</w:t>
      </w:r>
      <w:r>
        <w:t>)</w:t>
      </w:r>
      <w:r w:rsidRPr="00CA4465">
        <w:t xml:space="preserve">).  </w:t>
      </w:r>
      <w:r>
        <w:t xml:space="preserve">The reviewing court “construe[s] conflicting evidence in the light most favorable to the verdict and assume[s] that the jury believed the State’s witnesses and disbelieved the defense witnesses.”  </w:t>
      </w:r>
      <w:r w:rsidR="001E5C01">
        <w:rPr>
          <w:i/>
        </w:rPr>
        <w:t>Id.</w:t>
      </w:r>
      <w:r w:rsidR="001E5C01">
        <w:t xml:space="preserve"> (quotation omitted).</w:t>
      </w:r>
      <w:r>
        <w:rPr>
          <w:i/>
        </w:rPr>
        <w:t xml:space="preserve">  </w:t>
      </w:r>
      <w:r>
        <w:t xml:space="preserve">“The second step is to determine whether the circumstances proved are consistent with guilt and inconsistent with any rational hypothesis except that of guilt.”  </w:t>
      </w:r>
      <w:r>
        <w:rPr>
          <w:i/>
        </w:rPr>
        <w:t>Id.</w:t>
      </w:r>
      <w:r>
        <w:t xml:space="preserve"> (quotation omitted).  </w:t>
      </w:r>
      <w:bookmarkStart w:id="452" w:name="_Toc48979665"/>
    </w:p>
    <w:p w:rsidR="00BD2015" w:rsidRPr="00CA4465" w:rsidRDefault="00BD2015" w:rsidP="00BD2015">
      <w:pPr>
        <w:pStyle w:val="Heading4"/>
      </w:pPr>
      <w:bookmarkStart w:id="453" w:name="_Toc358882965"/>
      <w:bookmarkStart w:id="454" w:name="_Toc395604672"/>
      <w:r w:rsidRPr="00CA4465">
        <w:t>c.</w:t>
      </w:r>
      <w:r w:rsidRPr="00CA4465">
        <w:tab/>
        <w:t>Evidence Corroborating an Accomplice’s Testimony</w:t>
      </w:r>
      <w:bookmarkEnd w:id="452"/>
      <w:bookmarkEnd w:id="453"/>
      <w:bookmarkEnd w:id="454"/>
      <w:r w:rsidRPr="00CA4465">
        <w:t xml:space="preserve"> </w:t>
      </w:r>
    </w:p>
    <w:p w:rsidR="00BD2015" w:rsidRDefault="00BD2015" w:rsidP="00BD2015">
      <w:pPr>
        <w:ind w:left="1440"/>
      </w:pPr>
      <w:r w:rsidRPr="00CA4465">
        <w:t xml:space="preserve">The sufficiency of the circumstantial evidence to corroborate an accomplice’s testimony that the defendant participated in the crime charged is reviewed in the light most favorable to the verdict.  </w:t>
      </w:r>
      <w:r w:rsidRPr="00CA4465">
        <w:rPr>
          <w:i/>
        </w:rPr>
        <w:t>State v. Bowles</w:t>
      </w:r>
      <w:r w:rsidRPr="00CA4465">
        <w:t>, 530 N.W.2d 521, 532 (Minn. 1995).</w:t>
      </w:r>
    </w:p>
    <w:p w:rsidR="00BD2015" w:rsidRPr="00CA4465" w:rsidRDefault="00BD2015" w:rsidP="00BD2015">
      <w:pPr>
        <w:ind w:left="1440"/>
      </w:pPr>
    </w:p>
    <w:p w:rsidR="00BD2015" w:rsidRPr="00CA4465" w:rsidRDefault="00BD2015" w:rsidP="00BD2015">
      <w:pPr>
        <w:ind w:left="1440"/>
      </w:pPr>
      <w:r w:rsidRPr="00CA4465">
        <w:t>“Corroborating evidence is sufficient if it ‘restores confidence in the accomplice</w:t>
      </w:r>
      <w:r w:rsidR="009D694C">
        <w:t>’</w:t>
      </w:r>
      <w:r w:rsidRPr="00CA4465">
        <w:t xml:space="preserve">s testimony, confirming its truth and pointing to the defendant’s guilt in some substantial degree.’”  </w:t>
      </w:r>
      <w:r w:rsidRPr="00CA4465">
        <w:rPr>
          <w:i/>
        </w:rPr>
        <w:t>State v. Ford</w:t>
      </w:r>
      <w:r w:rsidRPr="00CA4465">
        <w:t xml:space="preserve">, 539 N.W.2d 214, 225 (Minn. 1995) (quoting </w:t>
      </w:r>
      <w:r w:rsidRPr="00CA4465">
        <w:rPr>
          <w:i/>
        </w:rPr>
        <w:t>State v. Scruggs</w:t>
      </w:r>
      <w:r w:rsidRPr="00CA4465">
        <w:t>, 421 N.W.2d 707, 713 (Minn. 1988)).</w:t>
      </w:r>
    </w:p>
    <w:p w:rsidR="00BD2015" w:rsidRPr="00CA4465" w:rsidRDefault="00BD2015" w:rsidP="00BD2015"/>
    <w:p w:rsidR="00BD2015" w:rsidRPr="00CA4465" w:rsidRDefault="00BD2015" w:rsidP="00BD2015">
      <w:pPr>
        <w:ind w:left="1440"/>
      </w:pPr>
      <w:r w:rsidRPr="00CA4465">
        <w:t xml:space="preserve">“Evidence that merely shows the commission of the crime or the circumstances thereof is not sufficient to corroborate accomplice testimony.”  </w:t>
      </w:r>
      <w:r w:rsidRPr="00CA4465">
        <w:rPr>
          <w:i/>
        </w:rPr>
        <w:t>State v. Johnson</w:t>
      </w:r>
      <w:r w:rsidRPr="00CA4465">
        <w:t xml:space="preserve">, 616 N.W.2d 720, 727 (Minn. 2000).  Corroborating evidence may be direct or circumstantial; it is viewed in a light most favorable to the verdict and, “while it need not establish a prima facie case of the defendant’s guilt, it must point to [the] defendant’s guilt in some substantial way.”  </w:t>
      </w:r>
      <w:r w:rsidRPr="00CA4465">
        <w:rPr>
          <w:i/>
          <w:iCs/>
        </w:rPr>
        <w:t>Id.</w:t>
      </w:r>
      <w:r w:rsidR="009D694C">
        <w:rPr>
          <w:iCs/>
        </w:rPr>
        <w:t>;</w:t>
      </w:r>
      <w:r w:rsidRPr="00CA4465">
        <w:rPr>
          <w:i/>
          <w:iCs/>
        </w:rPr>
        <w:t xml:space="preserve"> s</w:t>
      </w:r>
      <w:r w:rsidRPr="00CA4465">
        <w:rPr>
          <w:i/>
        </w:rPr>
        <w:t>ee</w:t>
      </w:r>
      <w:r w:rsidRPr="00CA4465">
        <w:t xml:space="preserve"> Minn. Stat. § 634.04 </w:t>
      </w:r>
      <w:r w:rsidR="00042677">
        <w:t>(Supp. 2013)</w:t>
      </w:r>
      <w:r w:rsidRPr="00CA4465">
        <w:t xml:space="preserve"> (providing that accomplice testimony must be corroborated).</w:t>
      </w:r>
    </w:p>
    <w:p w:rsidR="004F10A3" w:rsidRPr="00CA4465" w:rsidRDefault="004F10A3" w:rsidP="00604DD4">
      <w:pPr>
        <w:pStyle w:val="Heading2"/>
      </w:pPr>
      <w:bookmarkStart w:id="455" w:name="_Toc395604673"/>
      <w:r w:rsidRPr="00CA4465">
        <w:t>D.</w:t>
      </w:r>
      <w:r w:rsidRPr="00CA4465">
        <w:tab/>
        <w:t>SENTENCING</w:t>
      </w:r>
      <w:bookmarkStart w:id="456" w:name="_Toc48979672"/>
      <w:bookmarkEnd w:id="448"/>
      <w:bookmarkEnd w:id="455"/>
    </w:p>
    <w:p w:rsidR="00146883" w:rsidRDefault="007405E6" w:rsidP="00337FFA">
      <w:pPr>
        <w:pStyle w:val="Heading3"/>
      </w:pPr>
      <w:bookmarkStart w:id="457" w:name="_Toc395604674"/>
      <w:r w:rsidRPr="001B501E">
        <w:t>1.</w:t>
      </w:r>
      <w:r w:rsidRPr="001B501E">
        <w:tab/>
      </w:r>
      <w:r w:rsidR="00146883">
        <w:t>In General</w:t>
      </w:r>
      <w:bookmarkEnd w:id="457"/>
    </w:p>
    <w:p w:rsidR="00146883" w:rsidRPr="00146883" w:rsidRDefault="00146883" w:rsidP="00146883">
      <w:pPr>
        <w:ind w:left="720"/>
      </w:pPr>
      <w:r w:rsidRPr="00146883">
        <w:t xml:space="preserve">“[F]or purposes of appellate review, a continuance for dismissal is functionally equivalent to a stay of adjudication. Consequently, we review a continuance for dismissal </w:t>
      </w:r>
      <w:r w:rsidRPr="00146883">
        <w:lastRenderedPageBreak/>
        <w:t xml:space="preserve">by applying the caselaw that applies to a stay of adjudication. Accordingly, a district court may order a continuance for dismissal only for the purpose of avoiding an injustice resulting from the prosecutor’s </w:t>
      </w:r>
      <w:r w:rsidRPr="00146883">
        <w:rPr>
          <w:i/>
        </w:rPr>
        <w:t>clear abuse of discretion</w:t>
      </w:r>
      <w:r w:rsidRPr="00146883">
        <w:t xml:space="preserve"> in the exercise of the charging function.”  </w:t>
      </w:r>
      <w:r w:rsidRPr="00146883">
        <w:rPr>
          <w:i/>
        </w:rPr>
        <w:t>State v. Martin</w:t>
      </w:r>
      <w:r w:rsidRPr="00146883">
        <w:t xml:space="preserve">, ___ N.W.2d ___, ____ (Minn. App. 2014) (quotation and citations omitted).  “This court applies a </w:t>
      </w:r>
      <w:r w:rsidRPr="00146883">
        <w:rPr>
          <w:i/>
        </w:rPr>
        <w:t>de novo</w:t>
      </w:r>
      <w:r w:rsidRPr="00146883">
        <w:t xml:space="preserve"> standard of review to a district court order that precludes adjudication of a defendant’s guilt.”  </w:t>
      </w:r>
      <w:r w:rsidRPr="00146883">
        <w:rPr>
          <w:i/>
        </w:rPr>
        <w:t xml:space="preserve">Id. </w:t>
      </w:r>
      <w:r w:rsidRPr="00146883">
        <w:t>at ___.</w:t>
      </w:r>
    </w:p>
    <w:p w:rsidR="00146883" w:rsidRPr="00146883" w:rsidRDefault="00146883" w:rsidP="00146883">
      <w:pPr>
        <w:ind w:left="720"/>
      </w:pPr>
    </w:p>
    <w:p w:rsidR="00146883" w:rsidRPr="00146883" w:rsidRDefault="00146883" w:rsidP="00146883">
      <w:pPr>
        <w:ind w:left="720"/>
      </w:pPr>
      <w:r w:rsidRPr="00146883">
        <w:t xml:space="preserve">“We review a district court’s denial of a motion to correct a sentence [under Minn. R. Crim. P. 27.03, subd. 9] for an abuse of discretion.  Specifically, we review the district court’s legal conclusions de novo and its factual findings under the clearly erroneous standard.”  </w:t>
      </w:r>
      <w:r w:rsidRPr="00146883">
        <w:rPr>
          <w:i/>
        </w:rPr>
        <w:t>Townsend v. State</w:t>
      </w:r>
      <w:r w:rsidRPr="00146883">
        <w:t>, 834 N.W.2d 736, 738 (Minn. 2013) (citation omitted).</w:t>
      </w:r>
    </w:p>
    <w:p w:rsidR="007405E6" w:rsidRPr="001B501E" w:rsidRDefault="00146883" w:rsidP="00337FFA">
      <w:pPr>
        <w:pStyle w:val="Heading3"/>
      </w:pPr>
      <w:bookmarkStart w:id="458" w:name="_Toc395604675"/>
      <w:r>
        <w:t>2.</w:t>
      </w:r>
      <w:r>
        <w:tab/>
      </w:r>
      <w:r w:rsidR="007405E6" w:rsidRPr="001B501E">
        <w:t>Interpretation of Guidelines</w:t>
      </w:r>
      <w:bookmarkEnd w:id="458"/>
    </w:p>
    <w:p w:rsidR="00BD2015" w:rsidRDefault="00BD2015" w:rsidP="00BD2015">
      <w:pPr>
        <w:ind w:left="720"/>
      </w:pPr>
      <w:r>
        <w:t xml:space="preserve">“[I]nterpretation of the sentencing guidelines [is] subject to de novo </w:t>
      </w:r>
      <w:r w:rsidRPr="007405E6">
        <w:t xml:space="preserve">review . . . . We apply the rules of statutory construction to our interpretation of the sentencing guidelines.”  </w:t>
      </w:r>
      <w:r w:rsidRPr="007405E6">
        <w:rPr>
          <w:i/>
        </w:rPr>
        <w:t>State v. Campbell</w:t>
      </w:r>
      <w:r w:rsidRPr="007405E6">
        <w:t xml:space="preserve">, </w:t>
      </w:r>
      <w:r>
        <w:t>814 N.W.2d 1, 3 (Minn. 2012)</w:t>
      </w:r>
      <w:r w:rsidRPr="007405E6">
        <w:t xml:space="preserve"> (citation</w:t>
      </w:r>
      <w:r>
        <w:t xml:space="preserve"> omitted).  </w:t>
      </w:r>
    </w:p>
    <w:p w:rsidR="004F10A3" w:rsidRPr="00CA4465" w:rsidRDefault="00146883" w:rsidP="00337FFA">
      <w:pPr>
        <w:pStyle w:val="Heading3"/>
      </w:pPr>
      <w:bookmarkStart w:id="459" w:name="_Toc395604676"/>
      <w:r>
        <w:t>3</w:t>
      </w:r>
      <w:r w:rsidR="004F10A3" w:rsidRPr="00CA4465">
        <w:t>.</w:t>
      </w:r>
      <w:r w:rsidR="004F10A3" w:rsidRPr="00CA4465">
        <w:tab/>
        <w:t>Calculation of Sentence</w:t>
      </w:r>
      <w:bookmarkStart w:id="460" w:name="_Toc48979673"/>
      <w:bookmarkEnd w:id="456"/>
      <w:bookmarkEnd w:id="459"/>
    </w:p>
    <w:p w:rsidR="00BD2015" w:rsidRPr="00CA4465" w:rsidRDefault="00BD2015" w:rsidP="00BD2015">
      <w:pPr>
        <w:pStyle w:val="Heading4"/>
      </w:pPr>
      <w:bookmarkStart w:id="461" w:name="_Toc358882969"/>
      <w:bookmarkStart w:id="462" w:name="_Toc395604677"/>
      <w:bookmarkStart w:id="463" w:name="_Toc48979675"/>
      <w:bookmarkEnd w:id="460"/>
      <w:r w:rsidRPr="00CA4465">
        <w:t>a.</w:t>
      </w:r>
      <w:r w:rsidRPr="00CA4465">
        <w:tab/>
      </w:r>
      <w:bookmarkEnd w:id="461"/>
      <w:r w:rsidR="00146883">
        <w:t>Criminal History Score</w:t>
      </w:r>
      <w:bookmarkEnd w:id="462"/>
    </w:p>
    <w:p w:rsidR="00BD2015" w:rsidRDefault="00BD2015" w:rsidP="00BD2015">
      <w:pPr>
        <w:ind w:left="1440"/>
      </w:pPr>
      <w:r w:rsidRPr="00CA4465">
        <w:t xml:space="preserve">The district court’s determination of a defendant’s criminal history score will not be reversed absent an abuse of discretion.  </w:t>
      </w:r>
      <w:r w:rsidRPr="00CA4465">
        <w:rPr>
          <w:i/>
          <w:iCs/>
        </w:rPr>
        <w:t>State v. Stillday</w:t>
      </w:r>
      <w:r w:rsidRPr="00CA4465">
        <w:t xml:space="preserve">, 646 N.W.2d 557, 561 (Minn. App. 2002), </w:t>
      </w:r>
      <w:r w:rsidRPr="00CA4465">
        <w:rPr>
          <w:i/>
        </w:rPr>
        <w:t>review denied</w:t>
      </w:r>
      <w:r w:rsidRPr="00CA4465">
        <w:t xml:space="preserve"> (Minn. Aug. 20, 2002).</w:t>
      </w:r>
      <w:bookmarkStart w:id="464" w:name="_Toc48979674"/>
    </w:p>
    <w:p w:rsidR="00BD2015" w:rsidRPr="00CA4465" w:rsidRDefault="00BD2015" w:rsidP="00BD2015">
      <w:pPr>
        <w:pStyle w:val="Heading4"/>
        <w:ind w:left="720" w:firstLine="720"/>
      </w:pPr>
      <w:bookmarkStart w:id="465" w:name="_Toc358882970"/>
      <w:bookmarkStart w:id="466" w:name="_Toc395604678"/>
      <w:r w:rsidRPr="00CA4465">
        <w:t>b.</w:t>
      </w:r>
      <w:r w:rsidRPr="00CA4465">
        <w:tab/>
        <w:t>Jail Credit</w:t>
      </w:r>
      <w:bookmarkEnd w:id="464"/>
      <w:bookmarkEnd w:id="465"/>
      <w:bookmarkEnd w:id="466"/>
    </w:p>
    <w:p w:rsidR="00BD2015" w:rsidRPr="00CA4465" w:rsidRDefault="00BD2015" w:rsidP="00BD2015">
      <w:pPr>
        <w:ind w:left="1440"/>
      </w:pPr>
      <w:r w:rsidRPr="00CA4465">
        <w:t xml:space="preserve">“The granting of jail credit is not discretionary with the [district] court.”  </w:t>
      </w:r>
      <w:r w:rsidRPr="00CA4465">
        <w:rPr>
          <w:i/>
          <w:iCs/>
        </w:rPr>
        <w:t>State v. Parr</w:t>
      </w:r>
      <w:r w:rsidRPr="00CA4465">
        <w:t xml:space="preserve">, 414 N.W.2d 776, 778 (Minn. App. 1987), </w:t>
      </w:r>
      <w:r w:rsidRPr="00CA4465">
        <w:rPr>
          <w:i/>
          <w:iCs/>
        </w:rPr>
        <w:t xml:space="preserve">review denied </w:t>
      </w:r>
      <w:r w:rsidRPr="00CA4465">
        <w:t>(Minn. Jan. 15, 1988).</w:t>
      </w:r>
    </w:p>
    <w:p w:rsidR="00BD2015" w:rsidRPr="00CA4465" w:rsidRDefault="00BD2015" w:rsidP="00BD2015">
      <w:pPr>
        <w:tabs>
          <w:tab w:val="left" w:pos="4200"/>
        </w:tabs>
      </w:pPr>
      <w:r>
        <w:tab/>
      </w:r>
    </w:p>
    <w:p w:rsidR="00BD2015" w:rsidRPr="008D384D" w:rsidRDefault="00BD2015" w:rsidP="00BD2015">
      <w:pPr>
        <w:ind w:left="1440"/>
      </w:pPr>
      <w:r w:rsidRPr="00CA4465">
        <w:t>“‘Awards of jail credit are governed by principles of fairness and equity and must be determined on a case-by-case basis.’</w:t>
      </w:r>
      <w:r>
        <w:t xml:space="preserve">  A defendant has the burden of establishing that he is entitled to jail credit for a specific period of time.”</w:t>
      </w:r>
      <w:r w:rsidRPr="00CA4465">
        <w:t xml:space="preserve">  </w:t>
      </w:r>
      <w:r w:rsidRPr="00CA4465">
        <w:rPr>
          <w:i/>
          <w:iCs/>
        </w:rPr>
        <w:t>State v. Arend</w:t>
      </w:r>
      <w:r w:rsidRPr="00CA4465">
        <w:t xml:space="preserve">, 648 N.W.2d 746, 748 (Minn. App. 2002) (quoting </w:t>
      </w:r>
      <w:r w:rsidRPr="00CA4465">
        <w:rPr>
          <w:i/>
        </w:rPr>
        <w:t>State v. Bradley</w:t>
      </w:r>
      <w:r>
        <w:t xml:space="preserve">, 629 N.W.2d </w:t>
      </w:r>
      <w:r w:rsidRPr="00CA4465">
        <w:t xml:space="preserve">462, 464 (Minn. App. 2001), </w:t>
      </w:r>
      <w:r w:rsidRPr="00CA4465">
        <w:rPr>
          <w:i/>
        </w:rPr>
        <w:t>review denied</w:t>
      </w:r>
      <w:r w:rsidRPr="00CA4465">
        <w:t xml:space="preserve"> (Minn. Aug. 15, 2001)).</w:t>
      </w:r>
      <w:bookmarkStart w:id="467" w:name="_Toc358882971"/>
      <w:r>
        <w:t xml:space="preserve">  We review the district court’s factual findings concerning the credit the defendant seeks custody for under the clearly erroneous standard and then apply the rules of law to those circumstances under the de novo standard.  </w:t>
      </w:r>
      <w:r>
        <w:rPr>
          <w:i/>
        </w:rPr>
        <w:t>State v. Clarkin</w:t>
      </w:r>
      <w:r>
        <w:t xml:space="preserve">, 817 N.W.2d 678, 687 (Minn. 2012).  </w:t>
      </w:r>
    </w:p>
    <w:p w:rsidR="00BD2015" w:rsidRPr="000605DE" w:rsidRDefault="00BD2015" w:rsidP="00BD2015">
      <w:pPr>
        <w:pStyle w:val="Heading4"/>
      </w:pPr>
      <w:bookmarkStart w:id="468" w:name="_Toc395604679"/>
      <w:r w:rsidRPr="000605DE">
        <w:t>c.</w:t>
      </w:r>
      <w:r w:rsidRPr="000605DE">
        <w:tab/>
        <w:t>Multiple Sentences</w:t>
      </w:r>
      <w:bookmarkEnd w:id="467"/>
      <w:bookmarkEnd w:id="468"/>
    </w:p>
    <w:p w:rsidR="00BD2015" w:rsidRPr="00CA4465" w:rsidRDefault="00BD2015" w:rsidP="00BD2015">
      <w:pPr>
        <w:widowControl w:val="0"/>
        <w:ind w:left="1440"/>
      </w:pPr>
      <w:r w:rsidRPr="00CA4465">
        <w:t xml:space="preserve">The district court’s decision whether multiple offenses were committed as part of a single behavioral incident so as to preclude multiple sentencing entails factual determinations that will not be reversed unless clearly erroneous.  </w:t>
      </w:r>
      <w:r w:rsidRPr="00CA4465">
        <w:rPr>
          <w:i/>
        </w:rPr>
        <w:t>State v. O’Meara</w:t>
      </w:r>
      <w:r w:rsidRPr="00CA4465">
        <w:t xml:space="preserve">, 755 N.W.2d 29, 37 (Minn. App. 2008). When the facts are not in </w:t>
      </w:r>
      <w:r w:rsidRPr="00CA4465">
        <w:lastRenderedPageBreak/>
        <w:t xml:space="preserve">dispute, the decision whether multiple offenses are part of a single behavioral incident presents a question of law that is reviewed de novo. </w:t>
      </w:r>
      <w:r>
        <w:t xml:space="preserve"> </w:t>
      </w:r>
      <w:r>
        <w:rPr>
          <w:i/>
        </w:rPr>
        <w:t>State v. Ferguson</w:t>
      </w:r>
      <w:r>
        <w:t>, 808 N.W.2d 586, 590 (Minn. 2012);</w:t>
      </w:r>
      <w:r w:rsidRPr="00CA4465">
        <w:t xml:space="preserve"> </w:t>
      </w:r>
      <w:r w:rsidRPr="00CA4465">
        <w:rPr>
          <w:i/>
        </w:rPr>
        <w:t>State v. Marchbanks</w:t>
      </w:r>
      <w:r w:rsidRPr="00CA4465">
        <w:t>, 632 N.W.2d 725, 731 (Minn. App. 2001).</w:t>
      </w:r>
    </w:p>
    <w:p w:rsidR="004F10A3" w:rsidRPr="00CA4465" w:rsidRDefault="00146883" w:rsidP="00337FFA">
      <w:pPr>
        <w:pStyle w:val="Heading3"/>
      </w:pPr>
      <w:bookmarkStart w:id="469" w:name="_Toc395604680"/>
      <w:r>
        <w:t>4</w:t>
      </w:r>
      <w:r w:rsidR="004F10A3" w:rsidRPr="00CA4465">
        <w:t>.</w:t>
      </w:r>
      <w:r w:rsidR="004F10A3" w:rsidRPr="00CA4465">
        <w:tab/>
        <w:t>Imposition of Presumptive Sentence</w:t>
      </w:r>
      <w:bookmarkEnd w:id="463"/>
      <w:bookmarkEnd w:id="469"/>
    </w:p>
    <w:p w:rsidR="00BD2015" w:rsidRPr="008D384D" w:rsidRDefault="00BD2015" w:rsidP="000D668E">
      <w:pPr>
        <w:ind w:left="720"/>
      </w:pPr>
      <w:bookmarkStart w:id="470" w:name="_Toc48979676"/>
      <w:r w:rsidRPr="008D384D">
        <w:t xml:space="preserve">“This court will not generally review a district court’s exercise of its discretion to sentence a defendant when the sentence imposed is within the presumptive guidelines range.”  </w:t>
      </w:r>
      <w:r w:rsidRPr="008D384D">
        <w:rPr>
          <w:i/>
        </w:rPr>
        <w:t>State v. Delk</w:t>
      </w:r>
      <w:r w:rsidRPr="008D384D">
        <w:t>, 781 N.W.2d 426, 428 (Minn. App. 2010)</w:t>
      </w:r>
      <w:r>
        <w:t>.</w:t>
      </w:r>
    </w:p>
    <w:p w:rsidR="004F10A3" w:rsidRPr="00CA4465" w:rsidRDefault="00146883" w:rsidP="00337FFA">
      <w:pPr>
        <w:pStyle w:val="Heading3"/>
      </w:pPr>
      <w:bookmarkStart w:id="471" w:name="_Toc395604681"/>
      <w:r>
        <w:t>5</w:t>
      </w:r>
      <w:r w:rsidR="004F10A3" w:rsidRPr="00CA4465">
        <w:t>.</w:t>
      </w:r>
      <w:r w:rsidR="004F10A3" w:rsidRPr="00CA4465">
        <w:tab/>
        <w:t>Departures from Guidelines</w:t>
      </w:r>
      <w:bookmarkStart w:id="472" w:name="_Toc48979677"/>
      <w:bookmarkEnd w:id="470"/>
      <w:bookmarkEnd w:id="471"/>
    </w:p>
    <w:p w:rsidR="00BD2015" w:rsidRPr="00CA4465" w:rsidRDefault="00BD2015" w:rsidP="00BD2015">
      <w:pPr>
        <w:pStyle w:val="Heading4"/>
      </w:pPr>
      <w:bookmarkStart w:id="473" w:name="_Toc358882974"/>
      <w:bookmarkStart w:id="474" w:name="_Toc395604682"/>
      <w:bookmarkStart w:id="475" w:name="_Toc48979680"/>
      <w:bookmarkEnd w:id="472"/>
      <w:r w:rsidRPr="00CA4465">
        <w:t>a.</w:t>
      </w:r>
      <w:r w:rsidRPr="00CA4465">
        <w:tab/>
        <w:t>In General</w:t>
      </w:r>
      <w:bookmarkEnd w:id="473"/>
      <w:bookmarkEnd w:id="474"/>
    </w:p>
    <w:p w:rsidR="00BD2015" w:rsidRPr="00CA4465" w:rsidRDefault="00BD2015" w:rsidP="00BD2015">
      <w:pPr>
        <w:ind w:left="1440"/>
      </w:pPr>
      <w:r w:rsidRPr="00CA4465">
        <w:t xml:space="preserve">“[A] sentencing court has no discretion to depart from the sentencing guidelines unless aggravating or mitigating factors are present.”  </w:t>
      </w:r>
      <w:r w:rsidRPr="00CA4465">
        <w:rPr>
          <w:i/>
          <w:iCs/>
        </w:rPr>
        <w:t>State v. Spain</w:t>
      </w:r>
      <w:r w:rsidRPr="00CA4465">
        <w:t>, 590 N.W.2d 85, 88 (Minn.</w:t>
      </w:r>
      <w:r>
        <w:t xml:space="preserve"> 1999).</w:t>
      </w:r>
    </w:p>
    <w:p w:rsidR="00BD2015" w:rsidRPr="00CA4465" w:rsidRDefault="00BD2015" w:rsidP="00BD2015"/>
    <w:p w:rsidR="00BD2015" w:rsidRDefault="00BD2015" w:rsidP="00BD2015">
      <w:pPr>
        <w:ind w:left="1440"/>
      </w:pPr>
      <w:r w:rsidRPr="00CA4465">
        <w:t xml:space="preserve">“We review a sentencing court’s departure from the sentencing guidelines for abuse of discretion.”  </w:t>
      </w:r>
      <w:r w:rsidRPr="00CA4465">
        <w:rPr>
          <w:i/>
        </w:rPr>
        <w:t>State v. Geller</w:t>
      </w:r>
      <w:r w:rsidRPr="00CA4465">
        <w:t>, 665 N.W.2d 514, 516 (Minn. 2003).</w:t>
      </w:r>
    </w:p>
    <w:p w:rsidR="00BD2015" w:rsidRDefault="00BD2015" w:rsidP="00BD2015">
      <w:pPr>
        <w:ind w:left="1440"/>
      </w:pPr>
    </w:p>
    <w:p w:rsidR="00BD2015" w:rsidRPr="00CA4465" w:rsidRDefault="00BD2015" w:rsidP="00BD2015">
      <w:pPr>
        <w:ind w:left="1440"/>
      </w:pPr>
      <w:r>
        <w:t xml:space="preserve">The question of whether a stated reason for departure is “proper” is a legal one.  </w:t>
      </w:r>
      <w:r>
        <w:rPr>
          <w:i/>
        </w:rPr>
        <w:t>Dillon v. State</w:t>
      </w:r>
      <w:r>
        <w:t xml:space="preserve">, 781 N.W.2d 588, 595 (Minn. App. 2010), </w:t>
      </w:r>
      <w:r>
        <w:rPr>
          <w:i/>
        </w:rPr>
        <w:t>review denied</w:t>
      </w:r>
      <w:r>
        <w:t xml:space="preserve"> (Minn. July 20, 2010).  The review of the district court’s decision </w:t>
      </w:r>
      <w:r>
        <w:rPr>
          <w:i/>
        </w:rPr>
        <w:t>whether</w:t>
      </w:r>
      <w:r>
        <w:t xml:space="preserve"> to depart, based on identified and proper grounds for departure, is “extremely deferential.”  </w:t>
      </w:r>
      <w:r>
        <w:rPr>
          <w:i/>
        </w:rPr>
        <w:t>Id.</w:t>
      </w:r>
      <w:r>
        <w:t xml:space="preserve"> at 595-96.  Less discretion is given to the length of departure, although a less-than-double departure is given more deference than a greater-than-double departure.  </w:t>
      </w:r>
      <w:r>
        <w:rPr>
          <w:i/>
        </w:rPr>
        <w:t>Id.</w:t>
      </w:r>
      <w:r>
        <w:t xml:space="preserve"> at 596.</w:t>
      </w:r>
      <w:bookmarkStart w:id="476" w:name="_Toc48979678"/>
    </w:p>
    <w:p w:rsidR="00BD2015" w:rsidRPr="00CA4465" w:rsidRDefault="00BD2015" w:rsidP="00BD2015">
      <w:pPr>
        <w:pStyle w:val="Heading4"/>
      </w:pPr>
      <w:bookmarkStart w:id="477" w:name="_Toc358882975"/>
      <w:bookmarkStart w:id="478" w:name="_Toc395604683"/>
      <w:r w:rsidRPr="00CA4465">
        <w:t>b.</w:t>
      </w:r>
      <w:r w:rsidRPr="00CA4465">
        <w:tab/>
        <w:t>Mitigating Factors</w:t>
      </w:r>
      <w:bookmarkEnd w:id="476"/>
      <w:bookmarkEnd w:id="477"/>
      <w:bookmarkEnd w:id="478"/>
    </w:p>
    <w:p w:rsidR="00BD2015" w:rsidRPr="009D694C" w:rsidRDefault="00BD2015" w:rsidP="00BD2015">
      <w:pPr>
        <w:ind w:left="1440"/>
      </w:pPr>
      <w:r w:rsidRPr="00CA4465">
        <w:t xml:space="preserve">The district court must order the presumptive sentence provided in the sentencing guidelines unless the case involves “substantial and compelling circumstances” to warrant a downward departure.  </w:t>
      </w:r>
      <w:r w:rsidRPr="00CA4465">
        <w:rPr>
          <w:i/>
          <w:iCs/>
        </w:rPr>
        <w:t>State v. Kindem</w:t>
      </w:r>
      <w:r w:rsidRPr="00CA4465">
        <w:t>, 313 N.W.2d 6, 7 (Minn. 1981)</w:t>
      </w:r>
      <w:r>
        <w:t>.  If the case involves substantial and compelling circumstances, it is within the district court’s discretion whether to depart.</w:t>
      </w:r>
      <w:r w:rsidRPr="00CA4465">
        <w:t xml:space="preserve"> </w:t>
      </w:r>
      <w:r>
        <w:t xml:space="preserve"> </w:t>
      </w:r>
      <w:bookmarkStart w:id="479" w:name="_Toc48979679"/>
      <w:r>
        <w:rPr>
          <w:i/>
        </w:rPr>
        <w:t>State v. Best</w:t>
      </w:r>
      <w:r>
        <w:t>, 449 N.W.2d 426, 427 (Minn. 1989).</w:t>
      </w:r>
      <w:r w:rsidR="009D694C">
        <w:t xml:space="preserve">  Only in a “rare” case will an appellate court reverse a sentencing court’s refusal to depart.  </w:t>
      </w:r>
      <w:r w:rsidR="009D694C">
        <w:rPr>
          <w:i/>
        </w:rPr>
        <w:t>Kindem</w:t>
      </w:r>
      <w:r w:rsidR="009D694C">
        <w:t>, 313 N.W.2d at 7.</w:t>
      </w:r>
    </w:p>
    <w:p w:rsidR="00BD2015" w:rsidRPr="00CA4465" w:rsidRDefault="00BD2015" w:rsidP="00BD2015">
      <w:pPr>
        <w:pStyle w:val="Heading4"/>
      </w:pPr>
      <w:bookmarkStart w:id="480" w:name="_Toc358882976"/>
      <w:bookmarkStart w:id="481" w:name="_Toc395604684"/>
      <w:r w:rsidRPr="00CA4465">
        <w:t>c.</w:t>
      </w:r>
      <w:r w:rsidRPr="00CA4465">
        <w:tab/>
        <w:t>Aggravating Factors</w:t>
      </w:r>
      <w:bookmarkEnd w:id="479"/>
      <w:bookmarkEnd w:id="480"/>
      <w:bookmarkEnd w:id="481"/>
    </w:p>
    <w:p w:rsidR="00BD2015" w:rsidRPr="00CA4465" w:rsidRDefault="00BD2015" w:rsidP="00BD2015">
      <w:pPr>
        <w:ind w:left="1440"/>
      </w:pPr>
      <w:r w:rsidRPr="00CA4465">
        <w:t xml:space="preserve">Departures from presumptive sentences are reviewed under an abuse of discretion standard, but there must be “substantial and compelling circumstances” in the record to justify a departure.  </w:t>
      </w:r>
      <w:r w:rsidRPr="00CA4465">
        <w:rPr>
          <w:i/>
          <w:iCs/>
        </w:rPr>
        <w:t>Rairdon v. State</w:t>
      </w:r>
      <w:r w:rsidRPr="00CA4465">
        <w:t>, 557 N.W.2d 318, 326 (Minn. 1996).</w:t>
      </w:r>
    </w:p>
    <w:p w:rsidR="00BD2015" w:rsidRPr="00CA4465" w:rsidRDefault="00BD2015" w:rsidP="00BD2015"/>
    <w:p w:rsidR="00BD2015" w:rsidRPr="00CA4465" w:rsidRDefault="00BD2015" w:rsidP="00BD2015">
      <w:pPr>
        <w:ind w:left="1440"/>
      </w:pPr>
      <w:r w:rsidRPr="00CA4465">
        <w:lastRenderedPageBreak/>
        <w:t xml:space="preserve">“If the record supports findings that substantial and compelling circumstances exist, this court will not modify the departure unless it has a ‘strong feeling’ that the sentence is disproportional to the offense.”  </w:t>
      </w:r>
      <w:r w:rsidRPr="00CA4465">
        <w:rPr>
          <w:i/>
          <w:iCs/>
        </w:rPr>
        <w:t>State v. Anderson</w:t>
      </w:r>
      <w:r w:rsidRPr="00CA4465">
        <w:t xml:space="preserve">, 356 N.W.2d 453, 454 (Minn. App. 1984); </w:t>
      </w:r>
      <w:r w:rsidRPr="00CA4465">
        <w:rPr>
          <w:i/>
          <w:iCs/>
        </w:rPr>
        <w:t>see also State v. Woelfel</w:t>
      </w:r>
      <w:r w:rsidRPr="00CA4465">
        <w:t xml:space="preserve">, 621 N.W.2d 767, 774 (Minn. App. 2001), </w:t>
      </w:r>
      <w:r w:rsidRPr="00CA4465">
        <w:rPr>
          <w:i/>
          <w:iCs/>
        </w:rPr>
        <w:t xml:space="preserve">review denied </w:t>
      </w:r>
      <w:r w:rsidRPr="00CA4465">
        <w:t xml:space="preserve">(Minn. Mar. 27, 2001). </w:t>
      </w:r>
    </w:p>
    <w:p w:rsidR="00BD2015" w:rsidRPr="00CA4465" w:rsidRDefault="00BD2015" w:rsidP="00BD2015"/>
    <w:p w:rsidR="00BD2015" w:rsidRPr="00CA4465" w:rsidRDefault="00BD2015" w:rsidP="00BD2015">
      <w:pPr>
        <w:ind w:left="1440"/>
      </w:pPr>
      <w:r w:rsidRPr="00CA4465">
        <w:t xml:space="preserve">Imposing a more onerous sentence on retrial may give rise to a presumption of vindictiveness, and a violation of due process, if under the circumstances there is a reasonable likelihood of vindictive sentencing.  </w:t>
      </w:r>
      <w:r w:rsidRPr="00CA4465">
        <w:rPr>
          <w:i/>
          <w:iCs/>
        </w:rPr>
        <w:t>Alabama v. Smith</w:t>
      </w:r>
      <w:r w:rsidRPr="00CA4465">
        <w:t xml:space="preserve">, 490 U.S. 794, 798-99, 109 S. Ct. 2201, 2205 (1989); </w:t>
      </w:r>
      <w:r w:rsidRPr="00CA4465">
        <w:rPr>
          <w:i/>
          <w:iCs/>
        </w:rPr>
        <w:t>State v. Pflepsen</w:t>
      </w:r>
      <w:r w:rsidRPr="00CA4465">
        <w:t>, 590 N.W.2d 759, 768 (Minn. 1999)</w:t>
      </w:r>
      <w:r>
        <w:t xml:space="preserve"> (noting upon reconviction or resentencing after appeal, district court may not impose harsher sentence than was imposed in original trial).</w:t>
      </w:r>
    </w:p>
    <w:p w:rsidR="00BD2015" w:rsidRPr="00CA4465" w:rsidRDefault="00BD2015" w:rsidP="00BD2015"/>
    <w:p w:rsidR="00BD2015" w:rsidRPr="00CA4465" w:rsidRDefault="00BD2015" w:rsidP="00BD2015">
      <w:pPr>
        <w:ind w:left="1440"/>
      </w:pPr>
      <w:r w:rsidRPr="00CA4465">
        <w:t xml:space="preserve">The presumption of vindictiveness may be rebutted if the district court makes explicit findings on why new evidence justifies the imposition of a more onerous sentence.  </w:t>
      </w:r>
      <w:r w:rsidRPr="00CA4465">
        <w:rPr>
          <w:i/>
          <w:iCs/>
        </w:rPr>
        <w:t>Texas</w:t>
      </w:r>
      <w:r w:rsidRPr="00CA4465">
        <w:t xml:space="preserve"> </w:t>
      </w:r>
      <w:r w:rsidRPr="00CA4465">
        <w:rPr>
          <w:i/>
          <w:iCs/>
        </w:rPr>
        <w:t>v. McCullough</w:t>
      </w:r>
      <w:r w:rsidRPr="00CA4465">
        <w:t>, 475 U.S. 134, 137-38, 106 S. Ct. 976, 978 (1986)</w:t>
      </w:r>
      <w:r>
        <w:t xml:space="preserve"> (quotations omitted)</w:t>
      </w:r>
      <w:r w:rsidRPr="00CA4465">
        <w:t xml:space="preserve">; </w:t>
      </w:r>
      <w:r w:rsidRPr="00CA4465">
        <w:rPr>
          <w:i/>
          <w:iCs/>
        </w:rPr>
        <w:t>State v. Carver</w:t>
      </w:r>
      <w:r w:rsidRPr="00CA4465">
        <w:t>, 390 N.W.2d 431, 434 (Minn. App. 1986)</w:t>
      </w:r>
      <w:r>
        <w:t xml:space="preserve"> (reversing and remanding for resentencing where the district court imposed consecutive sentences at resentencing)</w:t>
      </w:r>
      <w:r w:rsidRPr="00CA4465">
        <w:t xml:space="preserve">. </w:t>
      </w:r>
    </w:p>
    <w:p w:rsidR="004F10A3" w:rsidRPr="00CA4465" w:rsidRDefault="00146883" w:rsidP="00337FFA">
      <w:pPr>
        <w:pStyle w:val="Heading3"/>
      </w:pPr>
      <w:bookmarkStart w:id="482" w:name="_Toc395604685"/>
      <w:r>
        <w:t>6</w:t>
      </w:r>
      <w:r w:rsidR="004F10A3" w:rsidRPr="00CA4465">
        <w:t>.</w:t>
      </w:r>
      <w:r w:rsidR="004F10A3" w:rsidRPr="00CA4465">
        <w:tab/>
        <w:t>Restitution</w:t>
      </w:r>
      <w:bookmarkEnd w:id="475"/>
      <w:bookmarkEnd w:id="482"/>
    </w:p>
    <w:p w:rsidR="00BD2015" w:rsidRDefault="00BD2015" w:rsidP="00BD2015">
      <w:pPr>
        <w:ind w:left="720"/>
      </w:pPr>
      <w:r w:rsidRPr="00CA4465">
        <w:t xml:space="preserve">“[District] courts are given broad discretion in awarding restitution.”  </w:t>
      </w:r>
      <w:r w:rsidRPr="00CA4465">
        <w:rPr>
          <w:i/>
          <w:iCs/>
        </w:rPr>
        <w:t>State v. Tenerelli</w:t>
      </w:r>
      <w:r w:rsidRPr="00CA4465">
        <w:t>, 598 N.W.2d 668, 671 (Minn. 1999).</w:t>
      </w:r>
    </w:p>
    <w:p w:rsidR="00BD2015" w:rsidRDefault="00BD2015" w:rsidP="00BD2015">
      <w:pPr>
        <w:ind w:left="720"/>
      </w:pPr>
    </w:p>
    <w:p w:rsidR="00BD2015" w:rsidRPr="00CA4465" w:rsidRDefault="00BD2015" w:rsidP="00BD2015">
      <w:pPr>
        <w:ind w:left="720"/>
      </w:pPr>
      <w:r>
        <w:t xml:space="preserve">“But determining whether an item meets the statutory requirements for restitution is a question of law that is fully reviewable by the appellate court.”  </w:t>
      </w:r>
      <w:r>
        <w:rPr>
          <w:i/>
        </w:rPr>
        <w:t>State v. Nelson</w:t>
      </w:r>
      <w:r>
        <w:t xml:space="preserve">, 796 N.W.2d 343, 346-47 (Minn. App. 2011) (quoting </w:t>
      </w:r>
      <w:r>
        <w:rPr>
          <w:i/>
        </w:rPr>
        <w:t>State v. Ramsey</w:t>
      </w:r>
      <w:r>
        <w:t>, 789 N.W.2d 513, 517 (Minn. App. 2010)).</w:t>
      </w:r>
    </w:p>
    <w:p w:rsidR="004F10A3" w:rsidRPr="00CA4465" w:rsidRDefault="00146883" w:rsidP="00337FFA">
      <w:pPr>
        <w:pStyle w:val="Heading3"/>
      </w:pPr>
      <w:bookmarkStart w:id="483" w:name="_Toc395604686"/>
      <w:r>
        <w:t>7</w:t>
      </w:r>
      <w:r w:rsidR="004F10A3" w:rsidRPr="00CA4465">
        <w:t>.</w:t>
      </w:r>
      <w:r w:rsidR="004F10A3" w:rsidRPr="00CA4465">
        <w:tab/>
        <w:t>Probation Revocation</w:t>
      </w:r>
      <w:bookmarkEnd w:id="483"/>
    </w:p>
    <w:p w:rsidR="00BD2015" w:rsidRPr="00CA4465" w:rsidRDefault="00BD2015" w:rsidP="00BD2015">
      <w:pPr>
        <w:ind w:left="720"/>
      </w:pPr>
      <w:bookmarkStart w:id="484" w:name="_Toc48979681"/>
      <w:r w:rsidRPr="00CA4465">
        <w:t xml:space="preserve">“The [district] court has broad discretion in determining if there is sufficient evidence to revoke probation and should be reversed only if there is a clear abuse of that discretion.”  </w:t>
      </w:r>
      <w:r w:rsidRPr="00CA4465">
        <w:rPr>
          <w:i/>
          <w:iCs/>
        </w:rPr>
        <w:t>State v. Austin</w:t>
      </w:r>
      <w:r w:rsidRPr="00CA4465">
        <w:t>, 295 N.W.2d 246, 249-50 (Minn. 1980).</w:t>
      </w:r>
    </w:p>
    <w:p w:rsidR="00BD2015" w:rsidRPr="00CA4465" w:rsidRDefault="00BD2015" w:rsidP="00BD2015">
      <w:pPr>
        <w:ind w:left="1080"/>
      </w:pPr>
    </w:p>
    <w:p w:rsidR="00BD2015" w:rsidRPr="00CA4465" w:rsidRDefault="00BD2015" w:rsidP="00BD2015">
      <w:pPr>
        <w:ind w:left="720"/>
      </w:pPr>
      <w:r w:rsidRPr="00CA4465">
        <w:t xml:space="preserve">Whether the district court made the findings required for revocation of probation is a question of law, which this court reviews de novo.  </w:t>
      </w:r>
      <w:r w:rsidRPr="00CA4465">
        <w:rPr>
          <w:i/>
        </w:rPr>
        <w:t>State v. Modtland</w:t>
      </w:r>
      <w:r w:rsidRPr="00CA4465">
        <w:t>, 695 N.W.2d 602, 605 (Minn. 2005).</w:t>
      </w:r>
    </w:p>
    <w:p w:rsidR="004F10A3" w:rsidRPr="00CA4465" w:rsidRDefault="004F10A3" w:rsidP="00604DD4">
      <w:pPr>
        <w:pStyle w:val="Heading2"/>
      </w:pPr>
      <w:bookmarkStart w:id="485" w:name="_Toc395604687"/>
      <w:r w:rsidRPr="00CA4465">
        <w:t>E.</w:t>
      </w:r>
      <w:r w:rsidRPr="00CA4465">
        <w:tab/>
        <w:t>POSTCONVICTION RELIEF</w:t>
      </w:r>
      <w:bookmarkStart w:id="486" w:name="_Toc48979682"/>
      <w:bookmarkEnd w:id="484"/>
      <w:bookmarkEnd w:id="485"/>
    </w:p>
    <w:p w:rsidR="004F10A3" w:rsidRPr="00CA4465" w:rsidRDefault="004F10A3" w:rsidP="00337FFA">
      <w:pPr>
        <w:pStyle w:val="Heading3"/>
      </w:pPr>
      <w:bookmarkStart w:id="487" w:name="_Toc395604688"/>
      <w:r w:rsidRPr="00CA4465">
        <w:t>1.</w:t>
      </w:r>
      <w:r w:rsidRPr="00CA4465">
        <w:tab/>
        <w:t>In General</w:t>
      </w:r>
      <w:bookmarkEnd w:id="486"/>
      <w:bookmarkEnd w:id="487"/>
    </w:p>
    <w:p w:rsidR="00BD2015" w:rsidRPr="00887009" w:rsidRDefault="00BD2015" w:rsidP="00BD2015">
      <w:pPr>
        <w:keepNext/>
        <w:ind w:left="720"/>
      </w:pPr>
      <w:bookmarkStart w:id="488" w:name="_Toc48979683"/>
      <w:r>
        <w:t xml:space="preserve">“When a defendant initially files a direct appeal and then moves for a stay to pursue postconviction relief, we review the postconviction court’s decisions using the same standard that we apply on direct appeal.”  </w:t>
      </w:r>
      <w:r>
        <w:rPr>
          <w:i/>
        </w:rPr>
        <w:t>State v. Beecroft</w:t>
      </w:r>
      <w:r>
        <w:t xml:space="preserve">, 813 N.W.2d 814, 836 (Minn. </w:t>
      </w:r>
      <w:r>
        <w:lastRenderedPageBreak/>
        <w:t xml:space="preserve">2012); </w:t>
      </w:r>
      <w:r>
        <w:rPr>
          <w:i/>
        </w:rPr>
        <w:t>State v. Petersen</w:t>
      </w:r>
      <w:r>
        <w:t xml:space="preserve">, 799 N.W.2d 653, 657 (Minn. App. 2011), </w:t>
      </w:r>
      <w:r>
        <w:rPr>
          <w:i/>
        </w:rPr>
        <w:t>review denied</w:t>
      </w:r>
      <w:r>
        <w:t xml:space="preserve"> (Minn. Sept. 28, 2011) (same). </w:t>
      </w:r>
    </w:p>
    <w:p w:rsidR="00BD2015" w:rsidRDefault="00BD2015" w:rsidP="00BD2015">
      <w:pPr>
        <w:keepNext/>
        <w:ind w:left="720"/>
      </w:pPr>
    </w:p>
    <w:p w:rsidR="00BD2015" w:rsidRPr="003D0D50" w:rsidRDefault="002F3448" w:rsidP="00BD2015">
      <w:pPr>
        <w:ind w:left="720"/>
      </w:pPr>
      <w:r>
        <w:t>“</w:t>
      </w:r>
      <w:r w:rsidR="00BD2015">
        <w:t xml:space="preserve">When reviewing a postconviction court’s decision, we examine only whether the postconviction court’s findings are supported by sufficient evidence.  We will reverse a decision of the postconviction court only if that court abused its discretion.”  </w:t>
      </w:r>
      <w:r w:rsidR="00BD2015">
        <w:rPr>
          <w:i/>
        </w:rPr>
        <w:t>Lussier v. State</w:t>
      </w:r>
      <w:r w:rsidR="00BD2015">
        <w:t>, 821 N.W.2d 581, 588 (Minn. 2012) (</w:t>
      </w:r>
      <w:r>
        <w:t>quotation</w:t>
      </w:r>
      <w:r w:rsidR="00BD2015">
        <w:t xml:space="preserve"> omitted).  </w:t>
      </w:r>
    </w:p>
    <w:p w:rsidR="00BD2015" w:rsidRDefault="00BD2015" w:rsidP="00BD2015">
      <w:pPr>
        <w:ind w:left="720"/>
      </w:pPr>
    </w:p>
    <w:p w:rsidR="00BD2015" w:rsidRDefault="00BD2015" w:rsidP="00BD2015">
      <w:pPr>
        <w:ind w:left="720"/>
      </w:pPr>
      <w:r w:rsidRPr="00CA4465">
        <w:t>In reviewing a postconviction court’s de</w:t>
      </w:r>
      <w:r>
        <w:t>cision to grant or deny</w:t>
      </w:r>
      <w:r w:rsidRPr="00CA4465">
        <w:t xml:space="preserve"> relief, issues of law are reviewed de novo and issues of fact are reviewed for sufficiency of the evidence.  </w:t>
      </w:r>
      <w:r w:rsidRPr="00CA4465">
        <w:rPr>
          <w:i/>
        </w:rPr>
        <w:t>Leake v. State</w:t>
      </w:r>
      <w:r w:rsidRPr="00CA4465">
        <w:t xml:space="preserve">, 737 N.W.2d 531, 535 (Minn. 2007); </w:t>
      </w:r>
      <w:r w:rsidRPr="00CA4465">
        <w:rPr>
          <w:i/>
        </w:rPr>
        <w:t>Butala v. State</w:t>
      </w:r>
      <w:r w:rsidRPr="00CA4465">
        <w:t>, 664 N.W.2d 333, 338 (Minn. 2003) (</w:t>
      </w:r>
      <w:r>
        <w:t>noting also</w:t>
      </w:r>
      <w:r w:rsidRPr="00CA4465">
        <w:t xml:space="preserve"> that </w:t>
      </w:r>
      <w:r>
        <w:t xml:space="preserve">appellate </w:t>
      </w:r>
      <w:r w:rsidRPr="00CA4465">
        <w:t xml:space="preserve">courts “extend a broad review of both questions of law and fact” when reviewing postconviction </w:t>
      </w:r>
      <w:r>
        <w:t>proceedings</w:t>
      </w:r>
      <w:r w:rsidRPr="00CA4465">
        <w:t>).</w:t>
      </w:r>
    </w:p>
    <w:p w:rsidR="00146883" w:rsidRDefault="00146883" w:rsidP="00BD2015">
      <w:pPr>
        <w:ind w:left="720"/>
      </w:pPr>
    </w:p>
    <w:p w:rsidR="00146883" w:rsidRPr="00146883" w:rsidRDefault="00146883" w:rsidP="00146883">
      <w:pPr>
        <w:ind w:left="720"/>
      </w:pPr>
      <w:r w:rsidRPr="00146883">
        <w:t xml:space="preserve">“We review a denial of a petition for postconviction relief, as well as a request for an evidentiary hearing, for an abuse of discretion. A postconviction court abuses its discretion when its decision is based on an erroneous view of the law or is against logic and the facts in the record.”  </w:t>
      </w:r>
      <w:r w:rsidRPr="00146883">
        <w:rPr>
          <w:i/>
        </w:rPr>
        <w:t>Riley v. State</w:t>
      </w:r>
      <w:r w:rsidRPr="00146883">
        <w:t>, 819 N.W.2d 162, 167 (Minn. 2012) (citations and quotations omitted).</w:t>
      </w:r>
    </w:p>
    <w:p w:rsidR="00146883" w:rsidRDefault="00146883" w:rsidP="00BD2015">
      <w:pPr>
        <w:ind w:left="720"/>
      </w:pPr>
    </w:p>
    <w:p w:rsidR="00BD2015" w:rsidRDefault="00BD2015" w:rsidP="00BD2015">
      <w:pPr>
        <w:ind w:left="720"/>
      </w:pPr>
      <w:r w:rsidRPr="00CA4465">
        <w:t xml:space="preserve">Review of a denial of postconviction relief based on the </w:t>
      </w:r>
      <w:r w:rsidRPr="00CA4465">
        <w:rPr>
          <w:i/>
        </w:rPr>
        <w:t>Knaffla</w:t>
      </w:r>
      <w:r w:rsidRPr="00CA4465">
        <w:t xml:space="preserve"> procedural bar is for an abuse of discretion.  </w:t>
      </w:r>
      <w:r w:rsidRPr="00CA4465">
        <w:rPr>
          <w:i/>
        </w:rPr>
        <w:t>Quick v. State</w:t>
      </w:r>
      <w:r w:rsidRPr="00CA4465">
        <w:t>, 692 N.W.2d 438, 439 (Minn. 2005).</w:t>
      </w:r>
    </w:p>
    <w:p w:rsidR="00BD2015" w:rsidRDefault="00BD2015" w:rsidP="00BD2015">
      <w:pPr>
        <w:ind w:left="720"/>
      </w:pPr>
    </w:p>
    <w:p w:rsidR="00BD2015" w:rsidRPr="00FE412B" w:rsidRDefault="00BD2015" w:rsidP="00BD2015">
      <w:pPr>
        <w:ind w:left="720"/>
      </w:pPr>
      <w:r>
        <w:t xml:space="preserve">The two-year statutory time bar for postconviction claims is not jurisdictional and may be waived by the state’s failure to assert it.  </w:t>
      </w:r>
      <w:r>
        <w:rPr>
          <w:i/>
        </w:rPr>
        <w:t>Carlton v. State</w:t>
      </w:r>
      <w:r>
        <w:t xml:space="preserve">, 816 N.W.2d 590, 601 (Minn. 2012).  </w:t>
      </w:r>
    </w:p>
    <w:p w:rsidR="00BD2015" w:rsidRPr="00CA4465" w:rsidRDefault="00BD2015" w:rsidP="00BD2015">
      <w:pPr>
        <w:ind w:left="720"/>
      </w:pPr>
    </w:p>
    <w:p w:rsidR="00BD2015" w:rsidRDefault="00BD2015" w:rsidP="00BD2015">
      <w:pPr>
        <w:ind w:left="720"/>
        <w:rPr>
          <w:i/>
        </w:rPr>
      </w:pPr>
      <w:r>
        <w:t xml:space="preserve">A </w:t>
      </w:r>
      <w:r w:rsidRPr="00CA4465">
        <w:t xml:space="preserve">summary denial of a postconviction petition is reviewed for an abuse of discretion.  </w:t>
      </w:r>
      <w:r>
        <w:rPr>
          <w:i/>
        </w:rPr>
        <w:t>Nicks v. State</w:t>
      </w:r>
      <w:r>
        <w:t xml:space="preserve">, 831 N.W.2d 493, 503 (Minn. 2013).  The threshold showing for a postconviction evidentiary hearing is lower than that required for a new trial.  </w:t>
      </w:r>
      <w:r>
        <w:rPr>
          <w:i/>
        </w:rPr>
        <w:t>Id.</w:t>
      </w:r>
      <w:r>
        <w:t xml:space="preserve"> at 504.  And any doubts about whether to conduct an evidentiary hearing should be resolved in favor of the </w:t>
      </w:r>
      <w:r w:rsidR="00556322">
        <w:t>petitioner</w:t>
      </w:r>
      <w:r>
        <w:t xml:space="preserve">.  </w:t>
      </w:r>
      <w:r>
        <w:rPr>
          <w:i/>
        </w:rPr>
        <w:t xml:space="preserve">Id.  </w:t>
      </w:r>
    </w:p>
    <w:p w:rsidR="00BD2015" w:rsidRDefault="00BD2015" w:rsidP="00BD2015">
      <w:pPr>
        <w:ind w:left="720"/>
        <w:rPr>
          <w:i/>
        </w:rPr>
      </w:pPr>
    </w:p>
    <w:p w:rsidR="00BD2015" w:rsidRPr="00FE412B" w:rsidRDefault="00BD2015" w:rsidP="00BD2015">
      <w:pPr>
        <w:ind w:left="720"/>
      </w:pPr>
      <w:r>
        <w:t xml:space="preserve">A district court will not reverse the district court’s denial of a motion brought under Minn. R. Crim. P. 27.03, subd. 9, to correct a sentence, unless the district court abused its discretion or the original sentence was unauthorized by law.  </w:t>
      </w:r>
      <w:r>
        <w:rPr>
          <w:i/>
        </w:rPr>
        <w:t>Anderson v. State</w:t>
      </w:r>
      <w:r w:rsidR="008930FA">
        <w:t>,</w:t>
      </w:r>
      <w:r>
        <w:rPr>
          <w:i/>
        </w:rPr>
        <w:t xml:space="preserve"> </w:t>
      </w:r>
      <w:r>
        <w:t>794 N.W.2d 137, 139 (M</w:t>
      </w:r>
      <w:r w:rsidRPr="007D0F90">
        <w:t>inn. Ap</w:t>
      </w:r>
      <w:r>
        <w:t xml:space="preserve">p. 2011), </w:t>
      </w:r>
      <w:r>
        <w:rPr>
          <w:i/>
        </w:rPr>
        <w:t xml:space="preserve">review denied </w:t>
      </w:r>
      <w:r>
        <w:t xml:space="preserve">(Minn. Apr. 27, 2011).  </w:t>
      </w:r>
    </w:p>
    <w:p w:rsidR="004F10A3" w:rsidRPr="00CA4465" w:rsidRDefault="004F10A3" w:rsidP="00337FFA">
      <w:pPr>
        <w:pStyle w:val="Heading3"/>
      </w:pPr>
      <w:bookmarkStart w:id="489" w:name="_Toc395604689"/>
      <w:r w:rsidRPr="00CA4465">
        <w:lastRenderedPageBreak/>
        <w:t>2.</w:t>
      </w:r>
      <w:r w:rsidRPr="00CA4465">
        <w:tab/>
        <w:t>New Trial</w:t>
      </w:r>
      <w:bookmarkStart w:id="490" w:name="_Toc48979684"/>
      <w:bookmarkEnd w:id="488"/>
      <w:bookmarkEnd w:id="489"/>
    </w:p>
    <w:p w:rsidR="00BD2015" w:rsidRPr="00CA4465" w:rsidRDefault="00BD2015" w:rsidP="00BD2015">
      <w:pPr>
        <w:pStyle w:val="Heading4"/>
      </w:pPr>
      <w:bookmarkStart w:id="491" w:name="_Toc358882982"/>
      <w:bookmarkStart w:id="492" w:name="_Toc395604690"/>
      <w:bookmarkStart w:id="493" w:name="_Toc48979689"/>
      <w:bookmarkEnd w:id="490"/>
      <w:r w:rsidRPr="00CA4465">
        <w:t>a.</w:t>
      </w:r>
      <w:r w:rsidRPr="00CA4465">
        <w:tab/>
        <w:t>In General</w:t>
      </w:r>
      <w:bookmarkEnd w:id="491"/>
      <w:bookmarkEnd w:id="492"/>
    </w:p>
    <w:p w:rsidR="00BD2015" w:rsidRPr="00CA4465" w:rsidRDefault="00BD2015" w:rsidP="00BD2015">
      <w:pPr>
        <w:keepNext/>
        <w:keepLines/>
        <w:ind w:left="1440"/>
      </w:pPr>
      <w:r w:rsidRPr="00CA4465">
        <w:t xml:space="preserve">“The denial of a new trial by a postconviction court will not be disturbed absent an abuse of discretion and review is limited to whether there is sufficient evidence to sustain the postconviction court’s findings.”  </w:t>
      </w:r>
      <w:r w:rsidRPr="00CA4465">
        <w:rPr>
          <w:i/>
          <w:iCs/>
        </w:rPr>
        <w:t>State v. Hooper</w:t>
      </w:r>
      <w:r w:rsidRPr="00CA4465">
        <w:t>, 620 N.W.2d 31, 40 (Minn. 2000).</w:t>
      </w:r>
      <w:bookmarkStart w:id="494" w:name="_Toc48979685"/>
    </w:p>
    <w:p w:rsidR="00BD2015" w:rsidRPr="00CA4465" w:rsidRDefault="00BD2015" w:rsidP="00BD2015">
      <w:pPr>
        <w:pStyle w:val="Heading4"/>
      </w:pPr>
      <w:bookmarkStart w:id="495" w:name="_Toc358882983"/>
      <w:bookmarkStart w:id="496" w:name="_Toc395604691"/>
      <w:r w:rsidRPr="00CA4465">
        <w:t>b.</w:t>
      </w:r>
      <w:r w:rsidRPr="00CA4465">
        <w:tab/>
        <w:t>Newly Discovered Evidence</w:t>
      </w:r>
      <w:bookmarkEnd w:id="494"/>
      <w:bookmarkEnd w:id="495"/>
      <w:bookmarkEnd w:id="496"/>
    </w:p>
    <w:p w:rsidR="00BD2015" w:rsidRPr="00CA4465" w:rsidRDefault="00BD2015" w:rsidP="00BD2015">
      <w:pPr>
        <w:ind w:left="1440"/>
      </w:pPr>
      <w:r w:rsidRPr="00CA4465">
        <w:t xml:space="preserve">A new trial based upon newly discovered evidence may be granted when a defendant proves:  “(1) that the evidence was not known to the defendant or his/her counsel at the time of the trial; (2) that the evidence could not have been discovered through due diligence before trial; (3) that the evidence is not cumulative, impeaching, or doubtful; and (4) that the evidence would probably produce an acquittal or a more favorable result.”  </w:t>
      </w:r>
      <w:r w:rsidRPr="00CA4465">
        <w:rPr>
          <w:i/>
          <w:iCs/>
        </w:rPr>
        <w:t>Rainer</w:t>
      </w:r>
      <w:r w:rsidRPr="00CA4465">
        <w:t xml:space="preserve"> </w:t>
      </w:r>
      <w:r w:rsidRPr="00CA4465">
        <w:rPr>
          <w:i/>
          <w:iCs/>
        </w:rPr>
        <w:t>v. State</w:t>
      </w:r>
      <w:r w:rsidRPr="00CA4465">
        <w:t xml:space="preserve">, 566 N.W.2d 692, 695 (Minn. 1997).  </w:t>
      </w:r>
      <w:r w:rsidRPr="00CA4465">
        <w:rPr>
          <w:i/>
          <w:iCs/>
        </w:rPr>
        <w:t>But see</w:t>
      </w:r>
      <w:r w:rsidRPr="00CA4465">
        <w:t xml:space="preserve"> </w:t>
      </w:r>
      <w:r w:rsidRPr="00CA4465">
        <w:rPr>
          <w:i/>
          <w:iCs/>
        </w:rPr>
        <w:t>Dukes</w:t>
      </w:r>
      <w:r w:rsidRPr="00CA4465">
        <w:t xml:space="preserve"> </w:t>
      </w:r>
      <w:r w:rsidRPr="00CA4465">
        <w:rPr>
          <w:i/>
          <w:iCs/>
        </w:rPr>
        <w:t>v. State</w:t>
      </w:r>
      <w:r w:rsidRPr="00CA4465">
        <w:t xml:space="preserve">, 621 N.W.2d 246, 257 (Minn. 2001) (“Although the four-prong </w:t>
      </w:r>
      <w:r w:rsidRPr="00CA4465">
        <w:rPr>
          <w:i/>
        </w:rPr>
        <w:t>Rainer</w:t>
      </w:r>
      <w:r w:rsidRPr="00CA4465">
        <w:t xml:space="preserve"> test is the correct test for newly- discovered evidence, it is not the correct test when a court reviews an allegation that false testimony was given at trial.”).</w:t>
      </w:r>
      <w:bookmarkStart w:id="497" w:name="_Toc48979686"/>
    </w:p>
    <w:p w:rsidR="00BD2015" w:rsidRPr="00CA4465" w:rsidRDefault="00BD2015" w:rsidP="00BD2015">
      <w:pPr>
        <w:pStyle w:val="Heading4"/>
      </w:pPr>
      <w:bookmarkStart w:id="498" w:name="_Toc358882984"/>
      <w:bookmarkStart w:id="499" w:name="_Toc395604692"/>
      <w:r w:rsidRPr="00CA4465">
        <w:t>c.</w:t>
      </w:r>
      <w:r w:rsidRPr="00CA4465">
        <w:tab/>
        <w:t>Juror Misconduct</w:t>
      </w:r>
      <w:bookmarkEnd w:id="497"/>
      <w:bookmarkEnd w:id="498"/>
      <w:bookmarkEnd w:id="499"/>
    </w:p>
    <w:p w:rsidR="00BD2015" w:rsidRPr="00CA4465" w:rsidRDefault="00BD2015" w:rsidP="00BD2015">
      <w:pPr>
        <w:keepNext/>
        <w:ind w:left="1440"/>
      </w:pPr>
      <w:r w:rsidRPr="00CA4465">
        <w:t xml:space="preserve">“The decision to grant a new trial based upon juror misconduct rests within the discretion of the [district] court and will not be reversed unless there is an abuse of discretion.”  </w:t>
      </w:r>
      <w:r w:rsidRPr="00CA4465">
        <w:rPr>
          <w:i/>
          <w:iCs/>
        </w:rPr>
        <w:t>State v. Landro</w:t>
      </w:r>
      <w:r w:rsidRPr="00CA4465">
        <w:t>, 504 N.W.2d 741, 745 (Minn. 1993).</w:t>
      </w:r>
      <w:bookmarkStart w:id="500" w:name="_Toc48979687"/>
    </w:p>
    <w:p w:rsidR="00BD2015" w:rsidRPr="00CA4465" w:rsidRDefault="00BD2015" w:rsidP="00BD2015">
      <w:pPr>
        <w:pStyle w:val="Heading4"/>
      </w:pPr>
      <w:bookmarkStart w:id="501" w:name="_Toc358882985"/>
      <w:bookmarkStart w:id="502" w:name="_Toc395604693"/>
      <w:r w:rsidRPr="00CA4465">
        <w:t>d.</w:t>
      </w:r>
      <w:r w:rsidRPr="00CA4465">
        <w:tab/>
        <w:t>Witness Recantations</w:t>
      </w:r>
      <w:bookmarkEnd w:id="500"/>
      <w:bookmarkEnd w:id="501"/>
      <w:r>
        <w:t>/False Testimony</w:t>
      </w:r>
      <w:bookmarkEnd w:id="502"/>
      <w:r w:rsidRPr="00CA4465">
        <w:t xml:space="preserve"> </w:t>
      </w:r>
    </w:p>
    <w:p w:rsidR="00BD2015" w:rsidRDefault="00BD2015" w:rsidP="00BD2015">
      <w:pPr>
        <w:ind w:left="1440"/>
      </w:pPr>
      <w:r w:rsidRPr="00CA4465">
        <w:t xml:space="preserve">“Courts have traditionally looked with disfavor on motions for a new trial based on recantations unless extraordinary or unusual circumstances exist.”  </w:t>
      </w:r>
      <w:r w:rsidRPr="00CA4465">
        <w:rPr>
          <w:i/>
          <w:iCs/>
        </w:rPr>
        <w:t>Daniels</w:t>
      </w:r>
      <w:r w:rsidRPr="00CA4465">
        <w:t xml:space="preserve"> </w:t>
      </w:r>
      <w:r w:rsidRPr="00CA4465">
        <w:rPr>
          <w:i/>
          <w:iCs/>
        </w:rPr>
        <w:t>v. State</w:t>
      </w:r>
      <w:r w:rsidRPr="00CA4465">
        <w:t>, 447 N.W.2d 187, 188 (Minn. 1989).</w:t>
      </w:r>
    </w:p>
    <w:p w:rsidR="00BD2015" w:rsidRPr="00CA4465" w:rsidRDefault="00BD2015" w:rsidP="00BD2015">
      <w:pPr>
        <w:ind w:left="1440"/>
      </w:pPr>
    </w:p>
    <w:p w:rsidR="00BD2015" w:rsidRPr="006563BE" w:rsidRDefault="00BD2015" w:rsidP="00BD2015">
      <w:pPr>
        <w:ind w:left="1440"/>
      </w:pPr>
      <w:r>
        <w:t xml:space="preserve">When assessing the merits of a claim based on false or recanted testimony, the reviewing court applies the test set forth in </w:t>
      </w:r>
      <w:r>
        <w:rPr>
          <w:i/>
        </w:rPr>
        <w:t xml:space="preserve">Larrison v. United </w:t>
      </w:r>
      <w:r w:rsidRPr="00FE412B">
        <w:rPr>
          <w:i/>
        </w:rPr>
        <w:t>States</w:t>
      </w:r>
      <w:r w:rsidR="008930FA">
        <w:t>,</w:t>
      </w:r>
      <w:r>
        <w:rPr>
          <w:i/>
        </w:rPr>
        <w:t xml:space="preserve"> </w:t>
      </w:r>
      <w:r>
        <w:t>24 F.</w:t>
      </w:r>
      <w:r w:rsidRPr="00FE412B">
        <w:t>2d 82, 87-88 (7th Cir. 1928)</w:t>
      </w:r>
      <w:r w:rsidR="008930FA">
        <w:t xml:space="preserve">, </w:t>
      </w:r>
      <w:r w:rsidR="008930FA">
        <w:rPr>
          <w:i/>
        </w:rPr>
        <w:t>overruled by United States v. Mihione</w:t>
      </w:r>
      <w:r w:rsidR="008930FA">
        <w:t>, 357 F.3d 712, 718 (7th Cir. 2004)</w:t>
      </w:r>
      <w:r>
        <w:t xml:space="preserve">.  </w:t>
      </w:r>
      <w:r>
        <w:rPr>
          <w:i/>
        </w:rPr>
        <w:t>Roby v. State</w:t>
      </w:r>
      <w:r>
        <w:t>, 808 N.W.2d 20, 27 n.6 (Minn. 2011).  A new trial</w:t>
      </w:r>
      <w:r w:rsidRPr="00CA4465">
        <w:t xml:space="preserve"> </w:t>
      </w:r>
      <w:r>
        <w:t>based on false testimony may be granted where</w:t>
      </w:r>
      <w:r w:rsidRPr="00CA4465">
        <w:t xml:space="preserve"> </w:t>
      </w:r>
      <w:r w:rsidR="00CE695E">
        <w:t>(</w:t>
      </w:r>
      <w:r w:rsidRPr="00CA4465">
        <w:t xml:space="preserve">1) </w:t>
      </w:r>
      <w:r>
        <w:t xml:space="preserve">the court is reasonably well satisfied the testimony was false; </w:t>
      </w:r>
      <w:r w:rsidR="00CE695E">
        <w:t>(</w:t>
      </w:r>
      <w:r>
        <w:t xml:space="preserve">2) the jury might have reached a different conclusion without the testimony; and (3) the petitioner </w:t>
      </w:r>
      <w:r w:rsidRPr="00CA4465">
        <w:t>was surprised by the testimony and was unable to counteract it or did not know it was fals</w:t>
      </w:r>
      <w:bookmarkStart w:id="503" w:name="_Toc48979688"/>
      <w:r>
        <w:t xml:space="preserve">e until after the trial.  </w:t>
      </w:r>
      <w:r>
        <w:rPr>
          <w:i/>
        </w:rPr>
        <w:t>State v.</w:t>
      </w:r>
      <w:r w:rsidR="00CE695E">
        <w:rPr>
          <w:i/>
        </w:rPr>
        <w:t xml:space="preserve"> </w:t>
      </w:r>
      <w:r>
        <w:rPr>
          <w:i/>
        </w:rPr>
        <w:t>Nicks</w:t>
      </w:r>
      <w:r>
        <w:t>, 831 N.W.2d 493, 511 (Minn. 2013);</w:t>
      </w:r>
      <w:r>
        <w:rPr>
          <w:i/>
        </w:rPr>
        <w:t xml:space="preserve"> Dobbins v. State</w:t>
      </w:r>
      <w:r>
        <w:t xml:space="preserve">, 788 N.W.2d 719, 733 (Minn. 2010).  </w:t>
      </w:r>
      <w:bookmarkEnd w:id="503"/>
    </w:p>
    <w:p w:rsidR="004F10A3" w:rsidRPr="00CA4465" w:rsidRDefault="004F10A3" w:rsidP="00337FFA">
      <w:pPr>
        <w:pStyle w:val="Heading3"/>
      </w:pPr>
      <w:bookmarkStart w:id="504" w:name="_Toc395604694"/>
      <w:r w:rsidRPr="00CA4465">
        <w:lastRenderedPageBreak/>
        <w:t>3.</w:t>
      </w:r>
      <w:r w:rsidRPr="00CA4465">
        <w:tab/>
        <w:t>Ineffective Assistance of Counsel</w:t>
      </w:r>
      <w:bookmarkEnd w:id="493"/>
      <w:bookmarkEnd w:id="504"/>
    </w:p>
    <w:p w:rsidR="00BD2015" w:rsidRPr="00CA4465" w:rsidRDefault="00BD2015" w:rsidP="00BD2015">
      <w:pPr>
        <w:ind w:left="720"/>
      </w:pPr>
      <w:bookmarkStart w:id="505" w:name="_Toc48979690"/>
      <w:r w:rsidRPr="00CA4465">
        <w:t xml:space="preserve">“The defendant must affirmatively prove that his counsel’s representation ‘fell below an objective standard of reasonableness’ and ‘that there is a reasonable probability that, but for counsel’s unprofessional errors, the result of the proceeding would have been different. </w:t>
      </w:r>
      <w:r w:rsidR="00A45734">
        <w:t xml:space="preserve"> </w:t>
      </w:r>
      <w:r w:rsidRPr="00CA4465">
        <w:t xml:space="preserve">A reasonable probability is a probability sufficient to undermine confidence in the outcome.’”  </w:t>
      </w:r>
      <w:r w:rsidRPr="00CA4465">
        <w:rPr>
          <w:i/>
          <w:iCs/>
        </w:rPr>
        <w:t>Gates</w:t>
      </w:r>
      <w:r w:rsidRPr="00CA4465">
        <w:t xml:space="preserve"> </w:t>
      </w:r>
      <w:r w:rsidRPr="00CA4465">
        <w:rPr>
          <w:i/>
          <w:iCs/>
        </w:rPr>
        <w:t>v. State</w:t>
      </w:r>
      <w:r w:rsidRPr="00CA4465">
        <w:t xml:space="preserve">, 398 N.W.2d 558, 561 (Minn. 1987) (quoting </w:t>
      </w:r>
      <w:r w:rsidRPr="00CA4465">
        <w:rPr>
          <w:i/>
          <w:iCs/>
        </w:rPr>
        <w:t>Strickland v. Washington</w:t>
      </w:r>
      <w:r w:rsidRPr="00CA4465">
        <w:t>, 466 U.S. 668, 688, 694, 104 S. Ct. 2052, 2064, 2068 (1984)).</w:t>
      </w:r>
    </w:p>
    <w:p w:rsidR="00146883" w:rsidRDefault="00146883" w:rsidP="00146883">
      <w:pPr>
        <w:ind w:left="720"/>
      </w:pPr>
    </w:p>
    <w:p w:rsidR="00146883" w:rsidRPr="00146883" w:rsidRDefault="00146883" w:rsidP="00146883">
      <w:pPr>
        <w:ind w:left="720"/>
      </w:pPr>
      <w:r w:rsidRPr="00146883">
        <w:t xml:space="preserve">“Recognizing that it is all too tempting for a defendant to second-guess counsel’s assistance after conviction or adverse sentence, and it is all too easy for a court, examining counsel’s defense after it has proved unsuccessful, to conclude that a particular act or omission of counsel was unreasonable, </w:t>
      </w:r>
      <w:r w:rsidRPr="00146883">
        <w:rPr>
          <w:i/>
        </w:rPr>
        <w:t>Strickland</w:t>
      </w:r>
      <w:r w:rsidRPr="00146883">
        <w:t xml:space="preserve"> admonishes reviewing courts to judge the reasonableness of counsel’s challenged conduct on the facts of the particular case, viewed as of the time of counsel’s conduct.”  </w:t>
      </w:r>
      <w:r w:rsidRPr="00146883">
        <w:rPr>
          <w:i/>
        </w:rPr>
        <w:t>State v. Rhodes</w:t>
      </w:r>
      <w:r w:rsidRPr="00146883">
        <w:t xml:space="preserve">, 657 N.W.2d 823, 844 (Minn. 2003) (quotations and citations omitted). </w:t>
      </w:r>
    </w:p>
    <w:p w:rsidR="00BD2015" w:rsidRDefault="00BD2015" w:rsidP="00BD2015">
      <w:pPr>
        <w:ind w:left="720"/>
      </w:pPr>
    </w:p>
    <w:p w:rsidR="00BD2015" w:rsidRPr="006A13A3" w:rsidRDefault="00BD2015" w:rsidP="00BD2015">
      <w:pPr>
        <w:ind w:left="720"/>
      </w:pPr>
      <w:r>
        <w:t xml:space="preserve">“We review the denial of postconviction relief based on a claim of ineffective assistance of counsel de novo because such a claim involves a mixed question of law and fact.”  </w:t>
      </w:r>
      <w:r>
        <w:rPr>
          <w:i/>
        </w:rPr>
        <w:t>Hawes v. State</w:t>
      </w:r>
      <w:r>
        <w:t xml:space="preserve">, 826 N.W.2d 775, 782 (Minn. 2013).  </w:t>
      </w:r>
    </w:p>
    <w:p w:rsidR="004F10A3" w:rsidRPr="00CA4465" w:rsidRDefault="004F10A3" w:rsidP="00337FFA">
      <w:pPr>
        <w:pStyle w:val="Heading3"/>
      </w:pPr>
      <w:bookmarkStart w:id="506" w:name="_Toc395604695"/>
      <w:r w:rsidRPr="00CA4465">
        <w:t>4.</w:t>
      </w:r>
      <w:r w:rsidRPr="00CA4465">
        <w:tab/>
        <w:t>Motion for Release Pending Appeal</w:t>
      </w:r>
      <w:bookmarkEnd w:id="505"/>
      <w:bookmarkEnd w:id="506"/>
    </w:p>
    <w:p w:rsidR="00BD2015" w:rsidRPr="00CA4465" w:rsidRDefault="00BD2015" w:rsidP="00BD2015">
      <w:pPr>
        <w:ind w:left="720"/>
      </w:pPr>
      <w:bookmarkStart w:id="507" w:name="_Toc48979691"/>
      <w:r w:rsidRPr="00CA4465">
        <w:t xml:space="preserve">“[A]ppellate review under Rule 28.02, subd. 7(3) [involving motion for release pending appeal], unlike that provided in petitions for extraordinary writs, is de novo.”  </w:t>
      </w:r>
      <w:r w:rsidRPr="00CA4465">
        <w:rPr>
          <w:i/>
          <w:iCs/>
        </w:rPr>
        <w:t>State v. Johnson</w:t>
      </w:r>
      <w:r w:rsidRPr="00CA4465">
        <w:t>, 447 N.W.2d 605, 607 (Minn. App. 1989).</w:t>
      </w:r>
    </w:p>
    <w:p w:rsidR="00BD2015" w:rsidRPr="00CA4465" w:rsidRDefault="00BD2015" w:rsidP="00BD2015">
      <w:pPr>
        <w:ind w:left="720"/>
      </w:pPr>
    </w:p>
    <w:p w:rsidR="00BD2015" w:rsidRPr="00CA4465" w:rsidRDefault="00BD2015" w:rsidP="00BD2015">
      <w:pPr>
        <w:ind w:left="720"/>
      </w:pPr>
      <w:r w:rsidRPr="00CA4465">
        <w:t xml:space="preserve">The district court is in a “far better position” than an appellate court to determine whether the appellant has made the showing required for release pending appeal.  </w:t>
      </w:r>
      <w:r w:rsidRPr="00CA4465">
        <w:rPr>
          <w:i/>
        </w:rPr>
        <w:t>State v. McKinley</w:t>
      </w:r>
      <w:r w:rsidRPr="00CA4465">
        <w:t>, 424 N.W.2d 586, 586-87 (Minn. App. 1988).</w:t>
      </w:r>
    </w:p>
    <w:p w:rsidR="004F10A3" w:rsidRPr="00CA4465" w:rsidRDefault="004F10A3" w:rsidP="00604DD4">
      <w:pPr>
        <w:pStyle w:val="Heading2"/>
      </w:pPr>
      <w:bookmarkStart w:id="508" w:name="_Toc395604696"/>
      <w:r w:rsidRPr="00CA4465">
        <w:t>F.</w:t>
      </w:r>
      <w:r w:rsidRPr="00CA4465">
        <w:tab/>
      </w:r>
      <w:bookmarkEnd w:id="507"/>
      <w:r w:rsidR="00146883" w:rsidRPr="003E466A">
        <w:t xml:space="preserve">Funding under Minn. Stat. </w:t>
      </w:r>
      <w:r w:rsidR="00146883" w:rsidRPr="003E466A">
        <w:rPr>
          <w:rFonts w:cs="Times New Roman"/>
        </w:rPr>
        <w:t>§</w:t>
      </w:r>
      <w:r w:rsidR="00146883" w:rsidRPr="003E466A">
        <w:t xml:space="preserve"> 611.21</w:t>
      </w:r>
      <w:bookmarkEnd w:id="508"/>
    </w:p>
    <w:p w:rsidR="00BD2015" w:rsidRPr="00CA4465" w:rsidRDefault="00BD2015" w:rsidP="00BD2015">
      <w:bookmarkStart w:id="509" w:name="_Toc48979692"/>
      <w:r w:rsidRPr="00CA4465">
        <w:t xml:space="preserve">In reviewing a </w:t>
      </w:r>
      <w:r w:rsidR="003E466A">
        <w:t xml:space="preserve">district </w:t>
      </w:r>
      <w:r w:rsidRPr="00CA4465">
        <w:t>court order under Minn. Stat. § 611.21(a)</w:t>
      </w:r>
      <w:r w:rsidR="005A127A">
        <w:t xml:space="preserve"> (2012)</w:t>
      </w:r>
      <w:r w:rsidRPr="00CA4465">
        <w:t xml:space="preserve"> for payment of expert</w:t>
      </w:r>
      <w:r w:rsidR="00A45734">
        <w:t>-</w:t>
      </w:r>
      <w:r w:rsidRPr="00CA4465">
        <w:t>witness fees on behalf of a</w:t>
      </w:r>
      <w:r>
        <w:t xml:space="preserve"> defendant, “the district court’</w:t>
      </w:r>
      <w:r w:rsidRPr="00CA4465">
        <w:t xml:space="preserve">s determination of reasonable compensation should be reviewed under an abuse of discretion standard.”  </w:t>
      </w:r>
      <w:r w:rsidRPr="00CA4465">
        <w:rPr>
          <w:i/>
          <w:iCs/>
        </w:rPr>
        <w:t>In re Jobe</w:t>
      </w:r>
      <w:r w:rsidRPr="00CA4465">
        <w:t>, 477 N.W.2d 723, 725 (Minn. App. 1991).</w:t>
      </w:r>
    </w:p>
    <w:p w:rsidR="004F10A3" w:rsidRPr="00CA4465" w:rsidRDefault="004F10A3" w:rsidP="000605DE">
      <w:pPr>
        <w:jc w:val="center"/>
        <w:rPr>
          <w:b/>
          <w:sz w:val="28"/>
          <w:szCs w:val="28"/>
        </w:rPr>
      </w:pPr>
    </w:p>
    <w:p w:rsidR="00177214" w:rsidRDefault="00177214">
      <w:pPr>
        <w:jc w:val="left"/>
        <w:rPr>
          <w:rFonts w:eastAsiaTheme="majorEastAsia" w:cstheme="majorBidi"/>
          <w:b/>
          <w:bCs/>
          <w:caps/>
          <w:sz w:val="28"/>
          <w:szCs w:val="28"/>
        </w:rPr>
      </w:pPr>
      <w:r>
        <w:br w:type="page"/>
      </w:r>
    </w:p>
    <w:p w:rsidR="004F10A3" w:rsidRPr="00CA4465" w:rsidRDefault="005551F2" w:rsidP="008429C3">
      <w:pPr>
        <w:pStyle w:val="Heading1"/>
      </w:pPr>
      <w:bookmarkStart w:id="510" w:name="_Toc395604697"/>
      <w:r>
        <w:lastRenderedPageBreak/>
        <w:t>VI.</w:t>
      </w:r>
      <w:r>
        <w:tab/>
      </w:r>
      <w:r w:rsidR="004F10A3" w:rsidRPr="00CA4465">
        <w:t>QUASI-CRIMINAL</w:t>
      </w:r>
      <w:bookmarkEnd w:id="509"/>
      <w:bookmarkEnd w:id="510"/>
    </w:p>
    <w:p w:rsidR="0075297A" w:rsidRPr="00CA4465" w:rsidRDefault="0075297A" w:rsidP="00604DD4">
      <w:pPr>
        <w:pStyle w:val="Heading2"/>
      </w:pPr>
      <w:bookmarkStart w:id="511" w:name="_Toc395604698"/>
      <w:r w:rsidRPr="00CA4465">
        <w:t>A.</w:t>
      </w:r>
      <w:r w:rsidRPr="00CA4465">
        <w:tab/>
        <w:t>JUVENILE</w:t>
      </w:r>
      <w:bookmarkEnd w:id="511"/>
    </w:p>
    <w:p w:rsidR="0075297A" w:rsidRPr="00CA4465" w:rsidRDefault="0075297A" w:rsidP="00337FFA">
      <w:pPr>
        <w:pStyle w:val="Heading3"/>
      </w:pPr>
      <w:bookmarkStart w:id="512" w:name="_Toc48979696"/>
      <w:bookmarkStart w:id="513" w:name="_Toc395604699"/>
      <w:r w:rsidRPr="00CA4465">
        <w:t>1.</w:t>
      </w:r>
      <w:r w:rsidRPr="00CA4465">
        <w:tab/>
        <w:t>Delinquency Adjudications</w:t>
      </w:r>
      <w:bookmarkEnd w:id="512"/>
      <w:bookmarkEnd w:id="513"/>
    </w:p>
    <w:p w:rsidR="006138FF" w:rsidRPr="00CA4465" w:rsidRDefault="006138FF" w:rsidP="006138FF">
      <w:pPr>
        <w:ind w:left="720"/>
      </w:pPr>
      <w:bookmarkStart w:id="514" w:name="_Toc48979697"/>
      <w:r w:rsidRPr="00CA4465">
        <w:t xml:space="preserve">“On appeal from a determination that each of the elements of a delinquency petition have been proved beyond a reasonable doubt, an appellate court is limited to ascertaining whether, given the facts and legitimate inferences, a fact-finder could reasonably make that determination.  This court must assume that the fact-finder believed the state’s witnesses and disbelieved any contrary evidence.”  </w:t>
      </w:r>
      <w:r w:rsidRPr="00CA4465">
        <w:rPr>
          <w:i/>
        </w:rPr>
        <w:t>In re Welfare of T.N.Y.</w:t>
      </w:r>
      <w:r w:rsidRPr="00CA4465">
        <w:t>, 632 N.W.2d 765, 768 (Minn. App. 2001) (quotation and citations omitted).</w:t>
      </w:r>
    </w:p>
    <w:p w:rsidR="006138FF" w:rsidRPr="00CA4465" w:rsidRDefault="006138FF" w:rsidP="006138FF">
      <w:pPr>
        <w:ind w:left="720"/>
      </w:pPr>
    </w:p>
    <w:p w:rsidR="006138FF" w:rsidRPr="00CA4465" w:rsidRDefault="006138FF" w:rsidP="006138FF">
      <w:pPr>
        <w:ind w:left="720"/>
      </w:pPr>
      <w:r w:rsidRPr="00CA4465">
        <w:t xml:space="preserve">“In reviewing the sufficiency of the evidence the court applies the same standard to bench and jury trials.  The sufficiency standard is that the reviewing court views the evidence in the light most favorable to the state and decides whether the fact-finder could have reasonably found the defendant guilty.  When the evidence is circumstantial, it must form a complete chain that, viewed as whole, leads so directly to the guilt of the defendant as to exclude any reasonable inference of doubt of guilt.  The factual findings of the district court are upheld unless clearly erroneous.”  </w:t>
      </w:r>
      <w:r w:rsidRPr="00CA4465">
        <w:rPr>
          <w:i/>
        </w:rPr>
        <w:t>In re Welfare of M.E.M.</w:t>
      </w:r>
      <w:r w:rsidRPr="00CA4465">
        <w:t>, 674 N.W.2d 208, 215 (Minn. App. 2004) (citations omitted).</w:t>
      </w:r>
    </w:p>
    <w:p w:rsidR="006138FF" w:rsidRPr="00CA4465" w:rsidRDefault="006138FF" w:rsidP="006138FF">
      <w:pPr>
        <w:ind w:left="720"/>
      </w:pPr>
    </w:p>
    <w:p w:rsidR="006138FF" w:rsidRPr="00CA4465" w:rsidRDefault="006138FF" w:rsidP="006138FF">
      <w:pPr>
        <w:ind w:left="720"/>
      </w:pPr>
      <w:r w:rsidRPr="00CA4465">
        <w:t xml:space="preserve">In </w:t>
      </w:r>
      <w:r>
        <w:t xml:space="preserve">juvenile delinquency matters, “[w]e </w:t>
      </w:r>
      <w:r w:rsidRPr="00CA4465">
        <w:t>review</w:t>
      </w:r>
      <w:r>
        <w:t xml:space="preserve"> questions of law de novo.”  </w:t>
      </w:r>
      <w:r>
        <w:rPr>
          <w:i/>
        </w:rPr>
        <w:t>In re Welfare of R.J.E.</w:t>
      </w:r>
      <w:r>
        <w:t>, 642 N.W.2d 708, 710-11 (Minn. 2002)</w:t>
      </w:r>
      <w:r w:rsidRPr="00CA4465">
        <w:t>.</w:t>
      </w:r>
    </w:p>
    <w:p w:rsidR="0075297A" w:rsidRPr="00CA4465" w:rsidRDefault="0075297A" w:rsidP="00337FFA">
      <w:pPr>
        <w:pStyle w:val="Heading3"/>
      </w:pPr>
      <w:bookmarkStart w:id="515" w:name="_Toc395604700"/>
      <w:r w:rsidRPr="00CA4465">
        <w:t>2.</w:t>
      </w:r>
      <w:r w:rsidRPr="00CA4465">
        <w:tab/>
        <w:t>Stops</w:t>
      </w:r>
      <w:bookmarkEnd w:id="514"/>
      <w:bookmarkEnd w:id="515"/>
    </w:p>
    <w:p w:rsidR="006138FF" w:rsidRPr="00CA4465" w:rsidRDefault="006138FF" w:rsidP="006138FF">
      <w:pPr>
        <w:ind w:left="720"/>
      </w:pPr>
      <w:r>
        <w:t xml:space="preserve">When reviewing the legality of a stop and subsequent seizure and search, an appellate court will not reverse the district court’s findings unless clearly erroneous, but the appellate court reviews the district court’s determination of reasonable suspicion as it relates to </w:t>
      </w:r>
      <w:r>
        <w:rPr>
          <w:i/>
        </w:rPr>
        <w:t xml:space="preserve">Terry </w:t>
      </w:r>
      <w:r>
        <w:t xml:space="preserve">stops and probable cause as it relates to warrantless searches de novo.  </w:t>
      </w:r>
      <w:r w:rsidRPr="00CA4465">
        <w:rPr>
          <w:i/>
          <w:iCs/>
        </w:rPr>
        <w:t>In re Welfare of G.M.</w:t>
      </w:r>
      <w:r w:rsidRPr="00CA4465">
        <w:t>, 560 N.W.2d 687, 690 (Minn. 1997).</w:t>
      </w:r>
    </w:p>
    <w:p w:rsidR="0075297A" w:rsidRPr="00CA4465" w:rsidRDefault="0075297A" w:rsidP="00337FFA">
      <w:pPr>
        <w:pStyle w:val="Heading3"/>
      </w:pPr>
      <w:bookmarkStart w:id="516" w:name="_Toc395604701"/>
      <w:r w:rsidRPr="00CA4465">
        <w:t>3.</w:t>
      </w:r>
      <w:r w:rsidRPr="00CA4465">
        <w:tab/>
      </w:r>
      <w:r w:rsidRPr="000019BC">
        <w:t>Miranda</w:t>
      </w:r>
      <w:bookmarkEnd w:id="516"/>
    </w:p>
    <w:p w:rsidR="006138FF" w:rsidRDefault="006138FF" w:rsidP="006138FF">
      <w:pPr>
        <w:keepNext/>
        <w:ind w:left="720"/>
      </w:pPr>
      <w:bookmarkStart w:id="517" w:name="_Toc48979698"/>
      <w:r>
        <w:t xml:space="preserve">“We review findings of fact surrounding a purported </w:t>
      </w:r>
      <w:r>
        <w:rPr>
          <w:i/>
        </w:rPr>
        <w:t>Miranda</w:t>
      </w:r>
      <w:r>
        <w:t xml:space="preserve"> waiver for clear error, and we review legal conclusions based on those facts de novo to determine whether the state has shown by a fair preponderance of the evidence that the suspect’s waiver was knowing, intelligent, and voluntary.”  </w:t>
      </w:r>
      <w:r>
        <w:rPr>
          <w:i/>
        </w:rPr>
        <w:t>State v. Burrell</w:t>
      </w:r>
      <w:r>
        <w:t xml:space="preserve">, 697 N.W.2d 579, 591 (Minn. 2005) (addressing inadequate </w:t>
      </w:r>
      <w:r>
        <w:rPr>
          <w:i/>
        </w:rPr>
        <w:t>Miranda</w:t>
      </w:r>
      <w:r>
        <w:t xml:space="preserve"> waiver of juvenile later tried as an adult).</w:t>
      </w:r>
    </w:p>
    <w:p w:rsidR="006138FF" w:rsidRDefault="006138FF" w:rsidP="006138FF">
      <w:pPr>
        <w:ind w:left="720"/>
      </w:pPr>
    </w:p>
    <w:p w:rsidR="006138FF" w:rsidRPr="00C06F73" w:rsidRDefault="006138FF" w:rsidP="006138FF">
      <w:pPr>
        <w:ind w:left="720"/>
      </w:pPr>
      <w:r>
        <w:t xml:space="preserve">“[W]hether a defendant was in custody at the time of an interrogation is a mixed question of law and fact, requiring the appellate court to apply the controlling legal standard to historical facts as determined by the [district] court.  The appellate court reviews the district court’s findings of fact under the clearly erroneous standard of review but reviews de novo the district court’s custody determination and the need for a </w:t>
      </w:r>
      <w:r>
        <w:rPr>
          <w:i/>
        </w:rPr>
        <w:t>Miranda</w:t>
      </w:r>
      <w:r>
        <w:t xml:space="preserve"> warning.”  </w:t>
      </w:r>
      <w:r>
        <w:rPr>
          <w:i/>
        </w:rPr>
        <w:lastRenderedPageBreak/>
        <w:t>In re Welfare of D.S.M.</w:t>
      </w:r>
      <w:r>
        <w:t>, 710 N.W.2d 795, 797 (Minn. App. 2006) (quotations and citation omitted).</w:t>
      </w:r>
    </w:p>
    <w:p w:rsidR="006138FF" w:rsidRDefault="006138FF" w:rsidP="006138FF"/>
    <w:p w:rsidR="006138FF" w:rsidRPr="00EC1BF6" w:rsidRDefault="006138FF" w:rsidP="006138FF">
      <w:pPr>
        <w:ind w:left="720"/>
      </w:pPr>
      <w:r>
        <w:t xml:space="preserve">Determining when a juvenile suspect would believe that he or she was in custody the circumstances are viewed from the perspective of the juvenile.  “[T]his court must ask whether a reasonable person in [the juvenile’s] situation would have believed that he was in custody. Proper constitutional analysis of custodial interrogation should focus primarily on the perspective of the suspect, rather than the subjective intent of the police.”  </w:t>
      </w:r>
      <w:r>
        <w:rPr>
          <w:i/>
        </w:rPr>
        <w:t>In re Welfare of G.S.P.</w:t>
      </w:r>
      <w:r>
        <w:t xml:space="preserve">, 610 N.W.2d 651, 657 (Minn. App. 2000) (holding 12-year-old’s statements to uniformed police officer in principal’s office were inadmissible because taken in violation of </w:t>
      </w:r>
      <w:r>
        <w:rPr>
          <w:i/>
        </w:rPr>
        <w:t>Miranda</w:t>
      </w:r>
      <w:r w:rsidR="00A61D12">
        <w:t>) (citation omitted)</w:t>
      </w:r>
      <w:r>
        <w:rPr>
          <w:i/>
        </w:rPr>
        <w:t xml:space="preserve">.  </w:t>
      </w:r>
    </w:p>
    <w:p w:rsidR="006138FF" w:rsidRDefault="006138FF" w:rsidP="006138FF">
      <w:pPr>
        <w:ind w:left="720"/>
      </w:pPr>
    </w:p>
    <w:p w:rsidR="006138FF" w:rsidRDefault="006138FF" w:rsidP="006138FF">
      <w:pPr>
        <w:ind w:left="720"/>
      </w:pPr>
      <w:r w:rsidRPr="00CA4465">
        <w:t xml:space="preserve">The harmless error analysis directs an appellate court to consider the impact of an error at trial, and a determination that a district court erred in admitting a juvenile’s statement does not automatically result in a reversal and the granting of a new trial.  </w:t>
      </w:r>
      <w:r w:rsidRPr="00CA4465">
        <w:rPr>
          <w:i/>
        </w:rPr>
        <w:t>In re Welfare of T.J.C.</w:t>
      </w:r>
      <w:r w:rsidRPr="00CA4465">
        <w:t xml:space="preserve">, 670 N.W.2d 629, 631 (Minn. App. 2003), </w:t>
      </w:r>
      <w:r w:rsidRPr="00CA4465">
        <w:rPr>
          <w:i/>
        </w:rPr>
        <w:t>review denied</w:t>
      </w:r>
      <w:r>
        <w:t xml:space="preserve"> (Minn. Jan. 20, 2004).</w:t>
      </w:r>
    </w:p>
    <w:p w:rsidR="006138FF" w:rsidRDefault="0075297A" w:rsidP="00337FFA">
      <w:pPr>
        <w:pStyle w:val="Heading3"/>
      </w:pPr>
      <w:bookmarkStart w:id="518" w:name="_Toc395604702"/>
      <w:r w:rsidRPr="00CA4465">
        <w:t>4.</w:t>
      </w:r>
      <w:r w:rsidRPr="00CA4465">
        <w:tab/>
      </w:r>
      <w:r w:rsidR="006138FF">
        <w:t>Review of Pretrial Ruling</w:t>
      </w:r>
      <w:bookmarkEnd w:id="518"/>
    </w:p>
    <w:p w:rsidR="006138FF" w:rsidRDefault="006138FF" w:rsidP="006138FF">
      <w:pPr>
        <w:ind w:left="720"/>
      </w:pPr>
      <w:r>
        <w:t xml:space="preserve">A juvenile may seek review of a pretrial issue involving the suppression of evidence by stipulating to the state’s case, as approved in </w:t>
      </w:r>
      <w:r>
        <w:rPr>
          <w:i/>
        </w:rPr>
        <w:t>State v. Lothenbach</w:t>
      </w:r>
      <w:r>
        <w:t xml:space="preserve">, 296 N.W.2d 854 (Minn. 1980), and harmless error review does not apply.  </w:t>
      </w:r>
      <w:r>
        <w:rPr>
          <w:i/>
        </w:rPr>
        <w:t>In re Welfare of R.J.E.</w:t>
      </w:r>
      <w:r>
        <w:t xml:space="preserve">, 642 N.W.2d 708, 713 (Minn. 2002).  </w:t>
      </w:r>
    </w:p>
    <w:p w:rsidR="006138FF" w:rsidRPr="006138FF" w:rsidRDefault="006138FF" w:rsidP="00337FFA">
      <w:pPr>
        <w:pStyle w:val="Heading3"/>
      </w:pPr>
      <w:bookmarkStart w:id="519" w:name="_Toc358882996"/>
      <w:bookmarkStart w:id="520" w:name="_Toc395604703"/>
      <w:r w:rsidRPr="006138FF">
        <w:t>5.</w:t>
      </w:r>
      <w:r w:rsidRPr="006138FF">
        <w:tab/>
        <w:t>Certification and Extended Jurisdiction Juvenile (EJJ) Designation</w:t>
      </w:r>
      <w:bookmarkEnd w:id="519"/>
      <w:bookmarkEnd w:id="520"/>
    </w:p>
    <w:p w:rsidR="006138FF" w:rsidRPr="00CA4465" w:rsidRDefault="006138FF" w:rsidP="006138FF">
      <w:pPr>
        <w:ind w:left="720"/>
      </w:pPr>
      <w:r w:rsidRPr="00CA4465">
        <w:t>“We review under a clearly erroneous standard the juvenile court’s finding that the prosecutor proved by clear and convincing evidence that public safety would be ser</w:t>
      </w:r>
      <w:r>
        <w:t>ved by designating respondent’</w:t>
      </w:r>
      <w:r w:rsidRPr="00CA4465">
        <w:t xml:space="preserve">s prosecution EJJ.”  </w:t>
      </w:r>
      <w:r w:rsidRPr="00CA4465">
        <w:rPr>
          <w:i/>
        </w:rPr>
        <w:t>In re Welfare of D.M.D.</w:t>
      </w:r>
      <w:r w:rsidRPr="00CA4465">
        <w:t>, 607 N.W.2d 432, 437 (Minn. 2000).</w:t>
      </w:r>
    </w:p>
    <w:p w:rsidR="006138FF" w:rsidRPr="00CA4465" w:rsidRDefault="006138FF" w:rsidP="006138FF">
      <w:pPr>
        <w:ind w:left="720"/>
      </w:pPr>
    </w:p>
    <w:p w:rsidR="006138FF" w:rsidRDefault="006138FF" w:rsidP="006138FF">
      <w:pPr>
        <w:ind w:left="720"/>
      </w:pPr>
      <w:r w:rsidRPr="00CA4465">
        <w:t>“</w:t>
      </w:r>
      <w:r>
        <w:t xml:space="preserve">A district court has considerable latitude in deciding whether to certify, and this court will not upset its decision unless its findings are clearly erroneous so as to constitute an abuse of discretion.”  </w:t>
      </w:r>
      <w:r>
        <w:rPr>
          <w:i/>
        </w:rPr>
        <w:t>In re Welfare of S.J.T.</w:t>
      </w:r>
      <w:r>
        <w:t xml:space="preserve">, 736 N.W.2d 341, 346 (Minn. App. 2007) (citation omitted), </w:t>
      </w:r>
      <w:r>
        <w:rPr>
          <w:i/>
        </w:rPr>
        <w:t xml:space="preserve">review denied </w:t>
      </w:r>
      <w:r>
        <w:t xml:space="preserve">(Minn. Oct. 24, 2007).  </w:t>
      </w:r>
    </w:p>
    <w:p w:rsidR="003E466A" w:rsidRDefault="003E466A" w:rsidP="006138FF">
      <w:pPr>
        <w:ind w:left="720"/>
      </w:pPr>
    </w:p>
    <w:p w:rsidR="003E466A" w:rsidRPr="00FA6920" w:rsidRDefault="003E466A" w:rsidP="003E466A">
      <w:pPr>
        <w:ind w:left="720"/>
      </w:pPr>
      <w:r w:rsidRPr="003E466A">
        <w:t xml:space="preserve">“We review the juvenile court’s decision to certify a child to adult court for an abuse of discretion.  Specifically, we review questions of law de novo, and we review findings of fact under the clearly erroneous standard.  We will not disturb a finding about whether public safety would be served by retaining the proceeding in juvenile court unless it is clearly erroneous.  In determining whether the juvenile court’s findings are clearly erroneous, we view the record in the light most favorable to the juvenile court’s findings.”  </w:t>
      </w:r>
      <w:r w:rsidRPr="003E466A">
        <w:rPr>
          <w:i/>
        </w:rPr>
        <w:t>In re Welfare of J.H.</w:t>
      </w:r>
      <w:r w:rsidRPr="003E466A">
        <w:t>, 844 N.W.2d 28. 34-35 (Minn. 2014) (citations omitted).</w:t>
      </w:r>
    </w:p>
    <w:p w:rsidR="003E466A" w:rsidRPr="008320C4" w:rsidRDefault="003E466A" w:rsidP="006138FF">
      <w:pPr>
        <w:ind w:left="720"/>
      </w:pPr>
    </w:p>
    <w:p w:rsidR="006138FF" w:rsidRPr="00CA4465" w:rsidRDefault="006138FF" w:rsidP="00337FFA">
      <w:pPr>
        <w:pStyle w:val="Heading3"/>
      </w:pPr>
      <w:bookmarkStart w:id="521" w:name="_Toc358882997"/>
      <w:bookmarkStart w:id="522" w:name="_Toc395604704"/>
      <w:r w:rsidRPr="00CA4465">
        <w:lastRenderedPageBreak/>
        <w:t>6.</w:t>
      </w:r>
      <w:r w:rsidRPr="00CA4465">
        <w:tab/>
        <w:t>Dispositions and Requirement of Findings</w:t>
      </w:r>
      <w:bookmarkEnd w:id="521"/>
      <w:bookmarkEnd w:id="522"/>
      <w:r w:rsidRPr="00CA4465">
        <w:t xml:space="preserve"> </w:t>
      </w:r>
    </w:p>
    <w:p w:rsidR="006138FF" w:rsidRDefault="006138FF" w:rsidP="006138FF">
      <w:pPr>
        <w:ind w:left="720"/>
      </w:pPr>
      <w:r>
        <w:t xml:space="preserve">“The district court has broad discretion to order dispositions authorized by statute [in juvenile proceedings], and the disposition will not be disturbed absent an abuse of discretion.”  </w:t>
      </w:r>
      <w:r>
        <w:rPr>
          <w:i/>
        </w:rPr>
        <w:t>In re Welfare of J.S.H.-G.</w:t>
      </w:r>
      <w:r>
        <w:t xml:space="preserve">, 645 N.W.2d 500, 504 (Minn. App. 2002), </w:t>
      </w:r>
      <w:r>
        <w:rPr>
          <w:i/>
        </w:rPr>
        <w:t>review denied</w:t>
      </w:r>
      <w:r>
        <w:t xml:space="preserve"> (Minn. Aug. 20, 2002).</w:t>
      </w:r>
    </w:p>
    <w:p w:rsidR="006138FF" w:rsidRPr="00763BAF" w:rsidRDefault="006138FF" w:rsidP="006138FF">
      <w:pPr>
        <w:ind w:left="720"/>
      </w:pPr>
    </w:p>
    <w:p w:rsidR="006138FF" w:rsidRPr="00CA4465" w:rsidRDefault="006138FF" w:rsidP="006138FF">
      <w:pPr>
        <w:ind w:left="720"/>
      </w:pPr>
      <w:r w:rsidRPr="00CA4465">
        <w:t xml:space="preserve">“The [district] court has broad discretion in choosing the appropriate juvenile delinquency disposition.  This court will affirm the disposition as long as it is not arbitrary.  Findings of fact in the dispositional order will be accepted unless clearly erroneous.  Absent a clear abuse of discretion, a [district] court’s disposition will not be disturbed.”  </w:t>
      </w:r>
      <w:r w:rsidRPr="00CA4465">
        <w:rPr>
          <w:i/>
        </w:rPr>
        <w:t>In re Welfare of J.A.J.</w:t>
      </w:r>
      <w:r w:rsidRPr="00CA4465">
        <w:t>, 545 N.W.2d 412, 414 (Minn. App. 1996) (citations omitted).</w:t>
      </w:r>
    </w:p>
    <w:p w:rsidR="006138FF" w:rsidRPr="00CA4465" w:rsidRDefault="006138FF" w:rsidP="006138FF">
      <w:pPr>
        <w:ind w:left="720"/>
      </w:pPr>
    </w:p>
    <w:p w:rsidR="006138FF" w:rsidRPr="00CA4465" w:rsidRDefault="006138FF" w:rsidP="006138FF">
      <w:pPr>
        <w:ind w:left="720"/>
      </w:pPr>
      <w:r w:rsidRPr="00CA4465">
        <w:t xml:space="preserve">Written dispositional findings </w:t>
      </w:r>
      <w:r>
        <w:t>“</w:t>
      </w:r>
      <w:r w:rsidRPr="00CA4465">
        <w:t>are essential to meaningful appellate review,</w:t>
      </w:r>
      <w:r>
        <w:t>”</w:t>
      </w:r>
      <w:r w:rsidRPr="00CA4465">
        <w:t xml:space="preserve"> and failure to make sufficient written findings constitutes reversible error.  </w:t>
      </w:r>
      <w:r w:rsidRPr="00CA4465">
        <w:rPr>
          <w:i/>
          <w:iCs/>
        </w:rPr>
        <w:t>In re Welfare of N.T.K.</w:t>
      </w:r>
      <w:r w:rsidRPr="00CA4465">
        <w:t xml:space="preserve">, 619 N.W.2d 209, 211-12 (Minn. App. 2000); </w:t>
      </w:r>
      <w:r w:rsidRPr="00CA4465">
        <w:rPr>
          <w:i/>
        </w:rPr>
        <w:t>see also</w:t>
      </w:r>
      <w:r w:rsidRPr="00CA4465">
        <w:t xml:space="preserve"> Minn. Stat. § 260B.198, subd. 1 (20</w:t>
      </w:r>
      <w:r>
        <w:t>12</w:t>
      </w:r>
      <w:r w:rsidRPr="00CA4465">
        <w:t>)</w:t>
      </w:r>
      <w:r>
        <w:t xml:space="preserve"> (requiring order with findings as to the necessary disposition for rehabilitation of a delinquent child)</w:t>
      </w:r>
      <w:r w:rsidRPr="00CA4465">
        <w:t>; Minn. R. Juv. Delinq. P. 15.05, subd. 2 (setting out requirement of findings).</w:t>
      </w:r>
    </w:p>
    <w:p w:rsidR="006138FF" w:rsidRPr="00CA4465" w:rsidRDefault="006138FF" w:rsidP="006138FF">
      <w:pPr>
        <w:ind w:left="720"/>
      </w:pPr>
    </w:p>
    <w:p w:rsidR="006138FF" w:rsidRDefault="006138FF" w:rsidP="006138FF">
      <w:pPr>
        <w:ind w:left="720"/>
      </w:pPr>
      <w:r w:rsidRPr="00CA4465">
        <w:t xml:space="preserve">Absent a clear abuse of discretion, a reviewing court will affirm a probation revocation order and a disposition in a juvenile delinquency case.  </w:t>
      </w:r>
      <w:r w:rsidRPr="00CA4465">
        <w:rPr>
          <w:i/>
        </w:rPr>
        <w:t>In re Welfare of R.V.</w:t>
      </w:r>
      <w:r w:rsidRPr="00CA4465">
        <w:t xml:space="preserve">, 702 N.W.2d 294, 298 (Minn. App. 2005).  And when revoking the juvenile’s probation, the district court need not follow the three-step probation revocation analysis set forth in </w:t>
      </w:r>
      <w:r>
        <w:rPr>
          <w:i/>
        </w:rPr>
        <w:t>State v. A</w:t>
      </w:r>
      <w:r w:rsidRPr="00CA4465">
        <w:rPr>
          <w:i/>
        </w:rPr>
        <w:t>ustin</w:t>
      </w:r>
      <w:r w:rsidRPr="00CA4465">
        <w:t xml:space="preserve">, </w:t>
      </w:r>
      <w:r>
        <w:t xml:space="preserve">295 N.W.2d 246 (Minn. 1980), </w:t>
      </w:r>
      <w:r w:rsidRPr="00CA4465">
        <w:t xml:space="preserve">but must make sufficient written findings in support of its disposition order.  </w:t>
      </w:r>
      <w:r w:rsidRPr="00CA4465">
        <w:rPr>
          <w:i/>
        </w:rPr>
        <w:t>Id.</w:t>
      </w:r>
      <w:r>
        <w:t xml:space="preserve"> at 302-04 (noting that the juvenile rules afford probationers better protection than </w:t>
      </w:r>
      <w:r>
        <w:rPr>
          <w:i/>
        </w:rPr>
        <w:t>Austin</w:t>
      </w:r>
      <w:r>
        <w:t xml:space="preserve"> would afford).  But note that the </w:t>
      </w:r>
      <w:r>
        <w:rPr>
          <w:i/>
        </w:rPr>
        <w:t>Austin</w:t>
      </w:r>
      <w:r>
        <w:t xml:space="preserve"> factors do apply to EJJ revocations when the district court revokes probation and executes a previously</w:t>
      </w:r>
      <w:r w:rsidR="00A61D12">
        <w:t xml:space="preserve"> </w:t>
      </w:r>
      <w:r>
        <w:t xml:space="preserve">stayed adult sentence.  </w:t>
      </w:r>
      <w:r>
        <w:rPr>
          <w:i/>
        </w:rPr>
        <w:t>State v. B.Y.</w:t>
      </w:r>
      <w:r>
        <w:t xml:space="preserve">, 659 N.W.2d 763, 772 (Minn. 2003).  </w:t>
      </w:r>
    </w:p>
    <w:p w:rsidR="004F10A3" w:rsidRPr="00CA4465" w:rsidRDefault="004F10A3" w:rsidP="00604DD4">
      <w:pPr>
        <w:pStyle w:val="Heading2"/>
      </w:pPr>
      <w:bookmarkStart w:id="523" w:name="_Toc48979699"/>
      <w:bookmarkStart w:id="524" w:name="_Toc395604705"/>
      <w:bookmarkEnd w:id="517"/>
      <w:r w:rsidRPr="00CA4465">
        <w:t>B.</w:t>
      </w:r>
      <w:r w:rsidRPr="00CA4465">
        <w:tab/>
      </w:r>
      <w:bookmarkEnd w:id="523"/>
      <w:r w:rsidR="00FB17BD" w:rsidRPr="00FB17BD">
        <w:t>IMPLIED CONSENT LAW</w:t>
      </w:r>
      <w:bookmarkEnd w:id="524"/>
      <w:r w:rsidR="003E466A">
        <w:t xml:space="preserve"> </w:t>
      </w:r>
    </w:p>
    <w:p w:rsidR="00035838" w:rsidRPr="00177214" w:rsidRDefault="00035838" w:rsidP="00337FFA">
      <w:pPr>
        <w:pStyle w:val="Heading3"/>
      </w:pPr>
      <w:bookmarkStart w:id="525" w:name="_Toc395604706"/>
      <w:r w:rsidRPr="00CA4465">
        <w:t>1.</w:t>
      </w:r>
      <w:r w:rsidRPr="00CA4465">
        <w:tab/>
        <w:t>Findings of Fact</w:t>
      </w:r>
      <w:bookmarkEnd w:id="525"/>
    </w:p>
    <w:p w:rsidR="00426CAD" w:rsidRPr="00426CAD" w:rsidRDefault="00426CAD" w:rsidP="000605DE">
      <w:pPr>
        <w:ind w:left="720"/>
        <w:rPr>
          <w:i/>
        </w:rPr>
      </w:pPr>
      <w:r>
        <w:t xml:space="preserve">“The clearly erroneous standard controls our review of a district court’s factual findings.”  </w:t>
      </w:r>
      <w:r>
        <w:rPr>
          <w:i/>
        </w:rPr>
        <w:t>In re Source Code Evidentiary Hearings</w:t>
      </w:r>
      <w:r>
        <w:t>,</w:t>
      </w:r>
      <w:r>
        <w:rPr>
          <w:i/>
        </w:rPr>
        <w:t xml:space="preserve"> </w:t>
      </w:r>
      <w:r w:rsidR="00C808F7">
        <w:t>816</w:t>
      </w:r>
      <w:r w:rsidRPr="00426CAD">
        <w:t xml:space="preserve"> N.W.2d </w:t>
      </w:r>
      <w:r w:rsidR="00C808F7">
        <w:t>525</w:t>
      </w:r>
      <w:r w:rsidRPr="00426CAD">
        <w:t>,</w:t>
      </w:r>
      <w:r w:rsidR="00C808F7">
        <w:t xml:space="preserve"> 537</w:t>
      </w:r>
      <w:r w:rsidRPr="00426CAD">
        <w:t xml:space="preserve"> (Minn. 2012).</w:t>
      </w:r>
    </w:p>
    <w:p w:rsidR="00426CAD" w:rsidRDefault="00426CAD" w:rsidP="000605DE">
      <w:pPr>
        <w:ind w:left="720"/>
      </w:pPr>
    </w:p>
    <w:p w:rsidR="00035838" w:rsidRDefault="00035838" w:rsidP="000605DE">
      <w:pPr>
        <w:ind w:left="720"/>
      </w:pPr>
      <w:r w:rsidRPr="00CA4465">
        <w:t xml:space="preserve">“As for the district court’s findings of fact, they will not be set aside unless clearly erroneous.  We hold findings of fact as clearly erroneous only when we are left with a definite and firm conviction that a mistake has been committed.  When findings of fact rest almost entirely on expert testimony, the district court’s evaluation of credibility is of particular significance.”  </w:t>
      </w:r>
      <w:r w:rsidRPr="00CA4465">
        <w:rPr>
          <w:i/>
        </w:rPr>
        <w:t>Jasper v. Comm’r of Pub. Safety</w:t>
      </w:r>
      <w:r w:rsidRPr="00CA4465">
        <w:t>, 642 N.W.2d 435, 440 (Minn. 2002) (</w:t>
      </w:r>
      <w:r w:rsidR="008C1EBF" w:rsidRPr="00CA4465">
        <w:t xml:space="preserve">quotations and </w:t>
      </w:r>
      <w:r w:rsidR="00286657" w:rsidRPr="00CA4465">
        <w:t xml:space="preserve">citations </w:t>
      </w:r>
      <w:r w:rsidRPr="00CA4465">
        <w:t>omitted)</w:t>
      </w:r>
      <w:r w:rsidR="001B151A">
        <w:t xml:space="preserve">; </w:t>
      </w:r>
      <w:r w:rsidR="001A3DDB">
        <w:rPr>
          <w:i/>
        </w:rPr>
        <w:t>see Ellingson v. Comm’</w:t>
      </w:r>
      <w:r w:rsidR="001B151A">
        <w:rPr>
          <w:i/>
        </w:rPr>
        <w:t>r of Pub. Safety</w:t>
      </w:r>
      <w:r w:rsidR="001B151A">
        <w:t xml:space="preserve">, </w:t>
      </w:r>
      <w:r w:rsidR="004701BD">
        <w:t>800</w:t>
      </w:r>
      <w:r w:rsidR="001B151A">
        <w:t xml:space="preserve"> N.W.2d </w:t>
      </w:r>
      <w:r w:rsidR="004701BD">
        <w:t>805</w:t>
      </w:r>
      <w:r w:rsidR="00252ABF">
        <w:t>, 806</w:t>
      </w:r>
      <w:r w:rsidR="001B151A">
        <w:t xml:space="preserve"> (Minn. App. 2011) (same)</w:t>
      </w:r>
      <w:r w:rsidR="00CB7F8C">
        <w:t xml:space="preserve">, </w:t>
      </w:r>
      <w:r w:rsidR="00CB7F8C">
        <w:rPr>
          <w:i/>
        </w:rPr>
        <w:t xml:space="preserve">review </w:t>
      </w:r>
      <w:r w:rsidR="0065642D">
        <w:rPr>
          <w:i/>
        </w:rPr>
        <w:t>deni</w:t>
      </w:r>
      <w:r w:rsidR="00CB7F8C">
        <w:rPr>
          <w:i/>
        </w:rPr>
        <w:t>ed</w:t>
      </w:r>
      <w:r w:rsidR="00CB7F8C">
        <w:t xml:space="preserve"> (Minn. </w:t>
      </w:r>
      <w:r w:rsidR="0065642D">
        <w:t>Aug. 24</w:t>
      </w:r>
      <w:r w:rsidR="00CB7F8C">
        <w:t>, 2011)</w:t>
      </w:r>
      <w:r w:rsidRPr="00CA4465">
        <w:t>.</w:t>
      </w:r>
    </w:p>
    <w:p w:rsidR="00B87B27" w:rsidRDefault="00B87B27" w:rsidP="000605DE">
      <w:pPr>
        <w:ind w:left="720"/>
      </w:pPr>
    </w:p>
    <w:p w:rsidR="003E466A" w:rsidRDefault="003E466A" w:rsidP="003E466A">
      <w:pPr>
        <w:ind w:left="720"/>
        <w:rPr>
          <w:iCs/>
        </w:rPr>
      </w:pPr>
      <w:r w:rsidRPr="003E466A">
        <w:rPr>
          <w:iCs/>
        </w:rPr>
        <w:lastRenderedPageBreak/>
        <w:t xml:space="preserve">“This issue [of whether the arresting officer unlawfully prevented or denied the driver’s right to obtain an additional chemical test] includes both questions of law and of fact.  The district court’s findings of fact must be sustained unless clearly erroneous, but this court reviews de novo whether, as a matter of law, the driver’s right to an independent test was prevented or denied.  Findings of fact are clearly erroneous when they are manifestly contrary to the weight of the evidence or not reasonably supported by the evidence as a whole.”  </w:t>
      </w:r>
      <w:r w:rsidRPr="003E466A">
        <w:rPr>
          <w:i/>
          <w:iCs/>
        </w:rPr>
        <w:t>Schulz v. Comm’r of Pub. Safety</w:t>
      </w:r>
      <w:r w:rsidRPr="003E466A">
        <w:rPr>
          <w:iCs/>
        </w:rPr>
        <w:t xml:space="preserve">, 760 N.W.2d 331, 333 (Minn. App. 2009) (citation and quotations omitted), </w:t>
      </w:r>
      <w:r w:rsidRPr="003E466A">
        <w:rPr>
          <w:i/>
          <w:iCs/>
        </w:rPr>
        <w:t>review denied</w:t>
      </w:r>
      <w:r w:rsidRPr="003E466A">
        <w:rPr>
          <w:iCs/>
        </w:rPr>
        <w:t xml:space="preserve"> (Minn. Apr. 21, 2009).</w:t>
      </w:r>
      <w:r w:rsidRPr="00B87B27">
        <w:rPr>
          <w:iCs/>
        </w:rPr>
        <w:t xml:space="preserve"> </w:t>
      </w:r>
    </w:p>
    <w:p w:rsidR="003E466A" w:rsidRDefault="003E466A" w:rsidP="000605DE">
      <w:pPr>
        <w:ind w:left="720"/>
      </w:pPr>
    </w:p>
    <w:p w:rsidR="002972C0" w:rsidRDefault="002972C0" w:rsidP="000605DE">
      <w:pPr>
        <w:ind w:left="720"/>
      </w:pPr>
      <w:r w:rsidRPr="00CA4465">
        <w:t xml:space="preserve">“Due regard is given the district court’s opportunity to judge the credibility of witnesses, and findings of fact will not be set aside unless clearly erroneous.”  </w:t>
      </w:r>
      <w:r w:rsidRPr="00CA4465">
        <w:rPr>
          <w:i/>
        </w:rPr>
        <w:t>Snyder v. Comm’r of Pub. Safety</w:t>
      </w:r>
      <w:r w:rsidRPr="00CA4465">
        <w:t>, 744 N.W.2d 19, 22 (Minn. App. 2008).</w:t>
      </w:r>
    </w:p>
    <w:p w:rsidR="00906203" w:rsidRPr="00CA4465" w:rsidRDefault="00906203" w:rsidP="000605DE">
      <w:pPr>
        <w:ind w:left="720"/>
      </w:pPr>
    </w:p>
    <w:p w:rsidR="00906203" w:rsidRPr="004830D7" w:rsidRDefault="00906203" w:rsidP="00906203">
      <w:pPr>
        <w:ind w:left="720"/>
        <w:rPr>
          <w:iCs/>
        </w:rPr>
      </w:pPr>
      <w:r w:rsidRPr="004830D7">
        <w:t>“A remand may be required if the</w:t>
      </w:r>
      <w:r>
        <w:t xml:space="preserve"> district </w:t>
      </w:r>
      <w:r w:rsidRPr="004830D7">
        <w:t xml:space="preserve">court fails to make adequate findings.  A remand is unnecessary, however, when we are able to infer the findings from the </w:t>
      </w:r>
      <w:r>
        <w:t xml:space="preserve">district </w:t>
      </w:r>
      <w:r w:rsidRPr="004830D7">
        <w:t xml:space="preserve">court’s conclusions.” </w:t>
      </w:r>
      <w:r w:rsidRPr="004830D7">
        <w:rPr>
          <w:i/>
          <w:iCs/>
        </w:rPr>
        <w:t>Welch v. Comm’r of Pub. Safety</w:t>
      </w:r>
      <w:r w:rsidRPr="004830D7">
        <w:t xml:space="preserve">, 545 N.W.2d 692, 694 (Minn. App. 1996) </w:t>
      </w:r>
      <w:r w:rsidRPr="00906203">
        <w:t>(citation omitted).</w:t>
      </w:r>
      <w:r w:rsidRPr="004830D7">
        <w:t xml:space="preserve">  </w:t>
      </w:r>
      <w:r w:rsidRPr="004830D7">
        <w:rPr>
          <w:i/>
          <w:iCs/>
        </w:rPr>
        <w:t xml:space="preserve"> </w:t>
      </w:r>
    </w:p>
    <w:p w:rsidR="004F10A3" w:rsidRPr="00CA4465" w:rsidRDefault="004F10A3" w:rsidP="00B87B27"/>
    <w:p w:rsidR="00906203" w:rsidRPr="004830D7" w:rsidRDefault="00906203" w:rsidP="00906203">
      <w:pPr>
        <w:ind w:left="720"/>
      </w:pPr>
      <w:r w:rsidRPr="004830D7">
        <w:rPr>
          <w:iCs/>
        </w:rPr>
        <w:t xml:space="preserve">“In </w:t>
      </w:r>
      <w:r w:rsidRPr="004830D7">
        <w:rPr>
          <w:i/>
          <w:iCs/>
        </w:rPr>
        <w:t>Sigurdson</w:t>
      </w:r>
      <w:r w:rsidRPr="004830D7">
        <w:rPr>
          <w:iCs/>
        </w:rPr>
        <w:t xml:space="preserve">, this court held that adopting proposed findings did not constitute reversible error per se, and that the clearly erroneous standard remains the proper standard of review.  </w:t>
      </w:r>
      <w:r w:rsidRPr="004830D7">
        <w:rPr>
          <w:i/>
          <w:iCs/>
        </w:rPr>
        <w:t>Id.</w:t>
      </w:r>
      <w:r w:rsidRPr="004830D7">
        <w:rPr>
          <w:iCs/>
        </w:rPr>
        <w:t xml:space="preserve">  Because there was no basis in the record for the Commissioner's proposed findings of fact regarding details related to the stop, probable cause, and the arrest, the trial court's adoption of the findings was clearly erroneous.  However, because there are no challenges on appeal as to the merits of the stipulated issues, the error is </w:t>
      </w:r>
      <w:r w:rsidRPr="00906203">
        <w:rPr>
          <w:iCs/>
        </w:rPr>
        <w:t>harmless.”</w:t>
      </w:r>
      <w:r w:rsidRPr="00906203">
        <w:rPr>
          <w:i/>
          <w:iCs/>
        </w:rPr>
        <w:t xml:space="preserve">  Przymus v. Comm’r of Pub. Safety</w:t>
      </w:r>
      <w:r w:rsidRPr="00906203">
        <w:t xml:space="preserve">, 488 N.W.2d 829, 832 (Minn. App. 1992) (citing </w:t>
      </w:r>
      <w:r w:rsidRPr="00906203">
        <w:rPr>
          <w:i/>
        </w:rPr>
        <w:t>Sigurdson v. Isanti Cnty.</w:t>
      </w:r>
      <w:r w:rsidRPr="00906203">
        <w:t xml:space="preserve">, 408 N.W.2d 654, 657 (Minn. App. 1987), </w:t>
      </w:r>
      <w:r w:rsidRPr="00906203">
        <w:rPr>
          <w:i/>
        </w:rPr>
        <w:t xml:space="preserve">review denied </w:t>
      </w:r>
      <w:r w:rsidRPr="00906203">
        <w:t xml:space="preserve">(Minn. Aug. 19, 1987)), </w:t>
      </w:r>
      <w:r w:rsidRPr="00906203">
        <w:rPr>
          <w:i/>
          <w:iCs/>
        </w:rPr>
        <w:t xml:space="preserve">review denied </w:t>
      </w:r>
      <w:r w:rsidRPr="00906203">
        <w:t>(Minn. Sept. 15, 1992).</w:t>
      </w:r>
    </w:p>
    <w:p w:rsidR="004F10A3" w:rsidRPr="00CA4465" w:rsidRDefault="003F19DD" w:rsidP="00337FFA">
      <w:pPr>
        <w:pStyle w:val="Heading3"/>
      </w:pPr>
      <w:bookmarkStart w:id="526" w:name="_Toc395604707"/>
      <w:r w:rsidRPr="00CA4465">
        <w:t>2.</w:t>
      </w:r>
      <w:r w:rsidRPr="00CA4465">
        <w:tab/>
        <w:t>Conclusions of Law</w:t>
      </w:r>
      <w:bookmarkEnd w:id="526"/>
    </w:p>
    <w:p w:rsidR="00906203" w:rsidRPr="00906203" w:rsidRDefault="00906203" w:rsidP="00906203">
      <w:pPr>
        <w:keepNext/>
        <w:keepLines/>
        <w:ind w:left="720"/>
      </w:pPr>
      <w:r w:rsidRPr="00906203">
        <w:t xml:space="preserve">“When the facts of a case are undisputed, probable cause is a question of law to be reviewed </w:t>
      </w:r>
      <w:r w:rsidRPr="00906203">
        <w:rPr>
          <w:i/>
        </w:rPr>
        <w:t>de novo</w:t>
      </w:r>
      <w:r w:rsidRPr="00906203">
        <w:t xml:space="preserve">.”  </w:t>
      </w:r>
      <w:r w:rsidRPr="00906203">
        <w:rPr>
          <w:i/>
        </w:rPr>
        <w:t>Shane v. Comm’r of Pub. Safety</w:t>
      </w:r>
      <w:r w:rsidRPr="00906203">
        <w:t>, 587 N.W.2d 639, 641 (Minn. 1998).</w:t>
      </w:r>
    </w:p>
    <w:p w:rsidR="00906203" w:rsidRPr="00906203" w:rsidRDefault="00906203" w:rsidP="00906203">
      <w:pPr>
        <w:ind w:left="720"/>
      </w:pPr>
    </w:p>
    <w:p w:rsidR="00906203" w:rsidRPr="00906203" w:rsidRDefault="00906203" w:rsidP="00906203">
      <w:pPr>
        <w:ind w:left="720"/>
      </w:pPr>
      <w:r w:rsidRPr="00906203">
        <w:t xml:space="preserve">“Whether the stop in this case was valid is, for the appellate court, purely a legal determination on given facts.  This is because the [district] court expressly credited the testimony of [the deputy], stating that he was ‘very honest.’  Therefore, the appropriate approach to reviewing this case is not to use the ‘clearly erroneous’ test – which is the test which would be used in the first instance if the [district] court had rejected some of the deputy’s testimony, </w:t>
      </w:r>
      <w:r w:rsidRPr="00906203">
        <w:rPr>
          <w:i/>
        </w:rPr>
        <w:t>State v. Kvam</w:t>
      </w:r>
      <w:r w:rsidRPr="00906203">
        <w:t xml:space="preserve">, 336 N.W.2d 525, 528-29 (Minn. 1983) – but to simply analyze the testimony of the officer and determine whether, as a matter of law, his observations provided an adequate basis for the stop.”  </w:t>
      </w:r>
      <w:r w:rsidRPr="00906203">
        <w:rPr>
          <w:i/>
        </w:rPr>
        <w:t xml:space="preserve">Berge </w:t>
      </w:r>
      <w:r w:rsidRPr="00906203">
        <w:rPr>
          <w:i/>
          <w:iCs/>
        </w:rPr>
        <w:t>v. Comm’r of Pub. Safety</w:t>
      </w:r>
      <w:r w:rsidRPr="00906203">
        <w:t xml:space="preserve">, 374 N.W.2d 730, 732 (Minn. 1985). </w:t>
      </w:r>
    </w:p>
    <w:p w:rsidR="00906203" w:rsidRPr="00906203" w:rsidRDefault="00906203" w:rsidP="00906203">
      <w:pPr>
        <w:ind w:left="720"/>
      </w:pPr>
    </w:p>
    <w:p w:rsidR="00906203" w:rsidRPr="00906203" w:rsidRDefault="00906203" w:rsidP="00906203">
      <w:pPr>
        <w:ind w:left="720"/>
      </w:pPr>
      <w:r w:rsidRPr="00906203">
        <w:t xml:space="preserve">Where the appellant “raises only a question of law, our review is de novo.”  </w:t>
      </w:r>
      <w:r w:rsidRPr="00906203">
        <w:rPr>
          <w:i/>
        </w:rPr>
        <w:t>Harrison v. Comm’r of Pub. Safety</w:t>
      </w:r>
      <w:r w:rsidRPr="00906203">
        <w:t>, 781 N.W.2d 918, 920 (Minn. App. 2010) (addressing constitutional challenges).</w:t>
      </w:r>
    </w:p>
    <w:p w:rsidR="00906203" w:rsidRPr="00906203" w:rsidRDefault="00906203" w:rsidP="00906203">
      <w:pPr>
        <w:ind w:left="720"/>
      </w:pPr>
      <w:r w:rsidRPr="00906203">
        <w:lastRenderedPageBreak/>
        <w:t xml:space="preserve">“We review a district court’s determination regarding the legality of an investigatory traffic stop and questions of reasonable suspicion de novo.”  </w:t>
      </w:r>
      <w:r w:rsidRPr="00906203">
        <w:rPr>
          <w:i/>
        </w:rPr>
        <w:t>Wilkes v. Comm’r of Pub. Safety</w:t>
      </w:r>
      <w:r w:rsidRPr="00906203">
        <w:t>, 777 N.W.2d 239, 242-43 (Minn. App. 2010).</w:t>
      </w:r>
    </w:p>
    <w:p w:rsidR="00906203" w:rsidRPr="00906203" w:rsidRDefault="00906203" w:rsidP="00906203">
      <w:pPr>
        <w:ind w:left="720"/>
      </w:pPr>
    </w:p>
    <w:p w:rsidR="00906203" w:rsidRPr="00906203" w:rsidRDefault="00906203" w:rsidP="00906203">
      <w:pPr>
        <w:ind w:left="720"/>
      </w:pPr>
      <w:r w:rsidRPr="00906203">
        <w:t xml:space="preserve"> “After the facts are determined, this court must apply the law to determine if probable cause existed.”  </w:t>
      </w:r>
      <w:r w:rsidRPr="00906203">
        <w:rPr>
          <w:i/>
          <w:iCs/>
        </w:rPr>
        <w:t>Groe v. Comm’r of Pub. Safety</w:t>
      </w:r>
      <w:r w:rsidRPr="00906203">
        <w:t xml:space="preserve">, 615 N.W.2d 837, 840 (Minn. App. 2000), </w:t>
      </w:r>
      <w:r w:rsidRPr="00906203">
        <w:rPr>
          <w:i/>
          <w:iCs/>
        </w:rPr>
        <w:t xml:space="preserve">review denied </w:t>
      </w:r>
      <w:r w:rsidRPr="00906203">
        <w:t xml:space="preserve">(Minn. Sept. 13, 2000).  </w:t>
      </w:r>
    </w:p>
    <w:p w:rsidR="00906203" w:rsidRPr="00906203" w:rsidRDefault="00906203" w:rsidP="00906203">
      <w:pPr>
        <w:ind w:left="720"/>
      </w:pPr>
    </w:p>
    <w:p w:rsidR="00906203" w:rsidRPr="00906203" w:rsidRDefault="00906203" w:rsidP="00906203">
      <w:pPr>
        <w:ind w:left="720"/>
        <w:rPr>
          <w:strike/>
        </w:rPr>
      </w:pPr>
      <w:r w:rsidRPr="00906203">
        <w:t xml:space="preserve">When the facts are undisputed, “it is a legal determination whether [the driver] was accorded a reasonable opportunity to consult with counsel based on the given facts.”  </w:t>
      </w:r>
      <w:r w:rsidRPr="00906203">
        <w:rPr>
          <w:i/>
          <w:iCs/>
        </w:rPr>
        <w:t>Kuhn v. Comm’r of Pub. Safety</w:t>
      </w:r>
      <w:r w:rsidRPr="00906203">
        <w:t xml:space="preserve">, 488 N.W.2d 838, 840 (Minn. App. 1992), </w:t>
      </w:r>
      <w:r w:rsidRPr="00906203">
        <w:rPr>
          <w:i/>
          <w:iCs/>
        </w:rPr>
        <w:t xml:space="preserve">review denied </w:t>
      </w:r>
      <w:r w:rsidRPr="00906203">
        <w:t>(Minn. Oct. 20, 1992).</w:t>
      </w:r>
    </w:p>
    <w:p w:rsidR="00906203" w:rsidRPr="00906203" w:rsidRDefault="00906203" w:rsidP="00906203">
      <w:pPr>
        <w:ind w:left="720"/>
      </w:pPr>
    </w:p>
    <w:p w:rsidR="00906203" w:rsidRPr="00906203" w:rsidRDefault="00906203" w:rsidP="00906203">
      <w:pPr>
        <w:ind w:left="720"/>
      </w:pPr>
      <w:r w:rsidRPr="00906203">
        <w:t xml:space="preserve">“Conclusions of law will be overturned only upon a determination that the district court has erroneously construed and applied the law to the facts of the case.”  </w:t>
      </w:r>
      <w:r w:rsidRPr="00906203">
        <w:rPr>
          <w:i/>
          <w:iCs/>
        </w:rPr>
        <w:t>Dehn v. Comm’r of Pub. Safety</w:t>
      </w:r>
      <w:r w:rsidRPr="00906203">
        <w:t>, 394 N.W.2d 272, 273 (Minn. App. 1986).</w:t>
      </w:r>
    </w:p>
    <w:p w:rsidR="002972C0" w:rsidRPr="00906203" w:rsidRDefault="000F0A75" w:rsidP="00337FFA">
      <w:pPr>
        <w:pStyle w:val="Heading3"/>
      </w:pPr>
      <w:bookmarkStart w:id="527" w:name="_Toc395604708"/>
      <w:r w:rsidRPr="00906203">
        <w:t>3.</w:t>
      </w:r>
      <w:r w:rsidRPr="00906203">
        <w:tab/>
        <w:t>Abuse of Discretion</w:t>
      </w:r>
      <w:bookmarkEnd w:id="527"/>
    </w:p>
    <w:p w:rsidR="00906203" w:rsidRPr="00906203" w:rsidRDefault="00906203" w:rsidP="00906203">
      <w:pPr>
        <w:ind w:left="720"/>
      </w:pPr>
      <w:r w:rsidRPr="00906203">
        <w:t xml:space="preserve">“Rulings on evidentiary matters rest within the sound discretion of the district court and will not be reversed on appeal absent a clear abuse of discretion.”  </w:t>
      </w:r>
      <w:r w:rsidRPr="00906203">
        <w:rPr>
          <w:i/>
        </w:rPr>
        <w:t>In re Source Code Evidentiary Hearings</w:t>
      </w:r>
      <w:r w:rsidRPr="00906203">
        <w:t xml:space="preserve">, 816 N.W.2d 525, 537 (Minn. 2012).  </w:t>
      </w:r>
    </w:p>
    <w:p w:rsidR="00906203" w:rsidRPr="00906203" w:rsidRDefault="00906203" w:rsidP="00906203">
      <w:pPr>
        <w:ind w:left="720"/>
      </w:pPr>
    </w:p>
    <w:p w:rsidR="00906203" w:rsidRPr="00906203" w:rsidRDefault="00906203" w:rsidP="00906203">
      <w:pPr>
        <w:ind w:left="720"/>
      </w:pPr>
      <w:r w:rsidRPr="00906203">
        <w:t xml:space="preserve">“[A] trial judge has wide discretion to issue discovery orders and, absent clear abuse of that discretion, normally its order with respect thereto will not be disturbed.  We review a district court’s order for an abuse of discretion by determining whether the district court made findings unsupported by the evidence or by improperly applying the law.”  </w:t>
      </w:r>
      <w:r w:rsidRPr="00906203">
        <w:rPr>
          <w:i/>
        </w:rPr>
        <w:t>Underdahl v. Comm’r of Pub. Safety</w:t>
      </w:r>
      <w:r w:rsidRPr="00906203">
        <w:t xml:space="preserve"> </w:t>
      </w:r>
      <w:r w:rsidRPr="00906203">
        <w:rPr>
          <w:i/>
        </w:rPr>
        <w:t>(In re Comm’r of Pub. Safety)</w:t>
      </w:r>
      <w:r w:rsidRPr="00906203">
        <w:t>, 735 N.W.2d 706, 711 (Minn. 2007) (alteration in original) (quotation omitted).</w:t>
      </w:r>
    </w:p>
    <w:p w:rsidR="00906203" w:rsidRPr="00906203" w:rsidRDefault="00906203" w:rsidP="00906203">
      <w:pPr>
        <w:ind w:left="720"/>
      </w:pPr>
    </w:p>
    <w:p w:rsidR="00906203" w:rsidRPr="00906203" w:rsidRDefault="00906203" w:rsidP="00906203">
      <w:pPr>
        <w:ind w:left="720"/>
      </w:pPr>
      <w:r w:rsidRPr="00906203">
        <w:t xml:space="preserve">In implied-consent proceedings, “[w]e apply an abuse-of-discretion standard of review to a district court’s ruling on the admissibility of expert testimony.”  </w:t>
      </w:r>
      <w:r w:rsidRPr="00906203">
        <w:rPr>
          <w:i/>
        </w:rPr>
        <w:t>Hayes v. Comm’r of Pub. Safety</w:t>
      </w:r>
      <w:r w:rsidRPr="00906203">
        <w:t>, 773 N.W.2d 134, 136-37 (Minn. App. 2009)</w:t>
      </w:r>
      <w:r w:rsidRPr="00906203">
        <w:rPr>
          <w:u w:val="single"/>
        </w:rPr>
        <w:t>,</w:t>
      </w:r>
      <w:r w:rsidRPr="00906203">
        <w:rPr>
          <w:i/>
        </w:rPr>
        <w:t xml:space="preserve"> review denied</w:t>
      </w:r>
      <w:r w:rsidRPr="00906203">
        <w:t xml:space="preserve"> (Minn. Dec. 23, 2009).</w:t>
      </w:r>
    </w:p>
    <w:p w:rsidR="000F0A75" w:rsidRPr="00177214" w:rsidRDefault="000F0A75" w:rsidP="00337FFA">
      <w:pPr>
        <w:pStyle w:val="Heading3"/>
      </w:pPr>
      <w:bookmarkStart w:id="528" w:name="_Toc395604709"/>
      <w:r w:rsidRPr="00CA4465">
        <w:t>4.</w:t>
      </w:r>
      <w:r w:rsidRPr="00CA4465">
        <w:tab/>
        <w:t>Statutory Interpretation</w:t>
      </w:r>
      <w:bookmarkEnd w:id="528"/>
    </w:p>
    <w:p w:rsidR="00906203" w:rsidRPr="004830D7" w:rsidRDefault="00906203" w:rsidP="00906203">
      <w:pPr>
        <w:ind w:left="720"/>
      </w:pPr>
      <w:bookmarkStart w:id="529" w:name="_Toc358883003"/>
      <w:bookmarkStart w:id="530" w:name="_Toc48979700"/>
      <w:bookmarkStart w:id="531" w:name="_Toc48979703"/>
      <w:r w:rsidRPr="00906203">
        <w:t xml:space="preserve">“The parties’ arguments present an issue of statutory interpretation, which we review de novo.  When a statute is ‘clear and free from all ambiguity, the letter of the law shall not be disregarded under the pretext of pursuing the spirit.’ Minn. Stat. § 645.16 (2012).”  </w:t>
      </w:r>
      <w:r w:rsidRPr="00906203">
        <w:rPr>
          <w:i/>
        </w:rPr>
        <w:t>Axelberg v. Comm’r of Pub. Safety</w:t>
      </w:r>
      <w:r w:rsidRPr="00906203">
        <w:t>, 848 N.W.2d 206, 208 (Minn. 2014) (citation omitted).</w:t>
      </w:r>
      <w:r w:rsidRPr="004830D7">
        <w:t xml:space="preserve">  </w:t>
      </w:r>
    </w:p>
    <w:p w:rsidR="00906203" w:rsidRPr="004830D7" w:rsidRDefault="00906203" w:rsidP="00906203">
      <w:pPr>
        <w:rPr>
          <w:u w:val="single"/>
        </w:rPr>
      </w:pPr>
    </w:p>
    <w:p w:rsidR="00906203" w:rsidRDefault="00906203" w:rsidP="00906203">
      <w:pPr>
        <w:ind w:left="720"/>
      </w:pPr>
      <w:r w:rsidRPr="004830D7">
        <w:t xml:space="preserve">“Statutory interpretation presents a question of law, which we review de novo.”  </w:t>
      </w:r>
      <w:r w:rsidRPr="004830D7">
        <w:rPr>
          <w:i/>
        </w:rPr>
        <w:t>Johnson v. Comm’r of Pub. Safety</w:t>
      </w:r>
      <w:r w:rsidRPr="004830D7">
        <w:t xml:space="preserve">, 756 N.W.2d 140, 143 (Minn. App. 2008), </w:t>
      </w:r>
      <w:r w:rsidRPr="004830D7">
        <w:rPr>
          <w:i/>
        </w:rPr>
        <w:t>review denied</w:t>
      </w:r>
      <w:r w:rsidRPr="004830D7">
        <w:t xml:space="preserve"> (Minn. Dec. 16, 2008).</w:t>
      </w:r>
    </w:p>
    <w:p w:rsidR="00906203" w:rsidRDefault="00906203" w:rsidP="00906203">
      <w:pPr>
        <w:ind w:left="720"/>
      </w:pPr>
    </w:p>
    <w:p w:rsidR="00906203" w:rsidRDefault="00906203" w:rsidP="00906203">
      <w:pPr>
        <w:ind w:left="720"/>
      </w:pPr>
      <w:r w:rsidRPr="004830D7">
        <w:lastRenderedPageBreak/>
        <w:t xml:space="preserve">“The Minnesota Supreme Court has repeatedly recognized that laws prohibiting a person from driving a motor vehicle while intoxicated are remedial statutes.  Consequently, such laws are liberally interpreted in favor of the public interest and against the private interest of the drivers involved.”  </w:t>
      </w:r>
      <w:r w:rsidRPr="004830D7">
        <w:rPr>
          <w:i/>
        </w:rPr>
        <w:t>Sands v. Comm’r of Pub. Safety</w:t>
      </w:r>
      <w:r w:rsidRPr="004830D7">
        <w:t>, 744 N.</w:t>
      </w:r>
      <w:r w:rsidRPr="00906203">
        <w:t>W.2d 24, 26-27 (Minn</w:t>
      </w:r>
      <w:r w:rsidRPr="004830D7">
        <w:t>. App. 2008) (quotation omitted).</w:t>
      </w:r>
    </w:p>
    <w:p w:rsidR="00E430E1" w:rsidRPr="00CA4465" w:rsidRDefault="00E430E1" w:rsidP="00604DD4">
      <w:pPr>
        <w:pStyle w:val="Heading2"/>
      </w:pPr>
      <w:bookmarkStart w:id="532" w:name="_Toc395604710"/>
      <w:r w:rsidRPr="00CA4465">
        <w:t>C.</w:t>
      </w:r>
      <w:r w:rsidRPr="00CA4465">
        <w:tab/>
        <w:t>HABEAS CORPUS</w:t>
      </w:r>
      <w:bookmarkEnd w:id="529"/>
      <w:bookmarkEnd w:id="532"/>
    </w:p>
    <w:p w:rsidR="00E430E1" w:rsidRPr="00CA4465" w:rsidRDefault="00E430E1" w:rsidP="00337FFA">
      <w:pPr>
        <w:pStyle w:val="Heading3"/>
      </w:pPr>
      <w:bookmarkStart w:id="533" w:name="_Toc358883004"/>
      <w:bookmarkStart w:id="534" w:name="_Toc395604711"/>
      <w:r w:rsidRPr="00CA4465">
        <w:t>1.</w:t>
      </w:r>
      <w:r w:rsidRPr="00CA4465">
        <w:tab/>
        <w:t>Review of District Court’s Decision</w:t>
      </w:r>
      <w:bookmarkEnd w:id="533"/>
      <w:bookmarkEnd w:id="534"/>
      <w:r w:rsidRPr="00CA4465">
        <w:tab/>
      </w:r>
    </w:p>
    <w:p w:rsidR="00E430E1" w:rsidRPr="00CA4465" w:rsidRDefault="00E430E1" w:rsidP="00E430E1">
      <w:pPr>
        <w:ind w:left="720"/>
      </w:pPr>
      <w:r w:rsidRPr="00CA4465">
        <w:t>“</w:t>
      </w:r>
      <w:r>
        <w:t xml:space="preserve">The district court’s findings in support of a denial of a petition for a </w:t>
      </w:r>
      <w:r w:rsidRPr="00CA4465">
        <w:t xml:space="preserve">writ of habeas corpus </w:t>
      </w:r>
      <w:r>
        <w:t>are entitled to great weight and will be upheld if reasonably supported by the evidence</w:t>
      </w:r>
      <w:r w:rsidRPr="00CA4465">
        <w:t xml:space="preserve">.”  </w:t>
      </w:r>
      <w:r>
        <w:rPr>
          <w:i/>
          <w:iCs/>
        </w:rPr>
        <w:t>Aziz v. Fabian</w:t>
      </w:r>
      <w:r w:rsidRPr="00CA4465">
        <w:t xml:space="preserve">, </w:t>
      </w:r>
      <w:r>
        <w:t>791</w:t>
      </w:r>
      <w:r w:rsidRPr="00CA4465">
        <w:t xml:space="preserve"> N.W.2d 5</w:t>
      </w:r>
      <w:r>
        <w:t>67</w:t>
      </w:r>
      <w:r w:rsidRPr="00CA4465">
        <w:t>, 5</w:t>
      </w:r>
      <w:r>
        <w:t>6</w:t>
      </w:r>
      <w:r w:rsidRPr="00CA4465">
        <w:t xml:space="preserve">9 (Minn. App. </w:t>
      </w:r>
      <w:r>
        <w:t>2010</w:t>
      </w:r>
      <w:r w:rsidRPr="00CA4465">
        <w:t xml:space="preserve">). </w:t>
      </w:r>
    </w:p>
    <w:p w:rsidR="00E430E1" w:rsidRPr="00CA4465" w:rsidRDefault="00E430E1" w:rsidP="00E430E1">
      <w:pPr>
        <w:ind w:left="720"/>
      </w:pPr>
    </w:p>
    <w:p w:rsidR="00E430E1" w:rsidRPr="00CA4465" w:rsidRDefault="00E430E1" w:rsidP="00E430E1">
      <w:pPr>
        <w:ind w:left="720"/>
        <w:rPr>
          <w:i/>
        </w:rPr>
      </w:pPr>
      <w:r w:rsidRPr="00CA4465">
        <w:t xml:space="preserve">Questions of law </w:t>
      </w:r>
      <w:r>
        <w:t xml:space="preserve">pertaining to a habeas petition are </w:t>
      </w:r>
      <w:r w:rsidRPr="00CA4465">
        <w:t xml:space="preserve">subject to de novo review.  </w:t>
      </w:r>
      <w:r>
        <w:rPr>
          <w:i/>
          <w:iCs/>
        </w:rPr>
        <w:t>Aziz v. Fabian</w:t>
      </w:r>
      <w:r w:rsidRPr="00CA4465">
        <w:t xml:space="preserve">, </w:t>
      </w:r>
      <w:r>
        <w:t>791</w:t>
      </w:r>
      <w:r w:rsidRPr="00CA4465">
        <w:t xml:space="preserve"> N.W.2d 5</w:t>
      </w:r>
      <w:r>
        <w:t>67</w:t>
      </w:r>
      <w:r w:rsidRPr="00CA4465">
        <w:t>, 5</w:t>
      </w:r>
      <w:r>
        <w:t>6</w:t>
      </w:r>
      <w:r w:rsidRPr="00CA4465">
        <w:t xml:space="preserve">9 (Minn. App. </w:t>
      </w:r>
      <w:r>
        <w:t>2010</w:t>
      </w:r>
      <w:r w:rsidRPr="00CA4465">
        <w:t xml:space="preserve">). </w:t>
      </w:r>
      <w:r w:rsidRPr="00CA4465">
        <w:rPr>
          <w:i/>
        </w:rPr>
        <w:t xml:space="preserve"> </w:t>
      </w:r>
    </w:p>
    <w:p w:rsidR="00E430E1" w:rsidRPr="00CA4465" w:rsidRDefault="00E430E1" w:rsidP="00E430E1">
      <w:pPr>
        <w:ind w:left="720"/>
      </w:pPr>
    </w:p>
    <w:p w:rsidR="00E430E1" w:rsidRPr="00CA4465" w:rsidRDefault="00E430E1" w:rsidP="00E430E1">
      <w:pPr>
        <w:ind w:left="720"/>
      </w:pPr>
      <w:r w:rsidRPr="00CA4465">
        <w:t xml:space="preserve">“An appellate court will review a habeas corpus decision de novo where, as here, the facts are undisputed.”  </w:t>
      </w:r>
      <w:r>
        <w:rPr>
          <w:i/>
        </w:rPr>
        <w:t xml:space="preserve">State ex rel Guth v. </w:t>
      </w:r>
      <w:r w:rsidRPr="00763BAF">
        <w:rPr>
          <w:i/>
        </w:rPr>
        <w:t>Fabian</w:t>
      </w:r>
      <w:r>
        <w:t xml:space="preserve">, 716 N.W.2d 23, 26 (Minn. App. 2006), </w:t>
      </w:r>
      <w:r w:rsidRPr="00CA4465">
        <w:rPr>
          <w:i/>
        </w:rPr>
        <w:t>review denied</w:t>
      </w:r>
      <w:r w:rsidRPr="00CA4465">
        <w:t xml:space="preserve"> (Minn. </w:t>
      </w:r>
      <w:r>
        <w:t>Aug. 15, 2006</w:t>
      </w:r>
      <w:r w:rsidRPr="00CA4465">
        <w:t>)</w:t>
      </w:r>
      <w:r>
        <w:t xml:space="preserve">; </w:t>
      </w:r>
      <w:r>
        <w:rPr>
          <w:i/>
        </w:rPr>
        <w:t>Joelson v. O’Keefe</w:t>
      </w:r>
      <w:r>
        <w:t xml:space="preserve">, 594 N.W.2d 905, 908 (Minn. App. 1999), </w:t>
      </w:r>
      <w:r>
        <w:rPr>
          <w:i/>
        </w:rPr>
        <w:t>review denied</w:t>
      </w:r>
      <w:r>
        <w:t xml:space="preserve"> (Minn. July 28, 1999)</w:t>
      </w:r>
      <w:r w:rsidRPr="00CA4465">
        <w:t>.</w:t>
      </w:r>
    </w:p>
    <w:p w:rsidR="00E430E1" w:rsidRPr="00CA4465" w:rsidRDefault="00E430E1" w:rsidP="00E430E1">
      <w:pPr>
        <w:ind w:left="720"/>
      </w:pPr>
    </w:p>
    <w:p w:rsidR="00E430E1" w:rsidRPr="00CA4465" w:rsidRDefault="00E430E1" w:rsidP="00E430E1">
      <w:pPr>
        <w:ind w:left="720"/>
      </w:pPr>
      <w:r w:rsidRPr="00CA4465">
        <w:t xml:space="preserve">Where the issue raised in a petition involves the interpretation of statutes, it is subject to de novo review on appeal.  </w:t>
      </w:r>
      <w:r w:rsidRPr="00CA4465">
        <w:rPr>
          <w:i/>
        </w:rPr>
        <w:t>State ex. rel. McMaster v. Benson</w:t>
      </w:r>
      <w:r w:rsidRPr="00CA4465">
        <w:t xml:space="preserve">, 495 N.W.2d 613, 614 (Minn. App. 1993), </w:t>
      </w:r>
      <w:r w:rsidRPr="00CA4465">
        <w:rPr>
          <w:i/>
        </w:rPr>
        <w:t>review denied</w:t>
      </w:r>
      <w:r w:rsidRPr="00CA4465">
        <w:t xml:space="preserve"> (Minn. Mar. 11, 1993).</w:t>
      </w:r>
    </w:p>
    <w:p w:rsidR="00E430E1" w:rsidRPr="00CA4465" w:rsidRDefault="00E430E1" w:rsidP="00337FFA">
      <w:pPr>
        <w:pStyle w:val="Heading3"/>
      </w:pPr>
      <w:bookmarkStart w:id="535" w:name="_Toc48979702"/>
      <w:bookmarkStart w:id="536" w:name="_Toc358883005"/>
      <w:bookmarkStart w:id="537" w:name="_Toc395604712"/>
      <w:r w:rsidRPr="00CA4465">
        <w:t>2.</w:t>
      </w:r>
      <w:r w:rsidRPr="00CA4465">
        <w:tab/>
        <w:t>Extradition</w:t>
      </w:r>
      <w:bookmarkEnd w:id="535"/>
      <w:bookmarkEnd w:id="536"/>
      <w:bookmarkEnd w:id="537"/>
    </w:p>
    <w:p w:rsidR="00E430E1" w:rsidRPr="00CA4465" w:rsidRDefault="00E430E1" w:rsidP="00E430E1">
      <w:pPr>
        <w:ind w:left="720"/>
      </w:pPr>
      <w:r w:rsidRPr="00CA4465">
        <w:t xml:space="preserve">“In an extradition case, a finding by the [district] court that the habeas corpus petitioner has failed to meet his burden of proof should be affirmed unless clearly erroneous.”  </w:t>
      </w:r>
      <w:r w:rsidRPr="00CA4465">
        <w:rPr>
          <w:i/>
          <w:iCs/>
        </w:rPr>
        <w:t>Perez v. Sheriff of Watonwan Cnty.</w:t>
      </w:r>
      <w:r w:rsidRPr="00CA4465">
        <w:t>, 529 N.W.2d 346, 349 (Minn. App. 1995).</w:t>
      </w:r>
    </w:p>
    <w:p w:rsidR="00E430E1" w:rsidRPr="00CA4465" w:rsidRDefault="00E430E1" w:rsidP="00337FFA">
      <w:pPr>
        <w:pStyle w:val="Heading3"/>
      </w:pPr>
      <w:bookmarkStart w:id="538" w:name="_Toc358883006"/>
      <w:bookmarkStart w:id="539" w:name="_Toc395604713"/>
      <w:r w:rsidRPr="00CA4465">
        <w:t>3.</w:t>
      </w:r>
      <w:r w:rsidRPr="00CA4465">
        <w:tab/>
        <w:t>Review of Revocation of Supervised Release or Prison Disciplinary Proceedings</w:t>
      </w:r>
      <w:bookmarkEnd w:id="538"/>
      <w:bookmarkEnd w:id="539"/>
      <w:r w:rsidRPr="00CA4465">
        <w:t xml:space="preserve">  </w:t>
      </w:r>
    </w:p>
    <w:p w:rsidR="00E430E1" w:rsidRPr="00CA4465" w:rsidRDefault="00E430E1" w:rsidP="00E430E1">
      <w:pPr>
        <w:ind w:left="720"/>
      </w:pPr>
      <w:r w:rsidRPr="00CA4465">
        <w:t>The Department of Corrections fact-finder must find by a preponderance of the evidence that an inmate has violated a disciplinary rule before it can extend an inma</w:t>
      </w:r>
      <w:r>
        <w:t xml:space="preserve">te’s supervised release date </w:t>
      </w:r>
      <w:r w:rsidRPr="00CA4465">
        <w:t xml:space="preserve">for that rule violation.  </w:t>
      </w:r>
      <w:r w:rsidRPr="00CA4465">
        <w:rPr>
          <w:i/>
        </w:rPr>
        <w:t>Carrillo v. Fabian</w:t>
      </w:r>
      <w:r w:rsidRPr="00CA4465">
        <w:t>, 701 N.W.2d 763, 777 (Minn. 2005) (holding that petitioner has protected liberty interest in supervised release date, which triggers right to procedural due process, and rejecting department’s use of “some evidence” standard of proof at fact-finding level as violating due process).</w:t>
      </w:r>
    </w:p>
    <w:p w:rsidR="00E430E1" w:rsidRPr="00CA4465" w:rsidRDefault="00E430E1" w:rsidP="00E430E1">
      <w:pPr>
        <w:ind w:left="720"/>
      </w:pPr>
    </w:p>
    <w:p w:rsidR="00E430E1" w:rsidRPr="00177214" w:rsidRDefault="00E430E1" w:rsidP="00E430E1">
      <w:pPr>
        <w:ind w:left="720"/>
      </w:pPr>
      <w:r w:rsidRPr="00CA4465">
        <w:t xml:space="preserve">“This court reviews a decision to revoke an offender’s release for a clear abuse of discretion” and “defers to a fact-finder’s credibility determinations.”  </w:t>
      </w:r>
      <w:r w:rsidRPr="00CA4465">
        <w:rPr>
          <w:i/>
        </w:rPr>
        <w:t>State ex rel. Guth v. Fabian</w:t>
      </w:r>
      <w:r w:rsidRPr="00CA4465">
        <w:t xml:space="preserve">, 716 N.W.2d 23, 27 (Minn. App. 2006), </w:t>
      </w:r>
      <w:r w:rsidRPr="00CA4465">
        <w:rPr>
          <w:i/>
        </w:rPr>
        <w:t>review denied</w:t>
      </w:r>
      <w:r w:rsidRPr="00CA4465">
        <w:t xml:space="preserve"> (Minn. Aug. 15, 2006).</w:t>
      </w:r>
      <w:bookmarkEnd w:id="530"/>
    </w:p>
    <w:p w:rsidR="00E430E1" w:rsidRPr="00CA4465" w:rsidRDefault="00E430E1" w:rsidP="00604DD4">
      <w:pPr>
        <w:pStyle w:val="Heading2"/>
      </w:pPr>
      <w:bookmarkStart w:id="540" w:name="_Toc358883007"/>
      <w:bookmarkStart w:id="541" w:name="_Toc395604714"/>
      <w:r w:rsidRPr="00CA4465">
        <w:lastRenderedPageBreak/>
        <w:t>D.</w:t>
      </w:r>
      <w:r w:rsidRPr="00CA4465">
        <w:tab/>
        <w:t>EXPUNGEMENT</w:t>
      </w:r>
      <w:bookmarkEnd w:id="540"/>
      <w:bookmarkEnd w:id="541"/>
    </w:p>
    <w:p w:rsidR="00E430E1" w:rsidRPr="00CA4465" w:rsidRDefault="00E430E1" w:rsidP="00E430E1">
      <w:r w:rsidRPr="00CA4465">
        <w:t xml:space="preserve">“A district court’s exercise of its inherent authority to expunge records that are located within the judicial branch is a matter of equity, which this court reviews under an abuse-of-discretion standard of review, although findings of fact underlying a district court’s decision will be set aside if they are clearly erroneous.”  </w:t>
      </w:r>
      <w:r w:rsidRPr="00CA4465">
        <w:rPr>
          <w:i/>
        </w:rPr>
        <w:t>State v. N.G.K.</w:t>
      </w:r>
      <w:r w:rsidRPr="00CA4465">
        <w:t>, 770 N.W.2d 177, 180 (Minn. App. 2009) (citations omitted).</w:t>
      </w:r>
    </w:p>
    <w:p w:rsidR="00E430E1" w:rsidRPr="00CA4465" w:rsidRDefault="00E430E1" w:rsidP="00E430E1"/>
    <w:p w:rsidR="00E430E1" w:rsidRPr="00CA4465" w:rsidRDefault="00E430E1" w:rsidP="00E430E1">
      <w:r w:rsidRPr="00CA4465">
        <w:t xml:space="preserve">“Whether a court has inherent authority to issue an expungement order affecting the executive branch is a question of law, which is subject to a </w:t>
      </w:r>
      <w:r w:rsidRPr="00CA4465">
        <w:rPr>
          <w:i/>
        </w:rPr>
        <w:t>de novo</w:t>
      </w:r>
      <w:r w:rsidRPr="00CA4465">
        <w:t xml:space="preserve"> standard of review.”  </w:t>
      </w:r>
      <w:r w:rsidRPr="00CA4465">
        <w:rPr>
          <w:i/>
        </w:rPr>
        <w:t>State v. N.G.K.</w:t>
      </w:r>
      <w:r w:rsidRPr="00CA4465">
        <w:t xml:space="preserve">, 770 N.W.2d 177, 181 (Minn. App. 2009). </w:t>
      </w:r>
    </w:p>
    <w:p w:rsidR="00E430E1" w:rsidRPr="00CA4465" w:rsidRDefault="00E430E1" w:rsidP="00E430E1"/>
    <w:p w:rsidR="00E430E1" w:rsidRPr="00CA4465" w:rsidRDefault="00E430E1" w:rsidP="00E430E1">
      <w:r w:rsidRPr="00CA4465">
        <w:t>“The exercise of a court’s inherent power to expunge is a matter of equity, and we therefore review the district co</w:t>
      </w:r>
      <w:r>
        <w:t>urt’s conclusion under an abuse-of-</w:t>
      </w:r>
      <w:r w:rsidRPr="00CA4465">
        <w:t xml:space="preserve">discretion standard.”  </w:t>
      </w:r>
      <w:r w:rsidRPr="00CA4465">
        <w:rPr>
          <w:i/>
        </w:rPr>
        <w:t>State v. Ambaye</w:t>
      </w:r>
      <w:r w:rsidRPr="00CA4465">
        <w:t>, 616 N.W.2d 256, 261 (Minn. 2000).</w:t>
      </w:r>
    </w:p>
    <w:p w:rsidR="00E430E1" w:rsidRPr="00CA4465" w:rsidRDefault="00E430E1" w:rsidP="00E430E1"/>
    <w:p w:rsidR="00E430E1" w:rsidRPr="00CA4465" w:rsidRDefault="00E430E1" w:rsidP="00E430E1">
      <w:r w:rsidRPr="00CA4465">
        <w:t xml:space="preserve">The proper construction of the statutory expungement statute, Minn. Stat. § 609A.02, is a question of law that is reviewed de novo.  </w:t>
      </w:r>
      <w:r w:rsidRPr="00CA4465">
        <w:rPr>
          <w:i/>
        </w:rPr>
        <w:t>State v. Ambaye</w:t>
      </w:r>
      <w:r w:rsidRPr="00CA4465">
        <w:t>, 616 N.W.2d 256, 258 (Minn. 2000).</w:t>
      </w:r>
    </w:p>
    <w:p w:rsidR="00E430E1" w:rsidRPr="00CA4465" w:rsidRDefault="00E430E1" w:rsidP="00E430E1"/>
    <w:p w:rsidR="00E430E1" w:rsidRDefault="00E430E1" w:rsidP="00E430E1">
      <w:r w:rsidRPr="00CA4465">
        <w:t xml:space="preserve">“A district court’s findings of fact will not be set aside unless clearly erroneous.  Clearly erroneous means manifestly contrary to the weight of the evidence or not supported by the evidence as a whole.”  </w:t>
      </w:r>
      <w:r w:rsidRPr="00CA4465">
        <w:rPr>
          <w:i/>
        </w:rPr>
        <w:t>State v. H.A.</w:t>
      </w:r>
      <w:r w:rsidRPr="00CA4465">
        <w:t>, 716 N.W.2d 360, 363 (Minn. App. 2006) (quotation and citation omitted).</w:t>
      </w:r>
    </w:p>
    <w:p w:rsidR="00E430E1" w:rsidRDefault="00E430E1" w:rsidP="00E430E1"/>
    <w:p w:rsidR="00E430E1" w:rsidRDefault="00E430E1" w:rsidP="00E430E1">
      <w:r>
        <w:t xml:space="preserve">The question whether the district court exceeded the scope of its inherent authority to expunge criminal records is a question of law, which is reviewed de novo.  </w:t>
      </w:r>
      <w:r>
        <w:rPr>
          <w:i/>
        </w:rPr>
        <w:t>State v. M.D.T.</w:t>
      </w:r>
      <w:r>
        <w:t xml:space="preserve">, 831 N.W.2d 276, 279 (Minn. 2013) (holding that the district court did not have inherent authority to expunge executive branch records).  </w:t>
      </w:r>
    </w:p>
    <w:p w:rsidR="00E430E1" w:rsidRDefault="00E430E1" w:rsidP="00E430E1">
      <w:r>
        <w:t xml:space="preserve">  </w:t>
      </w:r>
    </w:p>
    <w:p w:rsidR="00A53011" w:rsidRDefault="00A53011">
      <w:pPr>
        <w:jc w:val="left"/>
        <w:rPr>
          <w:rFonts w:eastAsiaTheme="majorEastAsia" w:cstheme="majorBidi"/>
          <w:b/>
          <w:bCs/>
          <w:caps/>
          <w:sz w:val="28"/>
          <w:szCs w:val="28"/>
        </w:rPr>
      </w:pPr>
      <w:r>
        <w:br w:type="page"/>
      </w:r>
    </w:p>
    <w:p w:rsidR="004F10A3" w:rsidRPr="00DE64BC" w:rsidRDefault="00DC4D3C" w:rsidP="008429C3">
      <w:pPr>
        <w:pStyle w:val="Heading1"/>
      </w:pPr>
      <w:bookmarkStart w:id="542" w:name="_Toc395604715"/>
      <w:r>
        <w:lastRenderedPageBreak/>
        <w:t>VII.</w:t>
      </w:r>
      <w:r>
        <w:tab/>
      </w:r>
      <w:bookmarkEnd w:id="531"/>
      <w:r>
        <w:t>ADMINISTRATIVE – GENERAL</w:t>
      </w:r>
      <w:bookmarkEnd w:id="542"/>
      <w:r>
        <w:t xml:space="preserve"> </w:t>
      </w:r>
      <w:r w:rsidR="00582C10">
        <w:t xml:space="preserve"> </w:t>
      </w:r>
    </w:p>
    <w:p w:rsidR="004F10A3" w:rsidRPr="00CA4465" w:rsidRDefault="004F10A3" w:rsidP="00604DD4">
      <w:pPr>
        <w:pStyle w:val="Heading2"/>
      </w:pPr>
      <w:bookmarkStart w:id="543" w:name="_Toc48979704"/>
      <w:bookmarkStart w:id="544" w:name="_Toc395604716"/>
      <w:r w:rsidRPr="00CA4465">
        <w:t>A.</w:t>
      </w:r>
      <w:r w:rsidRPr="00CA4465">
        <w:tab/>
      </w:r>
      <w:bookmarkEnd w:id="543"/>
      <w:r w:rsidR="00D73BE0">
        <w:t>GENERAL PRINCIPLES</w:t>
      </w:r>
      <w:bookmarkEnd w:id="544"/>
      <w:r w:rsidR="00DE734C">
        <w:t xml:space="preserve"> </w:t>
      </w:r>
    </w:p>
    <w:p w:rsidR="004F10A3" w:rsidRPr="00CA4465" w:rsidRDefault="004F10A3" w:rsidP="00337FFA">
      <w:pPr>
        <w:pStyle w:val="Heading3"/>
      </w:pPr>
      <w:bookmarkStart w:id="545" w:name="_Toc48979705"/>
      <w:bookmarkStart w:id="546" w:name="_Toc395604717"/>
      <w:r w:rsidRPr="00CA4465">
        <w:t>1.</w:t>
      </w:r>
      <w:r w:rsidRPr="00CA4465">
        <w:tab/>
        <w:t>Reviewability</w:t>
      </w:r>
      <w:bookmarkEnd w:id="545"/>
      <w:bookmarkEnd w:id="546"/>
    </w:p>
    <w:p w:rsidR="007B1C84" w:rsidRPr="00CA4465" w:rsidRDefault="004F10A3" w:rsidP="000E34D5">
      <w:pPr>
        <w:ind w:left="720"/>
      </w:pPr>
      <w:r w:rsidRPr="00CA4465">
        <w:t xml:space="preserve">“There is a presumption in favor of judicial review of agency decisions in the absence of statutory language to the contrary.”  </w:t>
      </w:r>
      <w:r w:rsidR="00086AFA">
        <w:rPr>
          <w:i/>
          <w:iCs/>
        </w:rPr>
        <w:t>In re North Metro Harness Inc.</w:t>
      </w:r>
      <w:r w:rsidR="00086AFA">
        <w:rPr>
          <w:iCs/>
        </w:rPr>
        <w:t>, 711 N.W.2d 129, 13</w:t>
      </w:r>
      <w:r w:rsidR="007B1C84">
        <w:rPr>
          <w:iCs/>
        </w:rPr>
        <w:t>3-34</w:t>
      </w:r>
      <w:r w:rsidR="00086AFA">
        <w:rPr>
          <w:iCs/>
        </w:rPr>
        <w:t xml:space="preserve"> (Minn. App. 2006) (quotation omitted), </w:t>
      </w:r>
      <w:r w:rsidR="00086AFA">
        <w:rPr>
          <w:i/>
          <w:iCs/>
        </w:rPr>
        <w:t xml:space="preserve">review </w:t>
      </w:r>
      <w:r w:rsidR="00086AFA" w:rsidRPr="007B1C84">
        <w:rPr>
          <w:i/>
          <w:iCs/>
        </w:rPr>
        <w:t>denied</w:t>
      </w:r>
      <w:r w:rsidR="00086AFA">
        <w:rPr>
          <w:iCs/>
        </w:rPr>
        <w:t xml:space="preserve"> (Minn. June 20, 2006)</w:t>
      </w:r>
      <w:r w:rsidRPr="00CA4465">
        <w:t>.</w:t>
      </w:r>
    </w:p>
    <w:p w:rsidR="004F10A3" w:rsidRPr="00CA4465" w:rsidRDefault="004F10A3" w:rsidP="00337FFA">
      <w:pPr>
        <w:pStyle w:val="Heading3"/>
      </w:pPr>
      <w:bookmarkStart w:id="547" w:name="_Toc48979706"/>
      <w:bookmarkStart w:id="548" w:name="_Toc395604718"/>
      <w:r w:rsidRPr="00CA4465">
        <w:t>2.</w:t>
      </w:r>
      <w:r w:rsidRPr="00CA4465">
        <w:tab/>
        <w:t>Agency Jurisdiction</w:t>
      </w:r>
      <w:bookmarkEnd w:id="547"/>
      <w:bookmarkEnd w:id="548"/>
    </w:p>
    <w:p w:rsidR="004F10A3" w:rsidRPr="00086AFA" w:rsidRDefault="004F10A3" w:rsidP="000E34D5">
      <w:pPr>
        <w:ind w:left="720"/>
      </w:pPr>
      <w:r w:rsidRPr="00CA4465">
        <w:t xml:space="preserve">Whether an agency has jurisdiction over a matter is a legal question and thus a reviewing court need not defer to “agency expertise” or the district court’s decision on the issue.  </w:t>
      </w:r>
      <w:r w:rsidR="00086AFA">
        <w:rPr>
          <w:i/>
          <w:iCs/>
        </w:rPr>
        <w:t>In re N. States Power Co.</w:t>
      </w:r>
      <w:r w:rsidR="00086AFA">
        <w:rPr>
          <w:iCs/>
        </w:rPr>
        <w:t>, 775 N.W.2d 652, 656 (Minn. App. 2009).</w:t>
      </w:r>
    </w:p>
    <w:p w:rsidR="00183968" w:rsidRPr="00CA4465" w:rsidRDefault="00183968" w:rsidP="000E34D5">
      <w:pPr>
        <w:ind w:left="720"/>
      </w:pPr>
    </w:p>
    <w:p w:rsidR="00AD2BDB" w:rsidRDefault="00183968" w:rsidP="000E34D5">
      <w:pPr>
        <w:ind w:left="720"/>
      </w:pPr>
      <w:r w:rsidRPr="00CA4465">
        <w:t xml:space="preserve">“Whether an administrative agency has acted within its statutory authority is a question of law that we review de novo.”  </w:t>
      </w:r>
      <w:r w:rsidRPr="00CA4465">
        <w:rPr>
          <w:i/>
        </w:rPr>
        <w:t>In re Hubbard</w:t>
      </w:r>
      <w:r w:rsidRPr="00CA4465">
        <w:t>, 778 N.W.2d 313, 318 (Minn. 2010)</w:t>
      </w:r>
      <w:r w:rsidR="007B1C84">
        <w:t xml:space="preserve"> (footnote omitted)</w:t>
      </w:r>
      <w:r w:rsidRPr="00CA4465">
        <w:t>.</w:t>
      </w:r>
      <w:bookmarkStart w:id="549" w:name="_Toc48979707"/>
    </w:p>
    <w:p w:rsidR="00CB7CED" w:rsidRDefault="00CB7CED" w:rsidP="00300AEE">
      <w:pPr>
        <w:pStyle w:val="Heading4"/>
      </w:pPr>
      <w:bookmarkStart w:id="550" w:name="_Toc395604719"/>
      <w:r>
        <w:t>a.</w:t>
      </w:r>
      <w:r>
        <w:tab/>
        <w:t>Constitutional Issues</w:t>
      </w:r>
      <w:bookmarkEnd w:id="550"/>
    </w:p>
    <w:p w:rsidR="005D3A8E" w:rsidRPr="000A408C" w:rsidRDefault="0005233B" w:rsidP="000A408C">
      <w:pPr>
        <w:ind w:left="1440"/>
        <w:rPr>
          <w:i/>
        </w:rPr>
      </w:pPr>
      <w:r w:rsidRPr="00C101CC">
        <w:t xml:space="preserve">“[A]n administrative agency lacks subject matter jurisdiction to decide constitutional issues because those questions are within the exclusive province of the judicial branch.”  </w:t>
      </w:r>
      <w:r w:rsidRPr="00C101CC">
        <w:rPr>
          <w:i/>
        </w:rPr>
        <w:t>Holmberg v. Holmberg</w:t>
      </w:r>
      <w:r w:rsidR="000A408C" w:rsidRPr="00C101CC">
        <w:t xml:space="preserve">, 578 N.W.2d 817, 820 (Minn. App. 1998) (citing </w:t>
      </w:r>
      <w:r w:rsidR="000A408C" w:rsidRPr="00C101CC">
        <w:rPr>
          <w:i/>
        </w:rPr>
        <w:t>Neeland v. Clearwater Mem’l Hosp</w:t>
      </w:r>
      <w:r w:rsidR="000A408C" w:rsidRPr="00C101CC">
        <w:t>., 257 N.W.2d 366, 368 (Minn. 1977))</w:t>
      </w:r>
      <w:r w:rsidR="00DA1DEA" w:rsidRPr="00C101CC">
        <w:t xml:space="preserve">, </w:t>
      </w:r>
      <w:r w:rsidR="00DA1DEA" w:rsidRPr="00C101CC">
        <w:rPr>
          <w:i/>
        </w:rPr>
        <w:t xml:space="preserve">aff’d </w:t>
      </w:r>
      <w:r w:rsidR="00DA1DEA" w:rsidRPr="00C101CC">
        <w:t>588 N.W.2d 720 (Minn. 1999)</w:t>
      </w:r>
      <w:r w:rsidR="000A408C" w:rsidRPr="00C101CC">
        <w:t xml:space="preserve">; </w:t>
      </w:r>
      <w:r w:rsidR="000A408C" w:rsidRPr="00C101CC">
        <w:rPr>
          <w:i/>
        </w:rPr>
        <w:t xml:space="preserve">see also </w:t>
      </w:r>
      <w:r w:rsidR="001D5970" w:rsidRPr="00C101CC">
        <w:rPr>
          <w:i/>
        </w:rPr>
        <w:t>In re PERA Salary Determinations Affecting Retired and Active Emps</w:t>
      </w:r>
      <w:r w:rsidR="00C101CC" w:rsidRPr="00C101CC">
        <w:rPr>
          <w:i/>
        </w:rPr>
        <w:t>.</w:t>
      </w:r>
      <w:r w:rsidR="001D5970" w:rsidRPr="00C101CC">
        <w:rPr>
          <w:i/>
        </w:rPr>
        <w:t xml:space="preserve"> of City of Duluth</w:t>
      </w:r>
      <w:r w:rsidR="001D5970" w:rsidRPr="00C101CC">
        <w:t xml:space="preserve">, 820 N.W.2d 563, </w:t>
      </w:r>
      <w:r w:rsidR="000A408C" w:rsidRPr="00C101CC">
        <w:t>575 (Minn. App. 2012).</w:t>
      </w:r>
      <w:r w:rsidR="000A408C">
        <w:t xml:space="preserve">  </w:t>
      </w:r>
    </w:p>
    <w:p w:rsidR="004F10A3" w:rsidRPr="00CA4465" w:rsidRDefault="004F10A3" w:rsidP="00337FFA">
      <w:pPr>
        <w:pStyle w:val="Heading3"/>
      </w:pPr>
      <w:bookmarkStart w:id="551" w:name="_Toc395604720"/>
      <w:r w:rsidRPr="00CA4465">
        <w:t>3.</w:t>
      </w:r>
      <w:r w:rsidRPr="00CA4465">
        <w:tab/>
        <w:t>Burden of Proof on Appeal</w:t>
      </w:r>
      <w:bookmarkEnd w:id="549"/>
      <w:bookmarkEnd w:id="551"/>
    </w:p>
    <w:p w:rsidR="004F10A3" w:rsidRPr="00CA4465" w:rsidRDefault="00086AFA" w:rsidP="000E34D5">
      <w:pPr>
        <w:ind w:left="720"/>
      </w:pPr>
      <w:r>
        <w:t xml:space="preserve">The party challenging an agency decision bears the burden of proving that the decision violated provisions of the </w:t>
      </w:r>
      <w:r w:rsidR="00DA1DEA">
        <w:t xml:space="preserve">Minnesota </w:t>
      </w:r>
      <w:r>
        <w:t xml:space="preserve">Administrative Procedures Act.  </w:t>
      </w:r>
      <w:r>
        <w:rPr>
          <w:i/>
        </w:rPr>
        <w:t xml:space="preserve">In re Review of 2005 Annual Automatic Adjustment of </w:t>
      </w:r>
      <w:r w:rsidRPr="004E48F2">
        <w:rPr>
          <w:i/>
        </w:rPr>
        <w:t>Charges</w:t>
      </w:r>
      <w:r>
        <w:t>, 768 N.W.2d 112, 118 (Minn. 2009).</w:t>
      </w:r>
    </w:p>
    <w:p w:rsidR="00DE734C" w:rsidRDefault="00DE734C" w:rsidP="00337FFA">
      <w:pPr>
        <w:pStyle w:val="Heading3"/>
      </w:pPr>
      <w:bookmarkStart w:id="552" w:name="_Toc395604721"/>
      <w:r>
        <w:t>4.</w:t>
      </w:r>
      <w:r>
        <w:tab/>
        <w:t>Presumption of Correctness/Deference</w:t>
      </w:r>
      <w:bookmarkEnd w:id="552"/>
    </w:p>
    <w:p w:rsidR="00C90FA8" w:rsidRPr="00C90FA8" w:rsidRDefault="00C90FA8" w:rsidP="000E34D5">
      <w:pPr>
        <w:ind w:left="720"/>
      </w:pPr>
      <w:r w:rsidRPr="00C90FA8">
        <w:t xml:space="preserve">An administrative agency’s decision enjoys a presumption of correctness; the appellate court defers to the agency’s expertise and special knowledge in its field.  </w:t>
      </w:r>
      <w:r w:rsidRPr="00C90FA8">
        <w:rPr>
          <w:i/>
          <w:iCs/>
        </w:rPr>
        <w:t>In re Annandale NPDES/SDS Permit Issuance</w:t>
      </w:r>
      <w:r w:rsidRPr="00C90FA8">
        <w:t>, 731 N.W.2d 502, 514 (Minn. 2007).</w:t>
      </w:r>
    </w:p>
    <w:p w:rsidR="00C90FA8" w:rsidRPr="00C90FA8" w:rsidRDefault="00C90FA8" w:rsidP="000E34D5">
      <w:pPr>
        <w:ind w:left="720"/>
      </w:pPr>
    </w:p>
    <w:p w:rsidR="00C90FA8" w:rsidRPr="00C90FA8" w:rsidRDefault="00C90FA8" w:rsidP="000E34D5">
      <w:pPr>
        <w:ind w:left="720"/>
      </w:pPr>
      <w:r w:rsidRPr="00C90FA8">
        <w:t xml:space="preserve">“We consider an agency’s expertise or special knowledge when: (a) the agency is interpreting a regulation that is unclear or susceptible to more than one reasonable interpretation or the agency’s interpretation is reasonable, or (b) when the application of the regulation is primarily factual and necessarily requires application of the agency’s technical knowledge and expertise to the facts presented.”  </w:t>
      </w:r>
      <w:r w:rsidRPr="00C90FA8">
        <w:rPr>
          <w:i/>
        </w:rPr>
        <w:t xml:space="preserve">In re Review of 2005 Annual </w:t>
      </w:r>
      <w:r w:rsidRPr="00C90FA8">
        <w:rPr>
          <w:i/>
        </w:rPr>
        <w:lastRenderedPageBreak/>
        <w:t>Automatic Adjustment of Charges</w:t>
      </w:r>
      <w:r w:rsidRPr="00C90FA8">
        <w:t>, 768 N.W.2d 112, 119 (Minn. 2009) (quotation and citations omitted).</w:t>
      </w:r>
    </w:p>
    <w:p w:rsidR="00C90FA8" w:rsidRPr="00C90FA8" w:rsidRDefault="00C90FA8" w:rsidP="000E34D5">
      <w:pPr>
        <w:ind w:left="720"/>
      </w:pPr>
    </w:p>
    <w:p w:rsidR="00C90FA8" w:rsidRPr="00C90FA8" w:rsidRDefault="00C90FA8" w:rsidP="000E34D5">
      <w:pPr>
        <w:ind w:left="720"/>
      </w:pPr>
      <w:r w:rsidRPr="00C90FA8">
        <w:t xml:space="preserve">“The agency decision-maker is presumed to have the expertise necessary to decide technical matters within the scope of the agency’s authority, and judicial deference, rooted in the separation of powers doctrine, is extended to an agency decision-maker in the interpretation of statutes that the agency is charged with administering and enforcing.  We defer to an agency’s conclusions regarding conflicts in testimony, the weight given to expert testimony and the inferences to be drawn from testimony.”  </w:t>
      </w:r>
      <w:r w:rsidRPr="00C90FA8">
        <w:rPr>
          <w:i/>
          <w:iCs/>
        </w:rPr>
        <w:t>In re Excess Surplus Status of Blue Cross &amp; Blue Shield of Minn.</w:t>
      </w:r>
      <w:r w:rsidRPr="00C90FA8">
        <w:t>, 624 N.W.2d 264, 278 (Minn. 2001) (footnote omitted) (citations omitted).</w:t>
      </w:r>
    </w:p>
    <w:p w:rsidR="00C90FA8" w:rsidRPr="00C90FA8" w:rsidRDefault="00C90FA8" w:rsidP="000E34D5">
      <w:pPr>
        <w:ind w:left="720"/>
      </w:pPr>
    </w:p>
    <w:p w:rsidR="00C90FA8" w:rsidRPr="00C90FA8" w:rsidRDefault="00C90FA8" w:rsidP="000E34D5">
      <w:pPr>
        <w:ind w:left="720"/>
      </w:pPr>
      <w:r w:rsidRPr="00C90FA8">
        <w:t xml:space="preserve">“The standard of review is not heightened where the final decision of the agency decision-maker differs from the recommendation of the ALJ.”  </w:t>
      </w:r>
      <w:r w:rsidRPr="00C90FA8">
        <w:rPr>
          <w:i/>
          <w:iCs/>
        </w:rPr>
        <w:t>In re Excelsior Energy, Inc.</w:t>
      </w:r>
      <w:r w:rsidRPr="00C90FA8">
        <w:rPr>
          <w:iCs/>
        </w:rPr>
        <w:t>, 782 N.W.2d 282, 289 (Minn. App. 2010)</w:t>
      </w:r>
      <w:r w:rsidRPr="00C90FA8">
        <w:t>.</w:t>
      </w:r>
    </w:p>
    <w:p w:rsidR="00C90FA8" w:rsidRPr="00C90FA8" w:rsidRDefault="00C90FA8" w:rsidP="000E34D5">
      <w:pPr>
        <w:ind w:left="720"/>
      </w:pPr>
    </w:p>
    <w:p w:rsidR="00C90FA8" w:rsidRPr="00C90FA8" w:rsidRDefault="00C90FA8" w:rsidP="000E34D5">
      <w:pPr>
        <w:ind w:left="720"/>
      </w:pPr>
      <w:r w:rsidRPr="00C90FA8">
        <w:t xml:space="preserve">“An appellate court may reverse or modify an administrative decision if substantial rights of the petitioners have been prejudiced by administrative findings, inferences, conclusions or decisions that are unsupported by substantial evidence in view of the entire record, or arbitrary and capricious, but the court must also recognize the need for exercising judicial restraint and for restricting judicial functions to a narrow area of responsibility lest [the court] substitute its judgment for that of the agency.”  </w:t>
      </w:r>
      <w:r w:rsidRPr="00C90FA8">
        <w:rPr>
          <w:i/>
          <w:iCs/>
        </w:rPr>
        <w:t>In re Excess Surplus Status of Blue Cross &amp; Blue Shield of Minn.</w:t>
      </w:r>
      <w:r w:rsidRPr="00C90FA8">
        <w:t>, 624 N.W.2d 264, 277 (Minn. 2001) (quotation and citations omitted).</w:t>
      </w:r>
    </w:p>
    <w:p w:rsidR="00C90FA8" w:rsidRPr="00C90FA8" w:rsidRDefault="00C90FA8" w:rsidP="000E34D5">
      <w:pPr>
        <w:ind w:left="720"/>
      </w:pPr>
    </w:p>
    <w:p w:rsidR="00C90FA8" w:rsidRPr="00C90FA8" w:rsidRDefault="00C90FA8" w:rsidP="000E34D5">
      <w:pPr>
        <w:ind w:left="720"/>
      </w:pPr>
      <w:r w:rsidRPr="00C90FA8">
        <w:t xml:space="preserve">“We presume the agency’s decision . . . is correct, but the court may reverse an agency decision if the decision was affected by an error of law.”  </w:t>
      </w:r>
      <w:r w:rsidRPr="00C90FA8">
        <w:rPr>
          <w:i/>
          <w:iCs/>
        </w:rPr>
        <w:t>N. States Power Co. v. Minn. Pub. Utils. Comm’n</w:t>
      </w:r>
      <w:r w:rsidRPr="00C90FA8">
        <w:t>, 344 N.W.2d 374, 377 (Minn. 1984).</w:t>
      </w:r>
    </w:p>
    <w:p w:rsidR="00C90FA8" w:rsidRPr="00C90FA8" w:rsidRDefault="00C90FA8" w:rsidP="000E34D5">
      <w:pPr>
        <w:ind w:left="720"/>
      </w:pPr>
    </w:p>
    <w:p w:rsidR="00C90FA8" w:rsidRPr="00C90FA8" w:rsidRDefault="00C90FA8" w:rsidP="000E34D5">
      <w:pPr>
        <w:ind w:left="720"/>
      </w:pPr>
      <w:r w:rsidRPr="00C90FA8">
        <w:t xml:space="preserve">“Even if a constitutional issue is involved, the challenged determination of a legislative or administrative body may be due judicial deference if the underlying decision-making process is designed to effectively produce a correct or just result or if the decision is informed by considerable expertise.”  </w:t>
      </w:r>
      <w:r w:rsidRPr="00C90FA8">
        <w:rPr>
          <w:i/>
          <w:iCs/>
        </w:rPr>
        <w:t>Buettner v. City of St. Cloud</w:t>
      </w:r>
      <w:r w:rsidRPr="00C90FA8">
        <w:t>, 277 N.W.2d 199, 204 (Minn. 1979).</w:t>
      </w:r>
    </w:p>
    <w:p w:rsidR="00C90FA8" w:rsidRPr="00C90FA8" w:rsidRDefault="00C90FA8" w:rsidP="000E34D5">
      <w:pPr>
        <w:ind w:left="720"/>
      </w:pPr>
    </w:p>
    <w:p w:rsidR="00C90FA8" w:rsidRPr="00C90FA8" w:rsidRDefault="00C90FA8" w:rsidP="000E34D5">
      <w:pPr>
        <w:ind w:left="720"/>
      </w:pPr>
      <w:r w:rsidRPr="00C90FA8">
        <w:t xml:space="preserve">“[W]e have deferred to an agency’s expertise and special knowledge when (1) the agency is interpreting a regulation that is unclear and susceptible to more than one interpretation; and (2) the agency’s interpretation is reasonable.”  </w:t>
      </w:r>
      <w:r w:rsidRPr="00C90FA8">
        <w:rPr>
          <w:i/>
        </w:rPr>
        <w:t>In re Annandale NPDES/SDS Permit Issuance</w:t>
      </w:r>
      <w:r w:rsidRPr="00C90FA8">
        <w:t>, 731 N.W.2d 502, 515 (Minn. 2007).</w:t>
      </w:r>
    </w:p>
    <w:p w:rsidR="00C90FA8" w:rsidRPr="00C90FA8" w:rsidRDefault="00C90FA8" w:rsidP="000E34D5">
      <w:pPr>
        <w:ind w:left="720"/>
      </w:pPr>
    </w:p>
    <w:p w:rsidR="00C90FA8" w:rsidRDefault="00C90FA8" w:rsidP="000E34D5">
      <w:pPr>
        <w:ind w:left="720"/>
      </w:pPr>
      <w:r w:rsidRPr="00C90FA8">
        <w:t xml:space="preserve">“If an administrative agency engages in reasoned decisionmaking, the court will affirm, even though it may have reached a different conclusion had it been the factfinder.  The court will intervene, however, where there is a “combination of danger signals which suggest the agency has not taken a ‘hard look’ at the salient problems” and the decision lacks “articulated standards and reflective findings.”  </w:t>
      </w:r>
      <w:r w:rsidRPr="00C90FA8">
        <w:rPr>
          <w:i/>
        </w:rPr>
        <w:t xml:space="preserve">Cable Commc’ns Bd. v. Nor-West </w:t>
      </w:r>
      <w:r w:rsidRPr="00C90FA8">
        <w:rPr>
          <w:i/>
        </w:rPr>
        <w:lastRenderedPageBreak/>
        <w:t>Cable Commc’ns P’ship</w:t>
      </w:r>
      <w:r w:rsidRPr="00C90FA8">
        <w:t xml:space="preserve">, 356 N.W.2d 658, 669 (Minn. 1984) (quoting </w:t>
      </w:r>
      <w:r w:rsidRPr="00C90FA8">
        <w:rPr>
          <w:i/>
        </w:rPr>
        <w:t>Reserve Mining Co. v. Herbst</w:t>
      </w:r>
      <w:r w:rsidRPr="00C90FA8">
        <w:t>, 256 N.W.2d 808, 825 (Minn. 1977))</w:t>
      </w:r>
      <w:r w:rsidR="00C101CC">
        <w:t xml:space="preserve"> </w:t>
      </w:r>
      <w:r w:rsidR="00C101CC" w:rsidRPr="00C90FA8">
        <w:t>(citations omitted)</w:t>
      </w:r>
      <w:r w:rsidRPr="00C90FA8">
        <w:t>.</w:t>
      </w:r>
    </w:p>
    <w:p w:rsidR="005934AE" w:rsidRDefault="005934AE" w:rsidP="00337FFA">
      <w:pPr>
        <w:pStyle w:val="Heading3"/>
      </w:pPr>
      <w:bookmarkStart w:id="553" w:name="_Toc395604722"/>
      <w:r>
        <w:t>5.</w:t>
      </w:r>
      <w:r>
        <w:tab/>
        <w:t>Agency Interpretations of Statutes and Rules</w:t>
      </w:r>
      <w:bookmarkEnd w:id="553"/>
    </w:p>
    <w:p w:rsidR="00644BD0" w:rsidRPr="00644BD0" w:rsidRDefault="005934AE" w:rsidP="00300AEE">
      <w:pPr>
        <w:pStyle w:val="Heading4"/>
      </w:pPr>
      <w:bookmarkStart w:id="554" w:name="_Toc395604723"/>
      <w:r>
        <w:t>a.</w:t>
      </w:r>
      <w:r>
        <w:tab/>
        <w:t>In General</w:t>
      </w:r>
      <w:bookmarkEnd w:id="554"/>
    </w:p>
    <w:p w:rsidR="005934AE" w:rsidRPr="00CA4465" w:rsidRDefault="005934AE" w:rsidP="006A4E16">
      <w:pPr>
        <w:keepNext/>
        <w:ind w:left="1440"/>
      </w:pPr>
      <w:r w:rsidRPr="00CA4465">
        <w:t xml:space="preserve">“When a decision turns on the meaning of words in a statute or regulation, a legal question is presented.  In considering such questions of law, reviewing courts are not bound by the decision of the agency and need not defer to agency expertise.”  </w:t>
      </w:r>
      <w:r w:rsidRPr="00CA4465">
        <w:rPr>
          <w:i/>
          <w:iCs/>
        </w:rPr>
        <w:t>St. Otto’s Home v. Minn. Dep’t of Human Servs.</w:t>
      </w:r>
      <w:r w:rsidRPr="00CA4465">
        <w:t>, 437 N.W.2d 35, 39-40 (Minn. 1989) (citation</w:t>
      </w:r>
      <w:r>
        <w:t>s</w:t>
      </w:r>
      <w:r w:rsidRPr="00CA4465">
        <w:t xml:space="preserve"> omitted</w:t>
      </w:r>
      <w:r>
        <w:t>)</w:t>
      </w:r>
      <w:r w:rsidRPr="00CA4465">
        <w:t>.</w:t>
      </w:r>
    </w:p>
    <w:p w:rsidR="005934AE" w:rsidRPr="00CA4465" w:rsidRDefault="005934AE" w:rsidP="006A4E16">
      <w:pPr>
        <w:ind w:left="1440"/>
      </w:pPr>
    </w:p>
    <w:p w:rsidR="005934AE" w:rsidRPr="00CA4465" w:rsidRDefault="005934AE" w:rsidP="006A4E16">
      <w:pPr>
        <w:ind w:left="1440"/>
      </w:pPr>
      <w:r w:rsidRPr="00CA4465">
        <w:t xml:space="preserve">“When . . . the language of an administrative rule is clear and capable of understanding, interpretation of the rule presents a question of law reviewed de novo.”  </w:t>
      </w:r>
      <w:r w:rsidRPr="00CA4465">
        <w:rPr>
          <w:i/>
          <w:iCs/>
        </w:rPr>
        <w:t>Jasper v. Comm’r of Pub. Safety</w:t>
      </w:r>
      <w:r w:rsidRPr="00CA4465">
        <w:t>, 642 N.W.2d 435, 440 (Minn. 2002)</w:t>
      </w:r>
      <w:r>
        <w:t xml:space="preserve">; </w:t>
      </w:r>
      <w:r>
        <w:rPr>
          <w:i/>
        </w:rPr>
        <w:t>see also In re Rate Appeal of Benedictine Health Ctr.</w:t>
      </w:r>
      <w:r>
        <w:t>, 728 N.W.2d 497, 503 (Minn. 2007)</w:t>
      </w:r>
      <w:r w:rsidRPr="00CA4465">
        <w:t>.</w:t>
      </w:r>
    </w:p>
    <w:p w:rsidR="005934AE" w:rsidRPr="00CA4465" w:rsidRDefault="005934AE" w:rsidP="006A4E16">
      <w:pPr>
        <w:ind w:left="1440"/>
      </w:pPr>
    </w:p>
    <w:p w:rsidR="005934AE" w:rsidRDefault="005934AE" w:rsidP="006A4E16">
      <w:pPr>
        <w:ind w:left="1440"/>
      </w:pPr>
      <w:r w:rsidRPr="00CA4465">
        <w:t xml:space="preserve">“[W]hen a decision turns on the meaning of words in an agency’s own regulation, it is a question of law that we review de novo.”  </w:t>
      </w:r>
      <w:r w:rsidRPr="00CA4465">
        <w:rPr>
          <w:i/>
        </w:rPr>
        <w:t>In re Annandale NPDES/SDS Permit Issuance</w:t>
      </w:r>
      <w:r w:rsidRPr="00CA4465">
        <w:t>, 731 N.W.2d 502, 515 (Minn. 2007).</w:t>
      </w:r>
    </w:p>
    <w:p w:rsidR="00AC592E" w:rsidRDefault="00AC592E" w:rsidP="006A4E16">
      <w:pPr>
        <w:ind w:left="1440"/>
      </w:pPr>
    </w:p>
    <w:p w:rsidR="00AC592E" w:rsidRDefault="00AC592E" w:rsidP="006A4E16">
      <w:pPr>
        <w:ind w:left="1440"/>
      </w:pPr>
      <w:r>
        <w:t>The appellate court reviews questions of statutory construction de novo.</w:t>
      </w:r>
      <w:r w:rsidRPr="00CA4465">
        <w:t xml:space="preserve">  </w:t>
      </w:r>
      <w:r>
        <w:rPr>
          <w:i/>
          <w:iCs/>
        </w:rPr>
        <w:t>Lee v. Fresenurs Med. Care, Inc.</w:t>
      </w:r>
      <w:r>
        <w:rPr>
          <w:iCs/>
        </w:rPr>
        <w:t xml:space="preserve">, 741 </w:t>
      </w:r>
      <w:r w:rsidRPr="00CA4465">
        <w:t xml:space="preserve">N.W.2d </w:t>
      </w:r>
      <w:r>
        <w:t>117, 122</w:t>
      </w:r>
      <w:r w:rsidRPr="00CA4465">
        <w:t xml:space="preserve"> (Minn. 200</w:t>
      </w:r>
      <w:r>
        <w:t>7</w:t>
      </w:r>
      <w:r w:rsidRPr="00CA4465">
        <w:t>).</w:t>
      </w:r>
    </w:p>
    <w:p w:rsidR="00E04A71" w:rsidRDefault="00E04A71" w:rsidP="006A4E16">
      <w:pPr>
        <w:ind w:left="1440"/>
      </w:pPr>
    </w:p>
    <w:p w:rsidR="00E04A71" w:rsidRPr="00CA4465" w:rsidRDefault="00E04A71" w:rsidP="006A4E16">
      <w:pPr>
        <w:ind w:left="1440"/>
      </w:pPr>
      <w:r w:rsidRPr="00CA4465">
        <w:t xml:space="preserve">“We retain the authority to review de novo errors of law which arise when an agency decision is based upon the meaning of words in a statute.”  </w:t>
      </w:r>
      <w:r w:rsidRPr="00CA4465">
        <w:rPr>
          <w:i/>
          <w:iCs/>
        </w:rPr>
        <w:t>In re Denial of Eller Media Co.’s Applications for Outdoor Adver. Device Permits</w:t>
      </w:r>
      <w:r w:rsidRPr="00CA4465">
        <w:t>, 664 N.W.2d 1, 7 (Minn. 2003).</w:t>
      </w:r>
    </w:p>
    <w:p w:rsidR="00AC592E" w:rsidRPr="00CA4465" w:rsidRDefault="00AC592E" w:rsidP="006A4E16">
      <w:pPr>
        <w:ind w:left="1440"/>
      </w:pPr>
    </w:p>
    <w:p w:rsidR="005934AE" w:rsidRPr="00AC592E" w:rsidRDefault="00AC592E" w:rsidP="006A4E16">
      <w:pPr>
        <w:ind w:left="1440"/>
      </w:pPr>
      <w:r w:rsidRPr="00CA4465">
        <w:t xml:space="preserve">“We note that on matters of statutory interpretation, this court is not bound by the determination of an administrative agency.  The manner in which the agency has construed a statute may be entitled to some weight, however, where (1) the statutory language is technical in nature, and (2) the agency’s interpretation is one of long-standing application.”  </w:t>
      </w:r>
      <w:r w:rsidRPr="00CA4465">
        <w:rPr>
          <w:i/>
        </w:rPr>
        <w:t>Arvig Tel. Co. v. Nw. Bell Tel. Co.</w:t>
      </w:r>
      <w:r w:rsidRPr="00CA4465">
        <w:t xml:space="preserve">, 270 N.W.2d 111, 114 (Minn. 1978); </w:t>
      </w:r>
      <w:r w:rsidRPr="00CA4465">
        <w:rPr>
          <w:i/>
        </w:rPr>
        <w:t>see also In</w:t>
      </w:r>
      <w:r>
        <w:rPr>
          <w:i/>
        </w:rPr>
        <w:t xml:space="preserve"> re Excelsior Energy, Inc.</w:t>
      </w:r>
      <w:r>
        <w:t xml:space="preserve">, </w:t>
      </w:r>
      <w:r w:rsidRPr="00CA4465">
        <w:t>7</w:t>
      </w:r>
      <w:r>
        <w:t>8</w:t>
      </w:r>
      <w:r w:rsidRPr="00CA4465">
        <w:t xml:space="preserve">2 N.W.2d </w:t>
      </w:r>
      <w:r>
        <w:t>282, 289</w:t>
      </w:r>
      <w:r w:rsidRPr="00CA4465">
        <w:t xml:space="preserve"> (Minn. App. 20</w:t>
      </w:r>
      <w:r>
        <w:t>1</w:t>
      </w:r>
      <w:r w:rsidRPr="00CA4465">
        <w:t>0).</w:t>
      </w:r>
    </w:p>
    <w:p w:rsidR="005934AE" w:rsidRDefault="005934AE" w:rsidP="00300AEE">
      <w:pPr>
        <w:pStyle w:val="Heading4"/>
      </w:pPr>
      <w:bookmarkStart w:id="555" w:name="_Toc395604724"/>
      <w:r>
        <w:lastRenderedPageBreak/>
        <w:t>b.</w:t>
      </w:r>
      <w:r>
        <w:tab/>
      </w:r>
      <w:r w:rsidR="005E0DC3">
        <w:t>Deference/</w:t>
      </w:r>
      <w:r w:rsidR="00E04A71">
        <w:t>Ambiguity</w:t>
      </w:r>
      <w:bookmarkEnd w:id="555"/>
    </w:p>
    <w:p w:rsidR="00CE1338" w:rsidRDefault="00CE1338" w:rsidP="006A4E16">
      <w:pPr>
        <w:keepNext/>
        <w:ind w:left="1440"/>
      </w:pPr>
      <w:r>
        <w:t xml:space="preserve">The appellate court reviews de novo the meaning of the words in a regulation as a question of law.  If the meaning of the regulation is clear and unambiguous, the reviewing court gives no deference to the agency’s interpretation.  </w:t>
      </w:r>
      <w:r>
        <w:rPr>
          <w:i/>
        </w:rPr>
        <w:t>In re Rate Appeal of Benedictine Health Ctr.</w:t>
      </w:r>
      <w:r>
        <w:t>, 728 N.W.2d 497, 503 (Minn. 2007)</w:t>
      </w:r>
      <w:r w:rsidRPr="00CA4465">
        <w:t>.</w:t>
      </w:r>
    </w:p>
    <w:p w:rsidR="00E04A71" w:rsidRDefault="00E04A71" w:rsidP="006A4E16">
      <w:pPr>
        <w:keepNext/>
        <w:ind w:left="1440"/>
      </w:pPr>
    </w:p>
    <w:p w:rsidR="00E04A71" w:rsidRPr="00CA4465" w:rsidRDefault="00E04A71" w:rsidP="006A4E16">
      <w:pPr>
        <w:ind w:left="1440"/>
      </w:pPr>
      <w:r w:rsidRPr="00CA4465">
        <w:t xml:space="preserve">“When the agency’s construction of its own regulation is at issue, however, considerable deference is given to the agency interpretation, especially when the relevant language is unclear or susceptible to different interpretations.  If a regulation is ambiguous, agency interpretation will generally be upheld if it is reasonable.  No deference is given to the agency interpretation if the language of the regulation is clear and capable of [being understood]; therefore, the court may substitute its own judgment.”  </w:t>
      </w:r>
      <w:r w:rsidRPr="00CA4465">
        <w:rPr>
          <w:i/>
          <w:iCs/>
        </w:rPr>
        <w:t>St. Otto’s Home v. Minn. Dep’t of Human Servs.</w:t>
      </w:r>
      <w:r w:rsidRPr="00CA4465">
        <w:t xml:space="preserve">, 437 N.W.2d 35, 40 (Minn. 1989) (footnote omitted) (citations omitted). </w:t>
      </w:r>
    </w:p>
    <w:p w:rsidR="005934AE" w:rsidRDefault="005934AE" w:rsidP="006A4E16"/>
    <w:p w:rsidR="00CE1338" w:rsidRDefault="00CE1338" w:rsidP="006A4E16">
      <w:pPr>
        <w:ind w:left="1440"/>
      </w:pPr>
      <w:r w:rsidRPr="00CA4465">
        <w:t xml:space="preserve">“When an agency’s regulation is ambiguous, we will give deference to the agency’s interpretation and will generally uphold that interpretation if it is reasonable.”  </w:t>
      </w:r>
      <w:r w:rsidRPr="00CA4465">
        <w:rPr>
          <w:i/>
        </w:rPr>
        <w:t>Risdall v. Brown-Wilbert, Inc.</w:t>
      </w:r>
      <w:r w:rsidRPr="00CA4465">
        <w:t>, 753 N.W.2d 723, 733 (Minn. 2008) (quotation omitted).</w:t>
      </w:r>
    </w:p>
    <w:p w:rsidR="00F3112D" w:rsidRDefault="00F3112D" w:rsidP="006A4E16">
      <w:pPr>
        <w:ind w:left="1440"/>
      </w:pPr>
    </w:p>
    <w:p w:rsidR="00F3112D" w:rsidRDefault="00F3112D" w:rsidP="006A4E16">
      <w:pPr>
        <w:ind w:left="1440"/>
      </w:pPr>
      <w:r>
        <w:t xml:space="preserve">The appellate court will defer to the agency’s expertise and special knowledge “when (1) the agency is interpreting a regulation that is unclear and susceptible to more than one interpretation; and (2) the agency’s interpretation is reasonable.”  </w:t>
      </w:r>
      <w:r>
        <w:rPr>
          <w:i/>
        </w:rPr>
        <w:t>In re Annandale NPDES/SDS Permit Issuance</w:t>
      </w:r>
      <w:r>
        <w:t xml:space="preserve">, 731 N.W.2d 502, 515 (Minn. 2007).  The appellate court will also “consider the agency’s expertise and special knowledge when reviewing an agency’s application of a regulation when application of the regulation is primarily factual and necessarily requires application of the agency’s technical knowledge and expertise to the facts presented.”  </w:t>
      </w:r>
      <w:r>
        <w:rPr>
          <w:i/>
        </w:rPr>
        <w:t>Id.</w:t>
      </w:r>
      <w:r>
        <w:t xml:space="preserve"> n.9 (quotation omitted).</w:t>
      </w:r>
    </w:p>
    <w:p w:rsidR="005E0DC3" w:rsidRDefault="005E0DC3" w:rsidP="006A4E16">
      <w:pPr>
        <w:ind w:left="1440"/>
      </w:pPr>
    </w:p>
    <w:p w:rsidR="005E0DC3" w:rsidRPr="00CA4465" w:rsidRDefault="005E0DC3" w:rsidP="006A4E16">
      <w:pPr>
        <w:ind w:left="1440"/>
      </w:pPr>
      <w:r w:rsidRPr="00CA4465">
        <w:t xml:space="preserve">“[T]here are several factors courts need to consider when determining whether to give deference to an agency’s interpretation [of its own regulation].  These factors include whether the agency is legally required to enforce and administer the regulation under review and whether the meaning of the words in the regulation is clear and unambiguous or is unclear and susceptible to different reasonable interpretations—ambiguous.”  </w:t>
      </w:r>
      <w:r w:rsidRPr="00CA4465">
        <w:rPr>
          <w:i/>
        </w:rPr>
        <w:t>In re Annandale NPDES/SDS Permit Issuance</w:t>
      </w:r>
      <w:r w:rsidRPr="00CA4465">
        <w:t>, 731 N.W.2d 502, 516 (Minn. 2007).</w:t>
      </w:r>
    </w:p>
    <w:p w:rsidR="005E0DC3" w:rsidRPr="00CA4465" w:rsidRDefault="005E0DC3" w:rsidP="006A4E16">
      <w:pPr>
        <w:ind w:left="1440"/>
      </w:pPr>
    </w:p>
    <w:p w:rsidR="005E0DC3" w:rsidRPr="00CA4465" w:rsidRDefault="005E0DC3" w:rsidP="006A4E16">
      <w:pPr>
        <w:ind w:left="1440"/>
      </w:pPr>
      <w:r w:rsidRPr="00CA4465">
        <w:t xml:space="preserve">“When the language of a regulation is unclear or susceptible to different interpretations, we consider several factors to determine the level of judicial deference afforded to the agency’s interpretation.  First, we consider the nature of the regulation at issue. . . . Second, we consider the agency’s expertise and judgment; specifically, we examine whether the subject matter of the regulation is within the agency’s technical training, education, and experience. . . . Third, we will defer to the agency’s expertise and special knowledge when the agency’s interpretation of an unclear regulation is reasonable.”  </w:t>
      </w:r>
      <w:r w:rsidRPr="00CA4465">
        <w:rPr>
          <w:i/>
        </w:rPr>
        <w:t xml:space="preserve">In re Alexandria Lake Area </w:t>
      </w:r>
      <w:r w:rsidRPr="00CA4465">
        <w:rPr>
          <w:i/>
        </w:rPr>
        <w:lastRenderedPageBreak/>
        <w:t>Sanitary Dist. NPDES/SDS Permit</w:t>
      </w:r>
      <w:r w:rsidRPr="00CA4465">
        <w:t>, 763 N.W.2d 303, 312-13 (Minn. 2009) (quotation and citations omitted).</w:t>
      </w:r>
    </w:p>
    <w:p w:rsidR="00644BD0" w:rsidRDefault="005934AE" w:rsidP="00337FFA">
      <w:pPr>
        <w:pStyle w:val="Heading3"/>
      </w:pPr>
      <w:bookmarkStart w:id="556" w:name="_Toc395604725"/>
      <w:r>
        <w:t>6.</w:t>
      </w:r>
      <w:r>
        <w:tab/>
        <w:t>Findings of Fact</w:t>
      </w:r>
      <w:bookmarkEnd w:id="556"/>
    </w:p>
    <w:p w:rsidR="00644BD0" w:rsidRPr="00CA4465" w:rsidRDefault="00644BD0" w:rsidP="006A4E16">
      <w:pPr>
        <w:ind w:left="720"/>
      </w:pPr>
      <w:r w:rsidRPr="00CA4465">
        <w:t xml:space="preserve">“With respect to factual findings made by the agency in its judicial capacity, if the record contains substantial evidence supporting a factual finding, the agency’s decision must be affirmed.”  </w:t>
      </w:r>
      <w:r>
        <w:rPr>
          <w:i/>
        </w:rPr>
        <w:t>In re Excelsior Energy, Inc.</w:t>
      </w:r>
      <w:r>
        <w:t>, 782 N.W.2d 282, 290 (Minn. App. 2010) (quotation omitted).</w:t>
      </w:r>
    </w:p>
    <w:p w:rsidR="00644BD0" w:rsidRPr="00CA4465" w:rsidRDefault="00644BD0" w:rsidP="006A4E16">
      <w:pPr>
        <w:ind w:left="720"/>
      </w:pPr>
    </w:p>
    <w:p w:rsidR="00644BD0" w:rsidRPr="00CA4465" w:rsidRDefault="00644BD0" w:rsidP="006A4E16">
      <w:pPr>
        <w:ind w:left="720"/>
      </w:pPr>
      <w:r>
        <w:t xml:space="preserve">The </w:t>
      </w:r>
      <w:r w:rsidRPr="00CA4465">
        <w:t>reviewing court m</w:t>
      </w:r>
      <w:r>
        <w:t xml:space="preserve">ust not </w:t>
      </w:r>
      <w:r w:rsidRPr="00CA4465">
        <w:t xml:space="preserve">substitute its judgment for that of the administrative body when </w:t>
      </w:r>
      <w:r>
        <w:t>its</w:t>
      </w:r>
      <w:r w:rsidRPr="00CA4465">
        <w:t xml:space="preserve"> findings </w:t>
      </w:r>
      <w:r>
        <w:t xml:space="preserve">are </w:t>
      </w:r>
      <w:r w:rsidRPr="00CA4465">
        <w:t xml:space="preserve">properly supported by evidence.  </w:t>
      </w:r>
      <w:r>
        <w:rPr>
          <w:i/>
          <w:iCs/>
        </w:rPr>
        <w:t xml:space="preserve">In re Denial of Eller Media Co.’s Applications for Outdoor Device Advert. </w:t>
      </w:r>
      <w:r w:rsidRPr="004E48F2">
        <w:rPr>
          <w:i/>
          <w:iCs/>
        </w:rPr>
        <w:t>Permits</w:t>
      </w:r>
      <w:r>
        <w:rPr>
          <w:iCs/>
        </w:rPr>
        <w:t>, 664 N.W.2d 1, 7 (Minn. 2003)</w:t>
      </w:r>
      <w:r w:rsidRPr="00CA4465">
        <w:t>.</w:t>
      </w:r>
    </w:p>
    <w:p w:rsidR="00644BD0" w:rsidRPr="00CA4465" w:rsidRDefault="00644BD0" w:rsidP="006A4E16">
      <w:pPr>
        <w:ind w:left="720"/>
      </w:pPr>
    </w:p>
    <w:p w:rsidR="00644BD0" w:rsidRDefault="00644BD0" w:rsidP="00177214">
      <w:pPr>
        <w:ind w:left="720"/>
      </w:pPr>
      <w:r w:rsidRPr="00CA4465">
        <w:t xml:space="preserve">“We defer to an agency’s conclusion regarding conflicts in testimony, the weight given to expert testimony and the inferences to be drawn from testimony.”  </w:t>
      </w:r>
      <w:r w:rsidRPr="00CA4465">
        <w:rPr>
          <w:i/>
        </w:rPr>
        <w:t>In re Excess Surplus Status of Blue Cross &amp; Blue Shield of Minn.</w:t>
      </w:r>
      <w:r w:rsidRPr="00CA4465">
        <w:t>, 624 N.W.2d 264, 278 (Minn. 2001).</w:t>
      </w:r>
    </w:p>
    <w:p w:rsidR="00602759" w:rsidRDefault="00602759" w:rsidP="00177214">
      <w:pPr>
        <w:ind w:left="720"/>
      </w:pPr>
    </w:p>
    <w:p w:rsidR="00602759" w:rsidRDefault="00602759" w:rsidP="00602759">
      <w:pPr>
        <w:ind w:left="720"/>
      </w:pPr>
      <w:r>
        <w:t>“[A] s</w:t>
      </w:r>
      <w:r w:rsidRPr="00CA4465">
        <w:t xml:space="preserve">ubstantial judicial deference is </w:t>
      </w:r>
      <w:r>
        <w:t>to be accorded to the fact-finding processes of the administrative</w:t>
      </w:r>
      <w:r w:rsidRPr="00CA4465">
        <w:t xml:space="preserve"> </w:t>
      </w:r>
      <w:r>
        <w:t xml:space="preserve">agency.”  </w:t>
      </w:r>
      <w:r>
        <w:rPr>
          <w:i/>
        </w:rPr>
        <w:t>In re Excess Surplus Status of Blue Cross &amp; Blue Shield of Minn.</w:t>
      </w:r>
      <w:r w:rsidRPr="00CA4465">
        <w:t xml:space="preserve">, </w:t>
      </w:r>
      <w:r>
        <w:t>6</w:t>
      </w:r>
      <w:r w:rsidRPr="00CA4465">
        <w:t>2</w:t>
      </w:r>
      <w:r>
        <w:t>4</w:t>
      </w:r>
      <w:r w:rsidRPr="00CA4465">
        <w:t xml:space="preserve"> N.W.2d </w:t>
      </w:r>
      <w:r>
        <w:t>264, 279 (Minn. 2001) (quotation omitted)</w:t>
      </w:r>
      <w:r w:rsidRPr="00CA4465">
        <w:t>.</w:t>
      </w:r>
    </w:p>
    <w:p w:rsidR="00602759" w:rsidRDefault="00602759" w:rsidP="00602759">
      <w:pPr>
        <w:ind w:left="720"/>
      </w:pPr>
    </w:p>
    <w:p w:rsidR="00602759" w:rsidRPr="00CA4465" w:rsidRDefault="00602759" w:rsidP="00602759">
      <w:pPr>
        <w:ind w:left="720"/>
      </w:pPr>
      <w:r w:rsidRPr="00CA4465">
        <w:t xml:space="preserve">“We defer to an agency’s conclusions regarding conflicts in testimony, the weight given to expert testimony and the inferences to be drawn from testimony.”  </w:t>
      </w:r>
      <w:r w:rsidRPr="00CA4465">
        <w:rPr>
          <w:i/>
          <w:iCs/>
        </w:rPr>
        <w:t>In re Excess Surplus Status of Blue Cross &amp; Blue Shield of Minn.</w:t>
      </w:r>
      <w:r w:rsidRPr="00CA4465">
        <w:t>, 624 N.W.2d 264, 278 (Minn. 2001).</w:t>
      </w:r>
    </w:p>
    <w:p w:rsidR="00602759" w:rsidRPr="00CA4465" w:rsidRDefault="00602759" w:rsidP="00602759">
      <w:pPr>
        <w:ind w:left="720"/>
      </w:pPr>
    </w:p>
    <w:p w:rsidR="00602759" w:rsidRPr="00CA4465" w:rsidRDefault="00602759" w:rsidP="00602759">
      <w:pPr>
        <w:ind w:left="720"/>
      </w:pPr>
      <w:r w:rsidRPr="00CA4465">
        <w:t xml:space="preserve">Absent manifest injustice, inferences drawn from the evidence by an agency must be accepted by a reviewing court “even though it may appear that contrary inferences would be better supported or that the reviewing court would be inclined to reach a different result were it the trier of fact.”  </w:t>
      </w:r>
      <w:r w:rsidRPr="00CA4465">
        <w:rPr>
          <w:i/>
          <w:iCs/>
        </w:rPr>
        <w:t>Ellis v. Minneapolis Comm’n on Civil Rights</w:t>
      </w:r>
      <w:r w:rsidRPr="00CA4465">
        <w:t>, 295 N.W.2d 523, 525 (Minn. 1980).</w:t>
      </w:r>
    </w:p>
    <w:p w:rsidR="0020417C" w:rsidRDefault="004F10A3" w:rsidP="00604DD4">
      <w:pPr>
        <w:pStyle w:val="Heading2"/>
      </w:pPr>
      <w:bookmarkStart w:id="557" w:name="_Toc48979708"/>
      <w:bookmarkStart w:id="558" w:name="_Toc395604726"/>
      <w:r w:rsidRPr="00CA4465">
        <w:t>B.</w:t>
      </w:r>
      <w:r w:rsidRPr="00CA4465">
        <w:tab/>
      </w:r>
      <w:bookmarkEnd w:id="557"/>
      <w:r w:rsidR="00C86577">
        <w:t>QUASI-JUDICIAL DECISION-MAKING</w:t>
      </w:r>
      <w:bookmarkEnd w:id="558"/>
    </w:p>
    <w:p w:rsidR="0020417C" w:rsidRPr="0020417C" w:rsidRDefault="0020417C" w:rsidP="00337FFA">
      <w:pPr>
        <w:pStyle w:val="Heading3"/>
      </w:pPr>
      <w:bookmarkStart w:id="559" w:name="_Toc395604727"/>
      <w:r>
        <w:t>1.</w:t>
      </w:r>
      <w:r>
        <w:tab/>
        <w:t>Defined</w:t>
      </w:r>
      <w:bookmarkEnd w:id="559"/>
    </w:p>
    <w:p w:rsidR="006541D1" w:rsidRPr="006541D1" w:rsidRDefault="006541D1" w:rsidP="006541D1">
      <w:pPr>
        <w:ind w:left="720"/>
      </w:pPr>
      <w:r w:rsidRPr="006541D1">
        <w:t xml:space="preserve"> “An agency acts in a quasi-judicial manner when the commission hears the view of opposing sides presented in the form of written and oral testimony, examines the record and makes findings of fact.”  </w:t>
      </w:r>
      <w:r w:rsidRPr="006541D1">
        <w:rPr>
          <w:i/>
        </w:rPr>
        <w:t>In re North Metro Harness, Inc.</w:t>
      </w:r>
      <w:r w:rsidRPr="006541D1">
        <w:t xml:space="preserve">, 711 N.W.2d 129, 137 (Minn. App. 2006) (quotation omitted), </w:t>
      </w:r>
      <w:r w:rsidRPr="006541D1">
        <w:rPr>
          <w:i/>
        </w:rPr>
        <w:t>review denied</w:t>
      </w:r>
      <w:r w:rsidRPr="006541D1">
        <w:t xml:space="preserve"> (Minn. June 20, 2006).</w:t>
      </w:r>
    </w:p>
    <w:p w:rsidR="0020417C" w:rsidRDefault="0020417C" w:rsidP="00337FFA">
      <w:pPr>
        <w:pStyle w:val="Heading3"/>
      </w:pPr>
      <w:bookmarkStart w:id="560" w:name="_Toc395604728"/>
      <w:r>
        <w:t>2.</w:t>
      </w:r>
      <w:r>
        <w:tab/>
      </w:r>
      <w:r w:rsidR="00860677">
        <w:t xml:space="preserve">Review When Minnesota Administrative Procedures Act </w:t>
      </w:r>
      <w:r w:rsidR="007C7FF5">
        <w:t xml:space="preserve">(MAPA) </w:t>
      </w:r>
      <w:r w:rsidR="00860677">
        <w:t>Applies</w:t>
      </w:r>
      <w:bookmarkEnd w:id="560"/>
    </w:p>
    <w:p w:rsidR="006541D1" w:rsidRDefault="0002012A" w:rsidP="00300AEE">
      <w:pPr>
        <w:pStyle w:val="Heading4"/>
      </w:pPr>
      <w:bookmarkStart w:id="561" w:name="_Toc395604729"/>
      <w:r>
        <w:t>a.</w:t>
      </w:r>
      <w:r>
        <w:tab/>
        <w:t>Contested Case D</w:t>
      </w:r>
      <w:r w:rsidR="006541D1">
        <w:t>efined</w:t>
      </w:r>
      <w:bookmarkEnd w:id="561"/>
    </w:p>
    <w:p w:rsidR="006541D1" w:rsidRPr="006541D1" w:rsidRDefault="006541D1" w:rsidP="006541D1">
      <w:pPr>
        <w:ind w:left="1440"/>
      </w:pPr>
      <w:r w:rsidRPr="006541D1">
        <w:t>A “contested case” is “a proceeding before an agency in which the legal rights, duties, or privileges of specific parties are required by law or constitutional right to be determined after an agency hearing.”  Mi</w:t>
      </w:r>
      <w:r w:rsidR="009F0A80">
        <w:t>nn. Stat. § 14.02, subd. 3 (2012</w:t>
      </w:r>
      <w:r w:rsidRPr="006541D1">
        <w:t xml:space="preserve">). </w:t>
      </w:r>
    </w:p>
    <w:p w:rsidR="00860677" w:rsidRDefault="006541D1" w:rsidP="00300AEE">
      <w:pPr>
        <w:pStyle w:val="Heading4"/>
      </w:pPr>
      <w:bookmarkStart w:id="562" w:name="_Toc395604730"/>
      <w:r>
        <w:lastRenderedPageBreak/>
        <w:t>b.</w:t>
      </w:r>
      <w:r>
        <w:tab/>
        <w:t>Standard of Review</w:t>
      </w:r>
      <w:bookmarkEnd w:id="562"/>
      <w:r>
        <w:t xml:space="preserve"> </w:t>
      </w:r>
    </w:p>
    <w:p w:rsidR="00D527AC" w:rsidRPr="00CA4465" w:rsidRDefault="00D527AC" w:rsidP="00D527AC">
      <w:pPr>
        <w:ind w:left="1440"/>
      </w:pPr>
      <w:r w:rsidRPr="00CA4465">
        <w:t>“In a judicial review [of a contested-case hearing] the court may affirm the decision of the agency or remand the case for further proceedings; or it may reverse or modify the decision if the substantial rights of the petitioners may have been prejudiced because the administrative finding, inferences, conclusion, or decisions are:</w:t>
      </w:r>
    </w:p>
    <w:p w:rsidR="00D527AC" w:rsidRPr="00CA4465" w:rsidRDefault="00D527AC" w:rsidP="00D527AC">
      <w:pPr>
        <w:ind w:left="1440"/>
      </w:pPr>
    </w:p>
    <w:p w:rsidR="00D527AC" w:rsidRPr="00CA4465" w:rsidRDefault="00D527AC" w:rsidP="00D527AC">
      <w:pPr>
        <w:ind w:left="3600" w:hanging="720"/>
      </w:pPr>
      <w:r w:rsidRPr="00CA4465">
        <w:t>(a)</w:t>
      </w:r>
      <w:r w:rsidRPr="00CA4465">
        <w:tab/>
        <w:t>in violation of constitutional provisions; or</w:t>
      </w:r>
    </w:p>
    <w:p w:rsidR="00D527AC" w:rsidRPr="00CA4465" w:rsidRDefault="00D527AC" w:rsidP="00D527AC">
      <w:pPr>
        <w:ind w:left="3600" w:hanging="720"/>
      </w:pPr>
      <w:r w:rsidRPr="00CA4465">
        <w:t>(b)</w:t>
      </w:r>
      <w:r w:rsidRPr="00CA4465">
        <w:tab/>
        <w:t>in excess of the statutory authority or jurisdiction of the agency; or</w:t>
      </w:r>
    </w:p>
    <w:p w:rsidR="00D527AC" w:rsidRPr="00CA4465" w:rsidRDefault="00D527AC" w:rsidP="00D527AC">
      <w:pPr>
        <w:ind w:left="3600" w:hanging="720"/>
      </w:pPr>
      <w:r w:rsidRPr="00CA4465">
        <w:t>(c)</w:t>
      </w:r>
      <w:r w:rsidRPr="00CA4465">
        <w:tab/>
        <w:t>made upon unlawful procedure; or</w:t>
      </w:r>
    </w:p>
    <w:p w:rsidR="00D527AC" w:rsidRPr="00CA4465" w:rsidRDefault="00D527AC" w:rsidP="00D527AC">
      <w:pPr>
        <w:ind w:left="3600" w:hanging="720"/>
      </w:pPr>
      <w:r>
        <w:t>(</w:t>
      </w:r>
      <w:r w:rsidRPr="00CA4465">
        <w:t>d)</w:t>
      </w:r>
      <w:r w:rsidRPr="00CA4465">
        <w:tab/>
        <w:t xml:space="preserve">affected by other error of law; or </w:t>
      </w:r>
    </w:p>
    <w:p w:rsidR="00D527AC" w:rsidRPr="00CA4465" w:rsidRDefault="00D527AC" w:rsidP="00D527AC">
      <w:pPr>
        <w:ind w:left="3600" w:hanging="720"/>
      </w:pPr>
      <w:r w:rsidRPr="00CA4465">
        <w:t>(e)</w:t>
      </w:r>
      <w:r w:rsidRPr="00CA4465">
        <w:tab/>
        <w:t>unsupported by substantial evidence in view of the entire record as submitted; or</w:t>
      </w:r>
    </w:p>
    <w:p w:rsidR="00D527AC" w:rsidRPr="00CA4465" w:rsidRDefault="00D527AC" w:rsidP="00D527AC">
      <w:pPr>
        <w:ind w:left="3600" w:hanging="720"/>
      </w:pPr>
      <w:r w:rsidRPr="00CA4465">
        <w:t>(f)</w:t>
      </w:r>
      <w:r w:rsidRPr="00CA4465">
        <w:tab/>
        <w:t>arbitrary or capricious.”</w:t>
      </w:r>
    </w:p>
    <w:p w:rsidR="00D527AC" w:rsidRPr="00CA4465" w:rsidRDefault="00D527AC" w:rsidP="00D527AC"/>
    <w:p w:rsidR="00D527AC" w:rsidRDefault="00D527AC" w:rsidP="00D527AC">
      <w:pPr>
        <w:ind w:left="1440"/>
      </w:pPr>
      <w:r w:rsidRPr="00CA4465">
        <w:t>Minn. Stat. § 14.69 (20</w:t>
      </w:r>
      <w:r>
        <w:t>1</w:t>
      </w:r>
      <w:r w:rsidR="00562F76">
        <w:t>2</w:t>
      </w:r>
      <w:r w:rsidRPr="00CA4465">
        <w:t>).</w:t>
      </w:r>
    </w:p>
    <w:p w:rsidR="00860677" w:rsidRDefault="00860677" w:rsidP="00337FFA">
      <w:pPr>
        <w:pStyle w:val="Heading3"/>
      </w:pPr>
      <w:bookmarkStart w:id="563" w:name="_Toc395604731"/>
      <w:r>
        <w:t>3.</w:t>
      </w:r>
      <w:r>
        <w:tab/>
        <w:t>Review Under Common-Law Standard</w:t>
      </w:r>
      <w:bookmarkEnd w:id="563"/>
    </w:p>
    <w:p w:rsidR="00D527AC" w:rsidRPr="00D73BE0" w:rsidRDefault="00D527AC" w:rsidP="00514724">
      <w:pPr>
        <w:ind w:left="720"/>
      </w:pPr>
      <w:r w:rsidRPr="00D73BE0">
        <w:t xml:space="preserve">“On certiorari appeal from a quasi-judicial agency decision not subject to the </w:t>
      </w:r>
      <w:r w:rsidR="00F07D89" w:rsidRPr="00D73BE0">
        <w:t xml:space="preserve">[Minnesota] </w:t>
      </w:r>
      <w:r w:rsidRPr="00D73BE0">
        <w:t xml:space="preserve">Administrative Procedure Act, we examine the record to review questions affecting the jurisdiction of the [agency], the regularity of its proceedings, and, as to the merits of the controversy, whether the order or determination in a particular case was arbitrary, oppressive, unreasonable, fraudulent, under an erroneous theory of law, or without any evidence to support it.”  </w:t>
      </w:r>
      <w:r w:rsidRPr="00D73BE0">
        <w:rPr>
          <w:i/>
        </w:rPr>
        <w:t>Anderson v. Comm’r of Health</w:t>
      </w:r>
      <w:r w:rsidRPr="00D73BE0">
        <w:t xml:space="preserve">, 811 N.W.2d 162, 165 (Minn. App. 2012), </w:t>
      </w:r>
      <w:r w:rsidRPr="00D73BE0">
        <w:rPr>
          <w:i/>
        </w:rPr>
        <w:t>review denied</w:t>
      </w:r>
      <w:r w:rsidRPr="00D73BE0">
        <w:t xml:space="preserve"> (Minn. Apr. 17, 2012).  </w:t>
      </w:r>
    </w:p>
    <w:p w:rsidR="00D527AC" w:rsidRPr="00D73BE0" w:rsidRDefault="00D527AC" w:rsidP="00514724"/>
    <w:p w:rsidR="00602759" w:rsidRPr="00D73BE0" w:rsidRDefault="00602759" w:rsidP="00514724">
      <w:pPr>
        <w:ind w:left="720"/>
      </w:pPr>
      <w:r w:rsidRPr="00D73BE0">
        <w:t xml:space="preserve">“An agency’s quasi-judicial determinations will be upheld unless they are unconstitutional, outside the agency’s jurisdiction, procedurally defective, based on an erroneous legal theory, unsupported by substantial evidence, or arbitrary and capricious.”  </w:t>
      </w:r>
      <w:r w:rsidRPr="00D73BE0">
        <w:rPr>
          <w:i/>
        </w:rPr>
        <w:t>Cole v. Metro. Council HRA</w:t>
      </w:r>
      <w:r w:rsidRPr="00D73BE0">
        <w:t>, 686 N.W.2d 334, 336 (Minn. App. 2004) (quotation omitted).</w:t>
      </w:r>
    </w:p>
    <w:p w:rsidR="00D470E5" w:rsidRPr="00D73BE0" w:rsidRDefault="00D470E5" w:rsidP="00514724">
      <w:pPr>
        <w:ind w:left="720"/>
      </w:pPr>
    </w:p>
    <w:p w:rsidR="00D470E5" w:rsidRPr="003E413E" w:rsidRDefault="00D470E5" w:rsidP="00514724">
      <w:pPr>
        <w:ind w:left="720"/>
      </w:pPr>
      <w:r w:rsidRPr="003E413E">
        <w:t xml:space="preserve">“A quasi-judicial decision of an agency that does not have statewide jurisdiction will be reversed if the decision is fraudulent, arbitrary, unreasonable, unsupported by substantial evidence, not within its jurisdiction, or based on an error of law.”  </w:t>
      </w:r>
      <w:r w:rsidRPr="003E413E">
        <w:rPr>
          <w:i/>
        </w:rPr>
        <w:t>Axelson v. Minneapolis Teacher’s Retirement Fund Ass’n</w:t>
      </w:r>
      <w:r w:rsidRPr="003E413E">
        <w:t>, 544 N.W.2d 297, 299 (</w:t>
      </w:r>
      <w:r w:rsidR="003E413E" w:rsidRPr="003E413E">
        <w:t xml:space="preserve">Minn. </w:t>
      </w:r>
      <w:r w:rsidRPr="003E413E">
        <w:t>1996)</w:t>
      </w:r>
      <w:r w:rsidR="003E413E" w:rsidRPr="003E413E">
        <w:t xml:space="preserve"> (citing </w:t>
      </w:r>
      <w:r w:rsidR="003E413E" w:rsidRPr="003E413E">
        <w:rPr>
          <w:i/>
        </w:rPr>
        <w:t>Dokmo v. Indep. Sch. Dist. No. 11</w:t>
      </w:r>
      <w:r w:rsidR="003E413E" w:rsidRPr="003E413E">
        <w:t>, 459 N.W.2d 671, 675 (Minn. 1990)</w:t>
      </w:r>
      <w:r w:rsidRPr="003E413E">
        <w:t xml:space="preserve">.  </w:t>
      </w:r>
    </w:p>
    <w:p w:rsidR="007C7FF5" w:rsidRPr="00D73BE0" w:rsidRDefault="007C7FF5" w:rsidP="00514724">
      <w:pPr>
        <w:ind w:left="720"/>
        <w:rPr>
          <w:highlight w:val="yellow"/>
        </w:rPr>
      </w:pPr>
    </w:p>
    <w:p w:rsidR="007C7FF5" w:rsidRPr="00D470E5" w:rsidRDefault="007C7FF5" w:rsidP="00514724">
      <w:pPr>
        <w:ind w:left="720"/>
      </w:pPr>
      <w:r w:rsidRPr="003E413E">
        <w:t xml:space="preserve">The MAPA “scope of review is similar to the common law scope of review on certiorari.  Thus, the same standard applies regardless of the applicability of [MAPA].”  </w:t>
      </w:r>
      <w:r w:rsidR="005D3A8E" w:rsidRPr="003E413E">
        <w:rPr>
          <w:i/>
        </w:rPr>
        <w:t>Staeheli v. City of St. Paul</w:t>
      </w:r>
      <w:r w:rsidR="005D3A8E" w:rsidRPr="003E413E">
        <w:t>, 732 N.W.2d 298, 304 n.1 (Minn. App. 2007) (acknowledging that MAPA has sometimes been cited in cases to which it does not apply).</w:t>
      </w:r>
      <w:r w:rsidR="005D3A8E">
        <w:t xml:space="preserve">  </w:t>
      </w:r>
    </w:p>
    <w:p w:rsidR="00860677" w:rsidRDefault="00860677" w:rsidP="00337FFA">
      <w:pPr>
        <w:pStyle w:val="Heading3"/>
      </w:pPr>
      <w:bookmarkStart w:id="564" w:name="_Toc395604732"/>
      <w:r>
        <w:lastRenderedPageBreak/>
        <w:t>4.</w:t>
      </w:r>
      <w:r>
        <w:tab/>
        <w:t>Review of District Court Decision</w:t>
      </w:r>
      <w:bookmarkEnd w:id="564"/>
    </w:p>
    <w:p w:rsidR="001F7A4E" w:rsidRDefault="001F7A4E" w:rsidP="001F7A4E">
      <w:pPr>
        <w:ind w:left="720"/>
      </w:pPr>
      <w:r w:rsidRPr="00CA4465">
        <w:t xml:space="preserve">“Where the [district] court reviewing an agency decision makes independent factual determinations and otherwise acts as a court of first impression, this court applies the clearly erroneous standard of review.  Where, on the other hand, the [district] court is itself acting as an appellate tribunal with respect to the agency decision, this court will independently review the agency’s record.”  </w:t>
      </w:r>
      <w:r w:rsidRPr="00CA4465">
        <w:rPr>
          <w:i/>
          <w:iCs/>
        </w:rPr>
        <w:t>In re Hutchinson</w:t>
      </w:r>
      <w:r w:rsidRPr="00CA4465">
        <w:t xml:space="preserve">, 440 N.W.2d 171, 175 (Minn. App. 1989) (citations and quotation marks omitted), </w:t>
      </w:r>
      <w:r w:rsidRPr="00CA4465">
        <w:rPr>
          <w:i/>
          <w:iCs/>
        </w:rPr>
        <w:t xml:space="preserve">review denied </w:t>
      </w:r>
      <w:r>
        <w:t xml:space="preserve">(Minn. Aug. 9, 1989); </w:t>
      </w:r>
      <w:r>
        <w:rPr>
          <w:i/>
        </w:rPr>
        <w:t>see also In re Expulsion of N.Y.B.</w:t>
      </w:r>
      <w:r>
        <w:t>, 750 N.W.2d 318, 323-24 (Minn. App. 2008).</w:t>
      </w:r>
    </w:p>
    <w:p w:rsidR="001F7A4E" w:rsidRPr="008C2F50" w:rsidRDefault="001F7A4E" w:rsidP="001F7A4E">
      <w:pPr>
        <w:ind w:left="720"/>
      </w:pPr>
    </w:p>
    <w:p w:rsidR="00B51B1C" w:rsidRPr="008C2F50" w:rsidRDefault="00B51B1C" w:rsidP="001F7A4E">
      <w:pPr>
        <w:ind w:left="720"/>
      </w:pPr>
      <w:r w:rsidRPr="00CA4465">
        <w:t xml:space="preserve">“[I]f the [district] court conducts a </w:t>
      </w:r>
      <w:r w:rsidRPr="001B3A6B">
        <w:rPr>
          <w:iCs/>
        </w:rPr>
        <w:t>de novo</w:t>
      </w:r>
      <w:r w:rsidRPr="00CA4465">
        <w:t xml:space="preserve"> hearing, then appellate inquiry is limited to whether the district court’s findings are clearly erroneous.”  </w:t>
      </w:r>
      <w:r w:rsidRPr="00CA4465">
        <w:rPr>
          <w:i/>
          <w:iCs/>
        </w:rPr>
        <w:t>Fisher Nut Co. v. Lewis ex rel. Garcia</w:t>
      </w:r>
      <w:r w:rsidRPr="00CA4465">
        <w:t>, 320 N.W.2d 731, 734 (Minn. 1982).</w:t>
      </w:r>
      <w:r>
        <w:t xml:space="preserve">  </w:t>
      </w:r>
    </w:p>
    <w:p w:rsidR="00B51B1C" w:rsidRPr="00CA4465" w:rsidRDefault="00B51B1C" w:rsidP="00B51B1C">
      <w:pPr>
        <w:ind w:left="720"/>
      </w:pPr>
    </w:p>
    <w:p w:rsidR="00B51B1C" w:rsidRPr="008C2F50" w:rsidRDefault="00B51B1C" w:rsidP="00B51B1C">
      <w:pPr>
        <w:ind w:left="720"/>
      </w:pPr>
      <w:r w:rsidRPr="00CA4465">
        <w:t xml:space="preserve">“In reviewing decisions of administrative agencies, [an appellate court] is not bound by the district court’s decision.  [The appellate court] may conduct an independent examination of the administrative agency’s record and decision and arrive at its own conclusions as to the propriety of that determination.”  </w:t>
      </w:r>
      <w:r w:rsidRPr="00CA4465">
        <w:rPr>
          <w:i/>
        </w:rPr>
        <w:t>Signal Delivery Serv., Inc. v. Brynwood Transfer Co.</w:t>
      </w:r>
      <w:r>
        <w:t>,</w:t>
      </w:r>
      <w:r w:rsidRPr="00CA4465">
        <w:rPr>
          <w:i/>
        </w:rPr>
        <w:t xml:space="preserve"> </w:t>
      </w:r>
      <w:r w:rsidRPr="003E413E">
        <w:t>2</w:t>
      </w:r>
      <w:r w:rsidRPr="00CA4465">
        <w:t>88 N.W.2d 707, 710 (Minn.</w:t>
      </w:r>
      <w:r>
        <w:t xml:space="preserve"> 1980); </w:t>
      </w:r>
      <w:r>
        <w:rPr>
          <w:i/>
        </w:rPr>
        <w:t>see also In re Fin. Responsibility for Mental Health Servs. Provided to D.F.</w:t>
      </w:r>
      <w:r>
        <w:t>, 656 N.W.2d 576, 578 (Minn. App. 2003).</w:t>
      </w:r>
    </w:p>
    <w:p w:rsidR="004F10A3" w:rsidRPr="00CA4465" w:rsidRDefault="00860677" w:rsidP="00337FFA">
      <w:pPr>
        <w:pStyle w:val="Heading3"/>
      </w:pPr>
      <w:bookmarkStart w:id="565" w:name="_Toc48979712"/>
      <w:bookmarkStart w:id="566" w:name="_Toc395604733"/>
      <w:r>
        <w:t>5</w:t>
      </w:r>
      <w:r w:rsidR="004F10A3" w:rsidRPr="00CA4465">
        <w:t>.</w:t>
      </w:r>
      <w:r w:rsidR="004F10A3" w:rsidRPr="00CA4465">
        <w:tab/>
        <w:t>Arbitrary and Capricious</w:t>
      </w:r>
      <w:bookmarkEnd w:id="565"/>
      <w:bookmarkEnd w:id="566"/>
      <w:r w:rsidR="004F10A3" w:rsidRPr="00CA4465">
        <w:t xml:space="preserve"> </w:t>
      </w:r>
    </w:p>
    <w:p w:rsidR="004F10A3" w:rsidRPr="00CA4465" w:rsidRDefault="0063439C" w:rsidP="00395F1F">
      <w:pPr>
        <w:ind w:left="720"/>
      </w:pPr>
      <w:r w:rsidRPr="00CA4465">
        <w:t>“</w:t>
      </w:r>
      <w:r w:rsidR="00074078" w:rsidRPr="00CA4465">
        <w:t>[</w:t>
      </w:r>
      <w:r w:rsidRPr="00CA4465">
        <w:t>A</w:t>
      </w:r>
      <w:r w:rsidR="00074078" w:rsidRPr="00CA4465">
        <w:t>]</w:t>
      </w:r>
      <w:r w:rsidRPr="00CA4465">
        <w:t>n</w:t>
      </w:r>
      <w:r w:rsidR="004F10A3" w:rsidRPr="00CA4465">
        <w:t xml:space="preserve"> agency ruling is arbitrary and capricious if </w:t>
      </w:r>
      <w:r w:rsidRPr="00CA4465">
        <w:t>the agency</w:t>
      </w:r>
      <w:r w:rsidR="004F10A3" w:rsidRPr="00CA4465">
        <w:t xml:space="preserve"> (a) relied on factors not intended by the legislature; (b) entirely failed to consider an important aspect of the problem; (c) offered an explanation that runs counter to the evidence; or (d) the decision is so implausible that it could not be explained as a difference in view or the result of the agency’s expertise.”</w:t>
      </w:r>
      <w:r w:rsidR="00074078" w:rsidRPr="00CA4465">
        <w:t xml:space="preserve">  </w:t>
      </w:r>
      <w:r w:rsidR="00074078" w:rsidRPr="00CA4465">
        <w:rPr>
          <w:i/>
        </w:rPr>
        <w:t xml:space="preserve">Citizens Advocating Responsible Dev. v. Kandiyohi </w:t>
      </w:r>
      <w:r w:rsidR="00DC7EC2" w:rsidRPr="00CA4465">
        <w:rPr>
          <w:i/>
        </w:rPr>
        <w:t>Cnty.</w:t>
      </w:r>
      <w:r w:rsidR="00074078" w:rsidRPr="00CA4465">
        <w:rPr>
          <w:i/>
        </w:rPr>
        <w:t xml:space="preserve"> Bd. of Comm’rs</w:t>
      </w:r>
      <w:r w:rsidR="00074078" w:rsidRPr="00CA4465">
        <w:t>, 713 N.W.2d 817, 832 (Minn. 2006).</w:t>
      </w:r>
      <w:r w:rsidR="004F10A3" w:rsidRPr="00CA4465">
        <w:t xml:space="preserve">  </w:t>
      </w:r>
    </w:p>
    <w:p w:rsidR="00B04C9E" w:rsidRPr="00CA4465" w:rsidRDefault="00B04C9E" w:rsidP="00395F1F">
      <w:pPr>
        <w:ind w:left="720"/>
      </w:pPr>
    </w:p>
    <w:p w:rsidR="004F10A3" w:rsidRPr="00CA4465" w:rsidRDefault="002369BD" w:rsidP="00395F1F">
      <w:pPr>
        <w:ind w:left="720"/>
      </w:pPr>
      <w:r>
        <w:t>An</w:t>
      </w:r>
      <w:r w:rsidR="004F10A3" w:rsidRPr="00CA4465">
        <w:t xml:space="preserve"> agency’s conclusions are not arbitrary and capricious so long as</w:t>
      </w:r>
      <w:r>
        <w:t xml:space="preserve"> there is</w:t>
      </w:r>
      <w:r w:rsidR="004F10A3" w:rsidRPr="00CA4465">
        <w:t xml:space="preserve"> a rational connection between the facts found and the choice made.  </w:t>
      </w:r>
      <w:r w:rsidR="00C67168" w:rsidRPr="00CA4465">
        <w:rPr>
          <w:i/>
        </w:rPr>
        <w:t>In re Review of 2005 Annual Automatic Adjustment of Charges</w:t>
      </w:r>
      <w:r w:rsidR="00C67168" w:rsidRPr="00CA4465">
        <w:t>, 768 N.W.2d 112, 1</w:t>
      </w:r>
      <w:r w:rsidR="007B1C84">
        <w:t>20</w:t>
      </w:r>
      <w:r w:rsidR="00C67168" w:rsidRPr="00CA4465">
        <w:t xml:space="preserve"> (Minn. 2009) (quotation and citations omitted).</w:t>
      </w:r>
      <w:r w:rsidR="004F10A3" w:rsidRPr="00CA4465">
        <w:t xml:space="preserve"> </w:t>
      </w:r>
    </w:p>
    <w:p w:rsidR="004F10A3" w:rsidRPr="00CA4465" w:rsidRDefault="004F10A3" w:rsidP="00395F1F">
      <w:pPr>
        <w:ind w:left="720"/>
      </w:pPr>
    </w:p>
    <w:p w:rsidR="007A28CD" w:rsidRPr="00CA4465" w:rsidRDefault="007A28CD" w:rsidP="00395F1F">
      <w:pPr>
        <w:ind w:left="720"/>
      </w:pPr>
      <w:r w:rsidRPr="00CA4465">
        <w:t>“If there is room for two opinions on a matter</w:t>
      </w:r>
      <w:r w:rsidR="00B427EF" w:rsidRPr="00CA4465">
        <w:t>,</w:t>
      </w:r>
      <w:r w:rsidRPr="00CA4465">
        <w:t xml:space="preserve"> the </w:t>
      </w:r>
      <w:r w:rsidR="00E855B2" w:rsidRPr="00CA4465">
        <w:t>[</w:t>
      </w:r>
      <w:r w:rsidRPr="00CA4465">
        <w:t>c</w:t>
      </w:r>
      <w:r w:rsidR="00E855B2" w:rsidRPr="00CA4465">
        <w:t>]</w:t>
      </w:r>
      <w:r w:rsidRPr="00CA4465">
        <w:t xml:space="preserve">ommission’s decision is not arbitrary and capricious, even though the court may believe that an erroneous decision was reached.”  </w:t>
      </w:r>
      <w:r w:rsidRPr="00CA4465">
        <w:rPr>
          <w:i/>
        </w:rPr>
        <w:t>In re Review of 2005 Annual Automatic Adjustment of Charges</w:t>
      </w:r>
      <w:r w:rsidRPr="00CA4465">
        <w:t xml:space="preserve">, </w:t>
      </w:r>
      <w:r w:rsidR="00B427EF" w:rsidRPr="00CA4465">
        <w:t>768</w:t>
      </w:r>
      <w:r w:rsidRPr="00CA4465">
        <w:t xml:space="preserve"> N.W.2d </w:t>
      </w:r>
      <w:r w:rsidR="00B427EF" w:rsidRPr="00CA4465">
        <w:t>112</w:t>
      </w:r>
      <w:r w:rsidRPr="00CA4465">
        <w:t xml:space="preserve">, </w:t>
      </w:r>
      <w:r w:rsidR="00B427EF" w:rsidRPr="00CA4465">
        <w:t>120</w:t>
      </w:r>
      <w:r w:rsidRPr="00CA4465">
        <w:t xml:space="preserve"> (Minn. 2009).</w:t>
      </w:r>
    </w:p>
    <w:p w:rsidR="007A28CD" w:rsidRPr="00CA4465" w:rsidRDefault="007A28CD" w:rsidP="00395F1F">
      <w:pPr>
        <w:ind w:left="720"/>
      </w:pPr>
    </w:p>
    <w:p w:rsidR="00860677" w:rsidRDefault="004F10A3" w:rsidP="00395F1F">
      <w:pPr>
        <w:ind w:left="720"/>
      </w:pPr>
      <w:r w:rsidRPr="00CA4465">
        <w:t>“Rejection of the ALJ’s recommendations without explanation</w:t>
      </w:r>
      <w:r w:rsidR="00E855B2" w:rsidRPr="00CA4465">
        <w:t>[,]</w:t>
      </w:r>
      <w:r w:rsidRPr="00CA4465">
        <w:t xml:space="preserve"> however, may suggest that the agency exercised its will rather than its judgment and was therefore arbitrary and capricious.”  </w:t>
      </w:r>
      <w:r w:rsidRPr="00CA4465">
        <w:rPr>
          <w:i/>
          <w:iCs/>
        </w:rPr>
        <w:t>In re Excess Surplus Status of Blue Cross &amp; Blue Shield of Minn.</w:t>
      </w:r>
      <w:r w:rsidRPr="00CA4465">
        <w:t>, 624 N.W.2d 264, 278 (Minn. 2001).</w:t>
      </w:r>
    </w:p>
    <w:p w:rsidR="00860677" w:rsidRDefault="00860677" w:rsidP="00337FFA">
      <w:pPr>
        <w:pStyle w:val="Heading3"/>
      </w:pPr>
      <w:bookmarkStart w:id="567" w:name="_Toc395604734"/>
      <w:r>
        <w:lastRenderedPageBreak/>
        <w:t>6.</w:t>
      </w:r>
      <w:r>
        <w:tab/>
        <w:t>Substantial Evidence</w:t>
      </w:r>
      <w:bookmarkEnd w:id="567"/>
    </w:p>
    <w:p w:rsidR="00602759" w:rsidRPr="00CA4465" w:rsidRDefault="00602759" w:rsidP="00602759">
      <w:pPr>
        <w:ind w:left="720"/>
      </w:pPr>
      <w:r>
        <w:t>“</w:t>
      </w:r>
      <w:r w:rsidRPr="00CA4465">
        <w:t xml:space="preserve">Substantial evidence is defined as:  (1) such relevant evidence as a reasonable mind might accept as adequate to support a conclusion; (2) more than a scintilla of evidence; (3) more than some evidence; (4) more than any evidence; or (5) the evidence considered in its entirety.”  </w:t>
      </w:r>
      <w:r w:rsidRPr="00CA4465">
        <w:rPr>
          <w:i/>
          <w:iCs/>
        </w:rPr>
        <w:t xml:space="preserve">Cannon </w:t>
      </w:r>
      <w:r>
        <w:rPr>
          <w:i/>
          <w:iCs/>
        </w:rPr>
        <w:t>v. Minneapolis Police Dep’t</w:t>
      </w:r>
      <w:r w:rsidRPr="00CA4465">
        <w:t xml:space="preserve">, </w:t>
      </w:r>
      <w:r>
        <w:t>783</w:t>
      </w:r>
      <w:r w:rsidRPr="00CA4465">
        <w:t xml:space="preserve"> N.W.2d </w:t>
      </w:r>
      <w:r>
        <w:t>182, 189</w:t>
      </w:r>
      <w:r w:rsidRPr="00CA4465">
        <w:t xml:space="preserve"> (Minn. </w:t>
      </w:r>
      <w:r>
        <w:t>App. 2010) (quotation omitted</w:t>
      </w:r>
      <w:r w:rsidRPr="00CA4465">
        <w:t>).</w:t>
      </w:r>
    </w:p>
    <w:p w:rsidR="00602759" w:rsidRPr="00CA4465" w:rsidRDefault="00602759" w:rsidP="00602759">
      <w:pPr>
        <w:ind w:left="720"/>
      </w:pPr>
    </w:p>
    <w:p w:rsidR="00602759" w:rsidRPr="00CA4465" w:rsidRDefault="00602759" w:rsidP="00602759">
      <w:pPr>
        <w:ind w:left="720"/>
      </w:pPr>
      <w:r w:rsidRPr="00CA4465">
        <w:t xml:space="preserve">“The substantial evidence test requires a reviewing court to evaluate the evidence relied upon by the agency in view of the entire record as submitted.  If an administrative agency engages in reasoned decisionmaking, the court will affirm, even though it may have reached a different conclusion had it been the factfinder.  The court will intervene, however, where there is a combination of danger signals which suggest the agency has not taken a hard look at the salient problems and the decision lacks articulated standards and reflective findings.”  </w:t>
      </w:r>
      <w:r w:rsidRPr="00CA4465">
        <w:rPr>
          <w:i/>
          <w:iCs/>
        </w:rPr>
        <w:t>Cable Commc’ns Bd. v. Nor-west Cable Commc’ns P’ship</w:t>
      </w:r>
      <w:r w:rsidRPr="00CA4465">
        <w:t>, 356 N.W.2d 658, 668-69 (Minn. 1984) (quotations and citations omitted).</w:t>
      </w:r>
    </w:p>
    <w:p w:rsidR="00AC592E" w:rsidRDefault="008D479D" w:rsidP="00604DD4">
      <w:pPr>
        <w:pStyle w:val="Heading2"/>
      </w:pPr>
      <w:bookmarkStart w:id="568" w:name="_Toc395604735"/>
      <w:r>
        <w:t>C</w:t>
      </w:r>
      <w:r w:rsidR="00AC592E">
        <w:t>.</w:t>
      </w:r>
      <w:r w:rsidR="00AC592E">
        <w:tab/>
      </w:r>
      <w:r w:rsidR="00C86577">
        <w:t>QUASI-LEGISLATIVE DECISION-MAKING</w:t>
      </w:r>
      <w:bookmarkEnd w:id="568"/>
    </w:p>
    <w:p w:rsidR="00AC592E" w:rsidRDefault="00AC592E" w:rsidP="00337FFA">
      <w:pPr>
        <w:pStyle w:val="Heading3"/>
      </w:pPr>
      <w:bookmarkStart w:id="569" w:name="_Toc395604736"/>
      <w:r>
        <w:t>1.</w:t>
      </w:r>
      <w:r>
        <w:tab/>
        <w:t>Defined</w:t>
      </w:r>
      <w:bookmarkEnd w:id="569"/>
    </w:p>
    <w:p w:rsidR="006541D1" w:rsidRPr="006541D1" w:rsidRDefault="006541D1" w:rsidP="006541D1">
      <w:pPr>
        <w:ind w:left="720"/>
      </w:pPr>
      <w:r w:rsidRPr="006541D1">
        <w:t xml:space="preserve">“An agency exercises a legislative as opposed to a quasi-judicial function when it balances cost and noncost factors and makes choices among public policy alternatives.  The agency acts in its legislative capacity in determining the extent to which competition should be permitted or limited.”  </w:t>
      </w:r>
      <w:r w:rsidRPr="006541D1">
        <w:rPr>
          <w:i/>
        </w:rPr>
        <w:t>In re Qwest’s Wholesale Serv. Quality Standards</w:t>
      </w:r>
      <w:r w:rsidRPr="006541D1">
        <w:t>, 678 N.W.2d 58, 62 (Minn. App. 2004) (citation omitted).</w:t>
      </w:r>
    </w:p>
    <w:p w:rsidR="00AC592E" w:rsidRDefault="00AC592E" w:rsidP="00337FFA">
      <w:pPr>
        <w:pStyle w:val="Heading3"/>
      </w:pPr>
      <w:bookmarkStart w:id="570" w:name="_Toc395604737"/>
      <w:r>
        <w:t>2.</w:t>
      </w:r>
      <w:r>
        <w:tab/>
        <w:t>Standard of Review</w:t>
      </w:r>
      <w:bookmarkEnd w:id="570"/>
      <w:r>
        <w:t xml:space="preserve"> </w:t>
      </w:r>
    </w:p>
    <w:p w:rsidR="006541D1" w:rsidRPr="006541D1" w:rsidRDefault="006541D1" w:rsidP="006541D1">
      <w:pPr>
        <w:ind w:left="720"/>
      </w:pPr>
      <w:r w:rsidRPr="006541D1">
        <w:t xml:space="preserve">“When an agency exercises a legislative function, its decision is affirmed unless it is shown, by clear and convincing evidence, to be in excess of statutory authority or to have unjust, unreasonable, or discriminatory results.”  </w:t>
      </w:r>
      <w:r w:rsidRPr="006541D1">
        <w:rPr>
          <w:i/>
        </w:rPr>
        <w:t>In re Qwest’s Wholesale Serv. Quality Standards</w:t>
      </w:r>
      <w:r w:rsidRPr="006541D1">
        <w:t>, 678 N.W.2d 58, 62 (Minn. App. 2004).</w:t>
      </w:r>
    </w:p>
    <w:p w:rsidR="00AC592E" w:rsidRDefault="008D479D" w:rsidP="00604DD4">
      <w:pPr>
        <w:pStyle w:val="Heading2"/>
      </w:pPr>
      <w:bookmarkStart w:id="571" w:name="_Toc395604738"/>
      <w:r>
        <w:t>D</w:t>
      </w:r>
      <w:r w:rsidR="00AC592E">
        <w:t>.</w:t>
      </w:r>
      <w:r w:rsidR="00AC592E">
        <w:tab/>
      </w:r>
      <w:r w:rsidR="00C86577">
        <w:t>RULEMAKING</w:t>
      </w:r>
      <w:bookmarkEnd w:id="571"/>
    </w:p>
    <w:p w:rsidR="00AC592E" w:rsidRDefault="00AC592E" w:rsidP="00337FFA">
      <w:pPr>
        <w:pStyle w:val="Heading3"/>
      </w:pPr>
      <w:bookmarkStart w:id="572" w:name="_Toc395604739"/>
      <w:r>
        <w:t>1.</w:t>
      </w:r>
      <w:r>
        <w:tab/>
        <w:t>Defined</w:t>
      </w:r>
      <w:bookmarkEnd w:id="572"/>
    </w:p>
    <w:p w:rsidR="008C58CD" w:rsidRPr="00395F1F" w:rsidRDefault="008C58CD" w:rsidP="00395F1F">
      <w:pPr>
        <w:ind w:left="720"/>
        <w:rPr>
          <w:b/>
        </w:rPr>
      </w:pPr>
      <w:r w:rsidRPr="008D479D">
        <w:t>A “rule” is defined as “every agency statement of general applicability and future effect, including amendments, suspensions, and repeals of rules, adopted to implement or make specific the law enforced or administered by that agency or to govern its organization or procedure.”  Minn. Stat. § 14.02, subd. 4 (201</w:t>
      </w:r>
      <w:r w:rsidR="001F7A4E" w:rsidRPr="008D479D">
        <w:t>2</w:t>
      </w:r>
      <w:r w:rsidRPr="008D479D">
        <w:t>).</w:t>
      </w:r>
    </w:p>
    <w:p w:rsidR="004F10A3" w:rsidRPr="00CA4465" w:rsidRDefault="00D61A8B" w:rsidP="00337FFA">
      <w:pPr>
        <w:pStyle w:val="Heading3"/>
      </w:pPr>
      <w:bookmarkStart w:id="573" w:name="_Toc48979720"/>
      <w:bookmarkStart w:id="574" w:name="_Toc395604740"/>
      <w:r>
        <w:t>2</w:t>
      </w:r>
      <w:r w:rsidR="004F10A3" w:rsidRPr="00CA4465">
        <w:t>.</w:t>
      </w:r>
      <w:r w:rsidR="004F10A3" w:rsidRPr="00CA4465">
        <w:tab/>
        <w:t>Standard of Review</w:t>
      </w:r>
      <w:bookmarkEnd w:id="573"/>
      <w:bookmarkEnd w:id="574"/>
    </w:p>
    <w:p w:rsidR="00205F78" w:rsidRPr="00CA4465" w:rsidRDefault="00205F78" w:rsidP="00D61A8B">
      <w:pPr>
        <w:ind w:left="720"/>
      </w:pPr>
      <w:r w:rsidRPr="00CA4465">
        <w:t>“The validity of any rule may be determined upon the petition for a declaratory judgment thereon, addressed to</w:t>
      </w:r>
      <w:r w:rsidR="0063439C" w:rsidRPr="00CA4465">
        <w:t xml:space="preserve"> the Court of Appeals</w:t>
      </w:r>
      <w:r w:rsidRPr="00CA4465">
        <w:t xml:space="preserve">, when it appears that the rule, or its threatened </w:t>
      </w:r>
      <w:r w:rsidRPr="00CA4465">
        <w:lastRenderedPageBreak/>
        <w:t>application, interferes with or impairs, or threatens to interfere with or impair the legal rights or privileges of the petitioner.”  Minn. Stat. § 14.44 (20</w:t>
      </w:r>
      <w:r w:rsidR="00853664">
        <w:t>1</w:t>
      </w:r>
      <w:r w:rsidR="00562F76">
        <w:t>2</w:t>
      </w:r>
      <w:r w:rsidRPr="00CA4465">
        <w:t>).</w:t>
      </w:r>
    </w:p>
    <w:p w:rsidR="00205F78" w:rsidRPr="00CA4465" w:rsidRDefault="00205F78" w:rsidP="00D61A8B">
      <w:pPr>
        <w:ind w:left="720"/>
      </w:pPr>
    </w:p>
    <w:p w:rsidR="004F10A3" w:rsidRPr="00CA4465" w:rsidRDefault="004F10A3" w:rsidP="00D61A8B">
      <w:pPr>
        <w:ind w:left="720"/>
      </w:pPr>
      <w:r w:rsidRPr="00CA4465">
        <w:t>“In proceedings under section 14.44, the court shall declare the rule invalid if it finds that it violates constitutional provisions or exceeds the statutory authority of the agency or was adopted without compliance with statutory rulemaking procedures.”  Minn. Stat. § 14.45 (20</w:t>
      </w:r>
      <w:r w:rsidR="004E48F2">
        <w:t>1</w:t>
      </w:r>
      <w:r w:rsidR="009F0A80">
        <w:t>2</w:t>
      </w:r>
      <w:r w:rsidRPr="00CA4465">
        <w:t>)</w:t>
      </w:r>
      <w:r w:rsidR="00205F78" w:rsidRPr="00CA4465">
        <w:t xml:space="preserve">; </w:t>
      </w:r>
      <w:r w:rsidR="00205F78" w:rsidRPr="00CA4465">
        <w:rPr>
          <w:i/>
        </w:rPr>
        <w:t>see also Minn.-Dakotas Retail Hardware Ass’n v. State</w:t>
      </w:r>
      <w:r w:rsidR="00205F78" w:rsidRPr="00CA4465">
        <w:t>, 279 N.W.2d 360, 363 (Minn. 1979) (clarifying “the scope and nature of judicial review of prospective administrative regulations” as provided by statute).</w:t>
      </w:r>
    </w:p>
    <w:p w:rsidR="004F10A3" w:rsidRPr="00CA4465" w:rsidRDefault="004F10A3" w:rsidP="00D61A8B">
      <w:pPr>
        <w:ind w:left="720"/>
      </w:pPr>
    </w:p>
    <w:p w:rsidR="004F10A3" w:rsidRPr="00CA4465" w:rsidRDefault="004F10A3" w:rsidP="00D61A8B">
      <w:pPr>
        <w:ind w:left="720"/>
      </w:pPr>
      <w:r w:rsidRPr="00CA4465">
        <w:t xml:space="preserve">A rule “is unreasonable (and therefore invalid) when it fails to comport with substantive due process because it is not rationally related to the objective sought to be achieved.”  </w:t>
      </w:r>
      <w:r w:rsidRPr="00CA4465">
        <w:rPr>
          <w:i/>
          <w:iCs/>
        </w:rPr>
        <w:t>Mammenga v. State Dep’t of Human Servs.</w:t>
      </w:r>
      <w:r w:rsidRPr="00CA4465">
        <w:t xml:space="preserve">, 442 N.W.2d 786, 789 (Minn. 1989). </w:t>
      </w:r>
    </w:p>
    <w:p w:rsidR="00D61A8B" w:rsidRDefault="00D61A8B" w:rsidP="00C26A52">
      <w:pPr>
        <w:ind w:left="720"/>
      </w:pPr>
    </w:p>
    <w:p w:rsidR="004F10A3" w:rsidRPr="002205FC" w:rsidRDefault="001B3A6B" w:rsidP="00C26A52">
      <w:pPr>
        <w:ind w:left="720"/>
      </w:pPr>
      <w:r>
        <w:t xml:space="preserve">“The standard of review in a pre-enforcement action [questioning the validity of the process by which the rule was made and its general validity] is more limited than it would be in a challenge to enforcement of a rule in a contested-case appeal.”  </w:t>
      </w:r>
      <w:r>
        <w:rPr>
          <w:i/>
        </w:rPr>
        <w:t>Peterson v. Dep’t of Labor &amp; Indus.</w:t>
      </w:r>
      <w:r>
        <w:t xml:space="preserve">, 591 N.W.2d 76, 78-79 (Minn. App. 1999), </w:t>
      </w:r>
      <w:r>
        <w:rPr>
          <w:i/>
        </w:rPr>
        <w:t>review denied</w:t>
      </w:r>
      <w:r>
        <w:t xml:space="preserve"> (Minn. May 18, 1999).</w:t>
      </w:r>
      <w:r w:rsidR="002205FC">
        <w:t xml:space="preserve">  The appellate court reviews an agency’s rulemaking proceedings using an arbitrary and capricious standard.  The agency must provide the evidence on which it relied and show how that evidence rationally supports the agency’s action.</w:t>
      </w:r>
      <w:r>
        <w:t xml:space="preserve">  </w:t>
      </w:r>
      <w:r>
        <w:rPr>
          <w:i/>
        </w:rPr>
        <w:t>Id.</w:t>
      </w:r>
      <w:r w:rsidR="002205FC">
        <w:t xml:space="preserve">  </w:t>
      </w:r>
    </w:p>
    <w:p w:rsidR="004F10A3" w:rsidRDefault="004F10A3" w:rsidP="00604DD4">
      <w:pPr>
        <w:pStyle w:val="Heading2"/>
      </w:pPr>
      <w:bookmarkStart w:id="575" w:name="_Toc48979730"/>
      <w:bookmarkStart w:id="576" w:name="_Toc395604741"/>
      <w:r w:rsidRPr="00CA4465">
        <w:t>E.</w:t>
      </w:r>
      <w:r w:rsidRPr="00CA4465">
        <w:tab/>
      </w:r>
      <w:bookmarkEnd w:id="575"/>
      <w:r w:rsidR="00C86577">
        <w:t>REVIEW OF SPECIFIC AGENCIES</w:t>
      </w:r>
      <w:bookmarkEnd w:id="576"/>
    </w:p>
    <w:p w:rsidR="003D49DF" w:rsidRDefault="003D49DF" w:rsidP="00337FFA">
      <w:pPr>
        <w:pStyle w:val="Heading3"/>
      </w:pPr>
      <w:bookmarkStart w:id="577" w:name="_Toc395604742"/>
      <w:r>
        <w:t>1.</w:t>
      </w:r>
      <w:r>
        <w:tab/>
        <w:t>Bureau of Mediation Services (BMS)</w:t>
      </w:r>
      <w:bookmarkEnd w:id="577"/>
    </w:p>
    <w:p w:rsidR="00F56A15" w:rsidRPr="00D470E5" w:rsidRDefault="00F56A15" w:rsidP="00D470E5">
      <w:pPr>
        <w:ind w:left="720"/>
      </w:pPr>
      <w:r w:rsidRPr="008D479D">
        <w:t xml:space="preserve">“This court will affirm the BMS Commissioner’s decision unless, upon independent evaluation, the decision is shown to be unsupported by the substantial evidence, based upon errors of law, or arbitrary and capricious.”  </w:t>
      </w:r>
      <w:r w:rsidRPr="008D479D">
        <w:rPr>
          <w:i/>
        </w:rPr>
        <w:t>Minn. Teamsters Pub</w:t>
      </w:r>
      <w:r w:rsidR="008D479D" w:rsidRPr="008D479D">
        <w:rPr>
          <w:i/>
        </w:rPr>
        <w:t>.</w:t>
      </w:r>
      <w:r w:rsidRPr="008D479D">
        <w:rPr>
          <w:i/>
        </w:rPr>
        <w:t xml:space="preserve"> &amp; Law Enforcement Emps</w:t>
      </w:r>
      <w:r w:rsidR="008D479D" w:rsidRPr="008D479D">
        <w:rPr>
          <w:i/>
        </w:rPr>
        <w:t>.</w:t>
      </w:r>
      <w:r w:rsidRPr="008D479D">
        <w:rPr>
          <w:i/>
        </w:rPr>
        <w:t xml:space="preserve"> </w:t>
      </w:r>
      <w:r w:rsidR="00D470E5" w:rsidRPr="008D479D">
        <w:rPr>
          <w:i/>
        </w:rPr>
        <w:t>Union, Local No. 320 v. County of McLeod</w:t>
      </w:r>
      <w:r w:rsidR="00D470E5" w:rsidRPr="008D479D">
        <w:t>, 509 N.W.2d 554, 556 (Minn.</w:t>
      </w:r>
      <w:r w:rsidR="008D479D" w:rsidRPr="008D479D">
        <w:t xml:space="preserve"> App.</w:t>
      </w:r>
      <w:r w:rsidR="00D470E5" w:rsidRPr="008D479D">
        <w:t xml:space="preserve"> 1993).</w:t>
      </w:r>
      <w:r w:rsidR="00D470E5">
        <w:t xml:space="preserve">  </w:t>
      </w:r>
    </w:p>
    <w:p w:rsidR="00582C10" w:rsidRDefault="003D49DF" w:rsidP="00337FFA">
      <w:pPr>
        <w:pStyle w:val="Heading3"/>
      </w:pPr>
      <w:bookmarkStart w:id="578" w:name="_Toc395604743"/>
      <w:r w:rsidRPr="003D49DF">
        <w:t>2.</w:t>
      </w:r>
      <w:r w:rsidRPr="003D49DF">
        <w:tab/>
      </w:r>
      <w:r w:rsidR="00582C10">
        <w:t>Department of Employment and Economic Development (See Section VIII)</w:t>
      </w:r>
      <w:bookmarkEnd w:id="578"/>
    </w:p>
    <w:p w:rsidR="003D49DF" w:rsidRDefault="00582C10" w:rsidP="00337FFA">
      <w:pPr>
        <w:pStyle w:val="Heading3"/>
      </w:pPr>
      <w:bookmarkStart w:id="579" w:name="_Toc395604744"/>
      <w:r>
        <w:t>3.</w:t>
      </w:r>
      <w:r>
        <w:tab/>
      </w:r>
      <w:r w:rsidR="003D49DF" w:rsidRPr="003D49DF">
        <w:t>Department of Health/Department of Human Services –</w:t>
      </w:r>
      <w:r w:rsidR="00CD0102">
        <w:t xml:space="preserve"> Disqualification from employment with licensed facilities</w:t>
      </w:r>
      <w:bookmarkEnd w:id="579"/>
    </w:p>
    <w:p w:rsidR="00047B74" w:rsidRPr="008D479D" w:rsidRDefault="001F7A4E" w:rsidP="00876FD3">
      <w:pPr>
        <w:ind w:left="720"/>
      </w:pPr>
      <w:r w:rsidRPr="008D479D">
        <w:t>“The commissioner’</w:t>
      </w:r>
      <w:r w:rsidR="00047B74" w:rsidRPr="008D479D">
        <w:t xml:space="preserve">s decision whether to grant a request for reconsideration is a quasi-judicial agency decision not subject to the </w:t>
      </w:r>
      <w:r w:rsidR="00F07D89" w:rsidRPr="008D479D">
        <w:t xml:space="preserve">[Minnesota] </w:t>
      </w:r>
      <w:r w:rsidR="00047B74" w:rsidRPr="008D479D">
        <w:t>Administrative Procedure Act, Minnesota Statutes sections 14.63-.69 (2010).</w:t>
      </w:r>
      <w:r w:rsidR="00876FD3" w:rsidRPr="008D479D">
        <w:t xml:space="preserve">  On certiorari appeal from a quasi-judicial agency decision not subject to the </w:t>
      </w:r>
      <w:r w:rsidR="00F07D89" w:rsidRPr="008D479D">
        <w:t xml:space="preserve">[Minnesota] </w:t>
      </w:r>
      <w:r w:rsidR="00876FD3" w:rsidRPr="008D479D">
        <w:t>Administrative Procedure Act, we examine the recor</w:t>
      </w:r>
      <w:r w:rsidR="00BA5C57" w:rsidRPr="008D479D">
        <w:t xml:space="preserve">d to review </w:t>
      </w:r>
      <w:r w:rsidR="00876FD3" w:rsidRPr="008D479D">
        <w:t>questions affecting the jurisdiction of the [agency], the regularity of its proceedings, and, as to the merits of the controversy, whether the order or determination in a particular case was arbitrary, oppressive, unreasonable, fraudulent, under an erroneous theory of law, or with</w:t>
      </w:r>
      <w:r w:rsidR="00BA5C57" w:rsidRPr="008D479D">
        <w:t>out any evidence to support it.”</w:t>
      </w:r>
      <w:r w:rsidR="00876FD3" w:rsidRPr="008D479D">
        <w:t xml:space="preserve">  </w:t>
      </w:r>
      <w:r w:rsidR="00047B74" w:rsidRPr="008D479D">
        <w:rPr>
          <w:i/>
        </w:rPr>
        <w:t>Anderson v. Comm</w:t>
      </w:r>
      <w:r w:rsidR="008D479D" w:rsidRPr="008D479D">
        <w:rPr>
          <w:i/>
        </w:rPr>
        <w:t>’</w:t>
      </w:r>
      <w:r w:rsidR="00047B74" w:rsidRPr="008D479D">
        <w:rPr>
          <w:i/>
        </w:rPr>
        <w:t>r of Health</w:t>
      </w:r>
      <w:r w:rsidR="00047B74" w:rsidRPr="008D479D">
        <w:t>, 811 N.W.2d 162, 165 (Minn.</w:t>
      </w:r>
      <w:r w:rsidR="00876FD3" w:rsidRPr="008D479D">
        <w:t xml:space="preserve"> </w:t>
      </w:r>
      <w:r w:rsidR="00047B74" w:rsidRPr="008D479D">
        <w:t>App. 2012)</w:t>
      </w:r>
      <w:r w:rsidRPr="008D479D">
        <w:t xml:space="preserve"> (</w:t>
      </w:r>
      <w:r w:rsidR="008D479D" w:rsidRPr="008D479D">
        <w:t xml:space="preserve">citations and </w:t>
      </w:r>
      <w:r w:rsidR="00BA5C57" w:rsidRPr="008D479D">
        <w:t>quotations</w:t>
      </w:r>
      <w:r w:rsidRPr="008D479D">
        <w:t xml:space="preserve"> omitted).</w:t>
      </w:r>
    </w:p>
    <w:p w:rsidR="00876FD3" w:rsidRPr="00BC5784" w:rsidRDefault="00876FD3" w:rsidP="00876FD3">
      <w:pPr>
        <w:ind w:left="720"/>
        <w:rPr>
          <w:highlight w:val="yellow"/>
        </w:rPr>
      </w:pPr>
    </w:p>
    <w:p w:rsidR="00876FD3" w:rsidRPr="00EC1842" w:rsidRDefault="00876FD3" w:rsidP="00876FD3">
      <w:pPr>
        <w:ind w:left="720"/>
      </w:pPr>
      <w:r w:rsidRPr="00EC1842">
        <w:t>“On a certiorari appeal from an agency’s quasi-judicial action, we review the record to determine whether (1) the agency had jurisdiction over the matter; (2) the agency followed the correct procedure; and (3) the agency’s determination of the merits of the controversy was arbitrary, oppressive, unreasonable, fraudulent, under an erroneous theory of law, or with</w:t>
      </w:r>
      <w:r w:rsidR="001F7A4E" w:rsidRPr="00EC1842">
        <w:t>out any evidence to support it.</w:t>
      </w:r>
      <w:r w:rsidRPr="00EC1842">
        <w:t xml:space="preserve">  This court reviews questions of law, including interpretation of a statute</w:t>
      </w:r>
      <w:r w:rsidR="00BA5C57" w:rsidRPr="00EC1842">
        <w:t xml:space="preserve">, de novo.”  </w:t>
      </w:r>
      <w:r w:rsidR="001E3955" w:rsidRPr="00EC1842">
        <w:rPr>
          <w:i/>
        </w:rPr>
        <w:t>Smith v. Minn</w:t>
      </w:r>
      <w:r w:rsidR="00EC1842" w:rsidRPr="00EC1842">
        <w:rPr>
          <w:i/>
        </w:rPr>
        <w:t>.</w:t>
      </w:r>
      <w:r w:rsidR="001E3955" w:rsidRPr="00EC1842">
        <w:rPr>
          <w:i/>
        </w:rPr>
        <w:t xml:space="preserve"> Dep</w:t>
      </w:r>
      <w:r w:rsidR="00EC1842" w:rsidRPr="00EC1842">
        <w:rPr>
          <w:i/>
        </w:rPr>
        <w:t>’t</w:t>
      </w:r>
      <w:r w:rsidR="001E3955" w:rsidRPr="00EC1842">
        <w:rPr>
          <w:i/>
        </w:rPr>
        <w:t xml:space="preserve"> of Human Servs</w:t>
      </w:r>
      <w:r w:rsidR="00EC1842" w:rsidRPr="00EC1842">
        <w:rPr>
          <w:i/>
        </w:rPr>
        <w:t>.</w:t>
      </w:r>
      <w:r w:rsidR="001E3955" w:rsidRPr="00EC1842">
        <w:t xml:space="preserve">, </w:t>
      </w:r>
      <w:r w:rsidRPr="00EC1842">
        <w:t xml:space="preserve">764 N.W.2d 388, </w:t>
      </w:r>
      <w:r w:rsidR="001E3955" w:rsidRPr="00EC1842">
        <w:t>391</w:t>
      </w:r>
      <w:r w:rsidRPr="00EC1842">
        <w:t xml:space="preserve"> (Minn.</w:t>
      </w:r>
      <w:r w:rsidR="00EC1842" w:rsidRPr="00EC1842">
        <w:t xml:space="preserve"> </w:t>
      </w:r>
      <w:r w:rsidRPr="00EC1842">
        <w:t>App. 2009)</w:t>
      </w:r>
      <w:r w:rsidR="00BA5C57" w:rsidRPr="00EC1842">
        <w:t xml:space="preserve"> (citations</w:t>
      </w:r>
      <w:r w:rsidR="00EC1842" w:rsidRPr="00EC1842">
        <w:t xml:space="preserve"> and quotations</w:t>
      </w:r>
      <w:r w:rsidR="00BA5C57" w:rsidRPr="00EC1842">
        <w:t xml:space="preserve"> omitted)</w:t>
      </w:r>
      <w:r w:rsidR="001E3955" w:rsidRPr="00EC1842">
        <w:t>.</w:t>
      </w:r>
    </w:p>
    <w:p w:rsidR="0081781A" w:rsidRPr="00BC5784" w:rsidRDefault="0081781A" w:rsidP="00876FD3">
      <w:pPr>
        <w:ind w:left="720"/>
        <w:rPr>
          <w:highlight w:val="yellow"/>
        </w:rPr>
      </w:pPr>
    </w:p>
    <w:p w:rsidR="00CD0102" w:rsidRDefault="0081781A" w:rsidP="00DB1792">
      <w:pPr>
        <w:ind w:left="720"/>
      </w:pPr>
      <w:r w:rsidRPr="00546888">
        <w:t>“Unless the Commissioner</w:t>
      </w:r>
      <w:r w:rsidR="00D14BE7">
        <w:t>’</w:t>
      </w:r>
      <w:r w:rsidR="00EC1842" w:rsidRPr="00546888">
        <w:t>s</w:t>
      </w:r>
      <w:r w:rsidRPr="00546888">
        <w:t xml:space="preserve"> decision is arbitrary and capricious and without substantial support in the record, we shall affirm.  When reviewing questions of law, however, we are not bound by the agency’s decision, and we need not de</w:t>
      </w:r>
      <w:r w:rsidR="00BA5C57" w:rsidRPr="00546888">
        <w:t xml:space="preserve">fer to the agency’s expertise.”  </w:t>
      </w:r>
      <w:r w:rsidRPr="00546888">
        <w:rPr>
          <w:i/>
        </w:rPr>
        <w:t>Dozier v. Comm’r of Human Servs</w:t>
      </w:r>
      <w:r w:rsidR="00EC1842" w:rsidRPr="00546888">
        <w:rPr>
          <w:i/>
        </w:rPr>
        <w:t>.</w:t>
      </w:r>
      <w:r w:rsidRPr="00546888">
        <w:t>, 547 N.W.2d 393, 395 (Minn. App. 1996</w:t>
      </w:r>
      <w:r w:rsidR="00DB1792" w:rsidRPr="00546888">
        <w:t>)</w:t>
      </w:r>
      <w:r w:rsidR="00BA5C57" w:rsidRPr="00546888">
        <w:t xml:space="preserve"> (citation omitted)</w:t>
      </w:r>
      <w:r w:rsidR="00EC1842" w:rsidRPr="00546888">
        <w:t xml:space="preserve">, </w:t>
      </w:r>
      <w:r w:rsidR="00EC1842" w:rsidRPr="00546888">
        <w:rPr>
          <w:i/>
        </w:rPr>
        <w:t>review denied</w:t>
      </w:r>
      <w:r w:rsidR="00EC1842" w:rsidRPr="00546888">
        <w:t xml:space="preserve"> (Minn. July 10, 1996)</w:t>
      </w:r>
      <w:r w:rsidR="00DB1792" w:rsidRPr="00546888">
        <w:t>.</w:t>
      </w:r>
    </w:p>
    <w:p w:rsidR="00726922" w:rsidRDefault="00DB1792" w:rsidP="00337FFA">
      <w:pPr>
        <w:pStyle w:val="Heading3"/>
      </w:pPr>
      <w:bookmarkStart w:id="580" w:name="_Toc395604745"/>
      <w:r>
        <w:t>4</w:t>
      </w:r>
      <w:r w:rsidR="00726922">
        <w:t>.</w:t>
      </w:r>
      <w:r w:rsidR="00726922">
        <w:tab/>
        <w:t>Retirement Boards</w:t>
      </w:r>
      <w:bookmarkEnd w:id="580"/>
    </w:p>
    <w:p w:rsidR="00726922" w:rsidRPr="00340116" w:rsidRDefault="00726922" w:rsidP="00726922">
      <w:pPr>
        <w:ind w:left="720"/>
      </w:pPr>
      <w:r w:rsidRPr="00340116">
        <w:t>“We have analogized a public retirement</w:t>
      </w:r>
      <w:r w:rsidR="00340116" w:rsidRPr="00340116">
        <w:t xml:space="preserve"> fund</w:t>
      </w:r>
      <w:r w:rsidRPr="00340116">
        <w:t xml:space="preserve"> board to an administrative agency.”  </w:t>
      </w:r>
      <w:r w:rsidR="00DB1792" w:rsidRPr="00340116">
        <w:rPr>
          <w:i/>
        </w:rPr>
        <w:t>Axelson v. Minneapolis Teachers’ Retirement Fund Ass’n</w:t>
      </w:r>
      <w:r w:rsidR="00DB1792" w:rsidRPr="00340116">
        <w:t xml:space="preserve">, 544 N.W.2d 297, 299 (Minn. 1996).  </w:t>
      </w:r>
    </w:p>
    <w:p w:rsidR="005D221C" w:rsidRPr="00340116" w:rsidRDefault="005D221C" w:rsidP="00726922">
      <w:pPr>
        <w:ind w:left="720"/>
      </w:pPr>
    </w:p>
    <w:p w:rsidR="005D221C" w:rsidRDefault="005D221C" w:rsidP="005D221C">
      <w:pPr>
        <w:ind w:left="720"/>
      </w:pPr>
      <w:r w:rsidRPr="00340116">
        <w:t xml:space="preserve">“‘For the purposes of appellate review, a public-retirement-fund board, like the PERA board of trustees, is analogous to an administrative agency.’”  </w:t>
      </w:r>
      <w:r w:rsidRPr="00340116">
        <w:rPr>
          <w:i/>
        </w:rPr>
        <w:t>In re PERA Salary Determinations Affecting Retired and Active Emps</w:t>
      </w:r>
      <w:r w:rsidR="00340116" w:rsidRPr="00340116">
        <w:rPr>
          <w:i/>
        </w:rPr>
        <w:t>.</w:t>
      </w:r>
      <w:r w:rsidRPr="00340116">
        <w:rPr>
          <w:i/>
        </w:rPr>
        <w:t xml:space="preserve"> of City of Duluth</w:t>
      </w:r>
      <w:r w:rsidRPr="00340116">
        <w:t xml:space="preserve">, 820 N.W.2d 563, </w:t>
      </w:r>
      <w:r w:rsidR="003E29E7" w:rsidRPr="00340116">
        <w:t>569</w:t>
      </w:r>
      <w:r w:rsidRPr="00340116">
        <w:t xml:space="preserve"> (Minn.</w:t>
      </w:r>
      <w:r w:rsidR="00340116" w:rsidRPr="00340116">
        <w:t xml:space="preserve"> A</w:t>
      </w:r>
      <w:r w:rsidRPr="00340116">
        <w:t xml:space="preserve">pp. 2012) (quoting </w:t>
      </w:r>
      <w:r w:rsidRPr="00340116">
        <w:rPr>
          <w:i/>
        </w:rPr>
        <w:t>In re Disability Earnings Offset of Masson</w:t>
      </w:r>
      <w:r w:rsidRPr="00340116">
        <w:t>, 753 N.W.2d 755, 757 (Minn.</w:t>
      </w:r>
      <w:r w:rsidR="00340116" w:rsidRPr="00340116">
        <w:t xml:space="preserve"> </w:t>
      </w:r>
      <w:r w:rsidRPr="00340116">
        <w:t>App.</w:t>
      </w:r>
      <w:r w:rsidR="00340116" w:rsidRPr="00340116">
        <w:t xml:space="preserve"> </w:t>
      </w:r>
      <w:r w:rsidRPr="00340116">
        <w:t>2008)</w:t>
      </w:r>
      <w:r w:rsidR="00340116" w:rsidRPr="00340116">
        <w:t xml:space="preserve">, </w:t>
      </w:r>
      <w:r w:rsidR="00340116" w:rsidRPr="00340116">
        <w:rPr>
          <w:i/>
        </w:rPr>
        <w:t>review denied</w:t>
      </w:r>
      <w:r w:rsidR="00340116" w:rsidRPr="00340116">
        <w:t xml:space="preserve"> (Minn. Oct. 1, 2008))</w:t>
      </w:r>
      <w:r w:rsidRPr="00340116">
        <w:t>.</w:t>
      </w:r>
      <w:r>
        <w:t xml:space="preserve">  </w:t>
      </w:r>
    </w:p>
    <w:p w:rsidR="00C26A52" w:rsidRPr="00CA4465" w:rsidRDefault="00DB1792" w:rsidP="00337FFA">
      <w:pPr>
        <w:pStyle w:val="Heading3"/>
      </w:pPr>
      <w:bookmarkStart w:id="581" w:name="_Toc395604746"/>
      <w:r>
        <w:t>5</w:t>
      </w:r>
      <w:r w:rsidR="00C26A52" w:rsidRPr="00CA4465">
        <w:t>.</w:t>
      </w:r>
      <w:r w:rsidR="00C26A52" w:rsidRPr="00CA4465">
        <w:tab/>
      </w:r>
      <w:r w:rsidR="00F1474C">
        <w:t>Environmental-</w:t>
      </w:r>
      <w:r w:rsidR="002E773F">
        <w:t>R</w:t>
      </w:r>
      <w:r w:rsidR="00F1474C">
        <w:t xml:space="preserve">eview </w:t>
      </w:r>
      <w:r w:rsidR="002E773F">
        <w:t>D</w:t>
      </w:r>
      <w:r w:rsidR="00F1474C">
        <w:t>ecisions (</w:t>
      </w:r>
      <w:r w:rsidR="00C37723">
        <w:t>V</w:t>
      </w:r>
      <w:r w:rsidR="00F1474C">
        <w:t xml:space="preserve">arious </w:t>
      </w:r>
      <w:r w:rsidR="00C37723">
        <w:t>R</w:t>
      </w:r>
      <w:r w:rsidR="000467B1">
        <w:t xml:space="preserve">esponsible </w:t>
      </w:r>
      <w:r w:rsidR="00C37723">
        <w:t>G</w:t>
      </w:r>
      <w:r w:rsidR="000467B1">
        <w:t xml:space="preserve">overnmental </w:t>
      </w:r>
      <w:r w:rsidR="00C37723">
        <w:t>U</w:t>
      </w:r>
      <w:r w:rsidR="000467B1">
        <w:t>nits (RGUs</w:t>
      </w:r>
      <w:r w:rsidR="00F1474C">
        <w:t>)</w:t>
      </w:r>
      <w:r w:rsidR="000467B1">
        <w:t>)</w:t>
      </w:r>
      <w:bookmarkEnd w:id="581"/>
    </w:p>
    <w:p w:rsidR="00970403" w:rsidRPr="00970403" w:rsidRDefault="00970403" w:rsidP="00970403">
      <w:pPr>
        <w:ind w:left="720"/>
      </w:pPr>
      <w:r>
        <w:t>“</w:t>
      </w:r>
      <w:r w:rsidRPr="00970403">
        <w:t xml:space="preserve">In 2011, the legislature amended the Minnesota Statutes to allow persons aggrieved by environmental-review decisions to appeal directly to this court, rather than first appealing to the district court. </w:t>
      </w:r>
      <w:r>
        <w:t xml:space="preserve"> </w:t>
      </w:r>
      <w:r w:rsidRPr="00970403">
        <w:t xml:space="preserve">This court has historically reviewed challenges to </w:t>
      </w:r>
      <w:r>
        <w:t>environmental-review decisions ‘</w:t>
      </w:r>
      <w:r w:rsidRPr="00970403">
        <w:t xml:space="preserve">without according </w:t>
      </w:r>
      <w:r>
        <w:t>deference to the district court’s review.’</w:t>
      </w:r>
      <w:r w:rsidRPr="00970403">
        <w:t xml:space="preserve"> </w:t>
      </w:r>
      <w:r w:rsidR="0051313E">
        <w:rPr>
          <w:i/>
          <w:iCs/>
        </w:rPr>
        <w:t xml:space="preserve"> </w:t>
      </w:r>
      <w:r w:rsidRPr="00970403">
        <w:t xml:space="preserve"> Accordingly, the legislative amendment allowing for direct appeal does not affect this court's standard of review.</w:t>
      </w:r>
      <w:r w:rsidR="0051313E">
        <w:t xml:space="preserve">”  </w:t>
      </w:r>
      <w:r w:rsidRPr="0051313E">
        <w:rPr>
          <w:i/>
        </w:rPr>
        <w:t>In re Envtl. Assessment Worksheet for 33rd Sale of State Metallic Leases in Aitkin, Lake, Saint Louis Counties</w:t>
      </w:r>
      <w:r w:rsidRPr="00970403">
        <w:t>, 838 N.W.2d 212, 216 (Minn. App. 2013)</w:t>
      </w:r>
      <w:r w:rsidR="0051313E">
        <w:t xml:space="preserve"> (citation and quotation omitted)</w:t>
      </w:r>
      <w:r w:rsidRPr="00970403">
        <w:t xml:space="preserve">, </w:t>
      </w:r>
      <w:r w:rsidRPr="0051313E">
        <w:rPr>
          <w:i/>
        </w:rPr>
        <w:t>review denied</w:t>
      </w:r>
      <w:r w:rsidRPr="00970403">
        <w:t xml:space="preserve"> (Nov. 26, 2013)</w:t>
      </w:r>
      <w:r w:rsidR="0051313E">
        <w:t>.</w:t>
      </w:r>
    </w:p>
    <w:p w:rsidR="005B1960" w:rsidRPr="00970403" w:rsidRDefault="005B1960" w:rsidP="000467B1">
      <w:pPr>
        <w:ind w:left="720"/>
        <w:rPr>
          <w:highlight w:val="yellow"/>
        </w:rPr>
      </w:pPr>
    </w:p>
    <w:p w:rsidR="00970403" w:rsidRPr="00970403" w:rsidRDefault="00970403" w:rsidP="00970403">
      <w:pPr>
        <w:spacing w:after="240"/>
        <w:ind w:left="720"/>
      </w:pPr>
      <w:r>
        <w:t>“</w:t>
      </w:r>
      <w:r w:rsidRPr="00970403">
        <w:t xml:space="preserve">Final decisions on whether to complete EAWs are appealable to the Minnesota Court of Appeals by petition for writ of certiorari. Minn.Stat. § 116D.04, subd. 10 (2012). We review such decisions to determine whether they are unreasonable, arbitrary, or capricious. </w:t>
      </w:r>
      <w:r w:rsidRPr="00970403">
        <w:rPr>
          <w:i/>
          <w:iCs/>
        </w:rPr>
        <w:t>Watab Twp. Citizen Allia</w:t>
      </w:r>
      <w:r w:rsidR="0051313E">
        <w:rPr>
          <w:i/>
          <w:iCs/>
        </w:rPr>
        <w:t>nce v. Benton Cnty. Bd. of Comm’</w:t>
      </w:r>
      <w:r w:rsidRPr="00970403">
        <w:rPr>
          <w:i/>
          <w:iCs/>
        </w:rPr>
        <w:t>rs,</w:t>
      </w:r>
      <w:r w:rsidRPr="00970403">
        <w:t xml:space="preserve"> 728 N.W.2d 82, 89 (Minn.</w:t>
      </w:r>
      <w:r>
        <w:t xml:space="preserve"> </w:t>
      </w:r>
      <w:r w:rsidRPr="00970403">
        <w:t>App.</w:t>
      </w:r>
      <w:r>
        <w:t xml:space="preserve"> </w:t>
      </w:r>
      <w:r w:rsidRPr="00970403">
        <w:t xml:space="preserve">2007), </w:t>
      </w:r>
      <w:r w:rsidRPr="00970403">
        <w:rPr>
          <w:i/>
          <w:iCs/>
        </w:rPr>
        <w:t>review denied</w:t>
      </w:r>
      <w:r w:rsidRPr="00970403">
        <w:t xml:space="preserve"> (Minn. May 15, 2007).</w:t>
      </w:r>
      <w:r>
        <w:t xml:space="preserve">”  </w:t>
      </w:r>
      <w:r w:rsidRPr="00970403">
        <w:rPr>
          <w:i/>
        </w:rPr>
        <w:t>In re Envtl. Assessment Worksheet for 33rd Sale of State Metallic Leases in Aitkin, Lake, Saint Louis Counties</w:t>
      </w:r>
      <w:r>
        <w:t>, 838 N.W.2d 212, 216 (Minn.</w:t>
      </w:r>
      <w:r w:rsidRPr="00970403">
        <w:t xml:space="preserve"> App. 2013), </w:t>
      </w:r>
      <w:r w:rsidRPr="00970403">
        <w:rPr>
          <w:i/>
        </w:rPr>
        <w:t>review denied</w:t>
      </w:r>
      <w:r w:rsidRPr="00970403">
        <w:t xml:space="preserve"> (Nov. 26, 2013)</w:t>
      </w:r>
      <w:r w:rsidR="0051313E">
        <w:t>.</w:t>
      </w:r>
    </w:p>
    <w:p w:rsidR="00970403" w:rsidRDefault="00970403" w:rsidP="000467B1">
      <w:pPr>
        <w:ind w:left="720"/>
      </w:pPr>
    </w:p>
    <w:p w:rsidR="00970403" w:rsidRDefault="00970403" w:rsidP="000467B1">
      <w:pPr>
        <w:ind w:left="720"/>
      </w:pPr>
    </w:p>
    <w:p w:rsidR="000467B1" w:rsidRPr="00CF3BAB" w:rsidRDefault="000467B1" w:rsidP="000467B1">
      <w:pPr>
        <w:ind w:left="720"/>
      </w:pPr>
      <w:r w:rsidRPr="00CF3BAB">
        <w:t xml:space="preserve">“The party challenging an RGU’s decision . . . has the burden of proving that its findings are unsupported by the evidence as a whole.”   </w:t>
      </w:r>
      <w:r w:rsidRPr="00CF3BAB">
        <w:rPr>
          <w:i/>
        </w:rPr>
        <w:t>Friends of Twin Lakes v. City of Roseville</w:t>
      </w:r>
      <w:r w:rsidRPr="00CF3BAB">
        <w:t xml:space="preserve">, 764 N.W.2d 378, 381 (Minn. App. 2009) (citing </w:t>
      </w:r>
      <w:r w:rsidRPr="00CF3BAB">
        <w:rPr>
          <w:i/>
        </w:rPr>
        <w:t>Citizens Advocating Responsible Dev. v. Kandiyohi C</w:t>
      </w:r>
      <w:r w:rsidR="00CF3BAB" w:rsidRPr="00CF3BAB">
        <w:rPr>
          <w:i/>
        </w:rPr>
        <w:t>nty.</w:t>
      </w:r>
      <w:r w:rsidRPr="00CF3BAB">
        <w:rPr>
          <w:i/>
        </w:rPr>
        <w:t xml:space="preserve"> Bd. of Comm</w:t>
      </w:r>
      <w:r w:rsidR="00CF3BAB" w:rsidRPr="00CF3BAB">
        <w:rPr>
          <w:i/>
        </w:rPr>
        <w:t>’</w:t>
      </w:r>
      <w:r w:rsidRPr="00CF3BAB">
        <w:rPr>
          <w:i/>
        </w:rPr>
        <w:t>rs</w:t>
      </w:r>
      <w:r w:rsidRPr="00CF3BAB">
        <w:t xml:space="preserve">, 713 N.W.2d 817, 833 (Minn. 2006)).  </w:t>
      </w:r>
    </w:p>
    <w:p w:rsidR="00751290" w:rsidRPr="00CF3BAB" w:rsidRDefault="00751290" w:rsidP="000467B1">
      <w:pPr>
        <w:ind w:left="720"/>
      </w:pPr>
    </w:p>
    <w:p w:rsidR="0013647E" w:rsidRPr="0013647E" w:rsidRDefault="00751290" w:rsidP="0013647E">
      <w:pPr>
        <w:ind w:left="720"/>
      </w:pPr>
      <w:r w:rsidRPr="00CF3BAB">
        <w:t>“</w:t>
      </w:r>
      <w:r w:rsidR="00CF3BAB" w:rsidRPr="00CF3BAB">
        <w:t>[</w:t>
      </w:r>
      <w:r w:rsidRPr="00CF3BAB">
        <w:t>W</w:t>
      </w:r>
      <w:r w:rsidR="00CF3BAB" w:rsidRPr="00CF3BAB">
        <w:t>]</w:t>
      </w:r>
      <w:r w:rsidRPr="00CF3BAB">
        <w:t>e evaluate whether the RGU took a ‘hard look’ at the salient issues, but defer to the RGU’s decision unless the decision reflects an error of law, is arbitrary and capricious, or is unsupported by substantial evidence.</w:t>
      </w:r>
      <w:r w:rsidR="0013647E" w:rsidRPr="00CF3BAB">
        <w:t xml:space="preserve">”  </w:t>
      </w:r>
      <w:r w:rsidRPr="00CF3BAB">
        <w:t xml:space="preserve">  </w:t>
      </w:r>
      <w:r w:rsidR="0013647E" w:rsidRPr="00CF3BAB">
        <w:rPr>
          <w:i/>
        </w:rPr>
        <w:t>Friends of Twin Lakes v. City of Roseville</w:t>
      </w:r>
      <w:r w:rsidR="0013647E" w:rsidRPr="00CF3BAB">
        <w:t xml:space="preserve">, 764 N.W.2d 378, 381 (Minn. App. 2009) (citing </w:t>
      </w:r>
      <w:r w:rsidR="0013647E" w:rsidRPr="00CF3BAB">
        <w:rPr>
          <w:i/>
        </w:rPr>
        <w:t>Citizens Advocating Responsible Dev. v. Kandiyohi Cnty</w:t>
      </w:r>
      <w:r w:rsidR="00CF3BAB" w:rsidRPr="00CF3BAB">
        <w:rPr>
          <w:i/>
        </w:rPr>
        <w:t>.</w:t>
      </w:r>
      <w:r w:rsidR="0013647E" w:rsidRPr="00CF3BAB">
        <w:rPr>
          <w:i/>
        </w:rPr>
        <w:t xml:space="preserve"> Bd. of Comm</w:t>
      </w:r>
      <w:r w:rsidR="00CF3BAB" w:rsidRPr="00CF3BAB">
        <w:rPr>
          <w:i/>
        </w:rPr>
        <w:t>’</w:t>
      </w:r>
      <w:r w:rsidR="0013647E" w:rsidRPr="00CF3BAB">
        <w:rPr>
          <w:i/>
        </w:rPr>
        <w:t>rs</w:t>
      </w:r>
      <w:r w:rsidR="0013647E" w:rsidRPr="00CF3BAB">
        <w:t>, 713 N.W.2d 817, 832 (Minn. 2006)).</w:t>
      </w:r>
      <w:r w:rsidR="0013647E" w:rsidRPr="0013647E">
        <w:t xml:space="preserve">  </w:t>
      </w:r>
    </w:p>
    <w:p w:rsidR="00751290" w:rsidRDefault="00751290" w:rsidP="000467B1">
      <w:pPr>
        <w:ind w:left="720"/>
      </w:pPr>
    </w:p>
    <w:p w:rsidR="00D73BE0" w:rsidRPr="00CA4465" w:rsidRDefault="00D73BE0" w:rsidP="00D73BE0">
      <w:pPr>
        <w:ind w:left="720"/>
      </w:pPr>
      <w:r>
        <w:t>“</w:t>
      </w:r>
      <w:r w:rsidRPr="00CA4465">
        <w:t xml:space="preserve">When reviewing a district court’s summary judgment </w:t>
      </w:r>
      <w:r>
        <w:t xml:space="preserve">order </w:t>
      </w:r>
      <w:r w:rsidRPr="00CA4465">
        <w:t xml:space="preserve">affirming an agency’s negative declaration regarding the need for an </w:t>
      </w:r>
      <w:r>
        <w:t>EIS</w:t>
      </w:r>
      <w:r w:rsidRPr="00CA4465">
        <w:t xml:space="preserve">, the court </w:t>
      </w:r>
      <w:r>
        <w:t xml:space="preserve">reviews the agency </w:t>
      </w:r>
      <w:r w:rsidRPr="00CA4465">
        <w:t>decision</w:t>
      </w:r>
      <w:r>
        <w:t xml:space="preserve"> to </w:t>
      </w:r>
      <w:r w:rsidRPr="00CA4465">
        <w:t>determin</w:t>
      </w:r>
      <w:r>
        <w:t xml:space="preserve">e if </w:t>
      </w:r>
      <w:r w:rsidRPr="00CA4465">
        <w:t xml:space="preserve">it </w:t>
      </w:r>
      <w:r>
        <w:t>i</w:t>
      </w:r>
      <w:r w:rsidRPr="00CA4465">
        <w:t>s unreasonable, arbitrary, or capricious</w:t>
      </w:r>
      <w:r>
        <w:t xml:space="preserve">, with review focused on the legal sufficiency of and factual basis for the reasons given.  We will affirm the agency’s decision if it was not arbitrary or capricious even though the court may have reached a different conclusion had it been the fact-finder.  We review the administrative record and determine whether there is substantial evidence supporting the agency finding.”  </w:t>
      </w:r>
      <w:r w:rsidRPr="00CA4465">
        <w:rPr>
          <w:i/>
          <w:iCs/>
        </w:rPr>
        <w:t>I</w:t>
      </w:r>
      <w:r>
        <w:rPr>
          <w:i/>
          <w:iCs/>
        </w:rPr>
        <w:t>n re Am. I</w:t>
      </w:r>
      <w:r w:rsidRPr="00CA4465">
        <w:rPr>
          <w:i/>
          <w:iCs/>
        </w:rPr>
        <w:t xml:space="preserve">ron </w:t>
      </w:r>
      <w:r>
        <w:rPr>
          <w:i/>
          <w:iCs/>
        </w:rPr>
        <w:t>&amp; Supply Co.’s Proposed Metal Shredding Facility</w:t>
      </w:r>
      <w:r>
        <w:rPr>
          <w:iCs/>
        </w:rPr>
        <w:t>, 604 N.W.2d 140, 144 (Minn. App. 2000) (quotations omitted)</w:t>
      </w:r>
      <w:r w:rsidRPr="00CA4465">
        <w:t>.</w:t>
      </w:r>
    </w:p>
    <w:p w:rsidR="00D73BE0" w:rsidRDefault="00D73BE0" w:rsidP="00C26A52">
      <w:pPr>
        <w:ind w:left="720"/>
      </w:pPr>
    </w:p>
    <w:p w:rsidR="00C26A52" w:rsidRPr="00CA4465" w:rsidRDefault="00C26A52" w:rsidP="00C26A52">
      <w:pPr>
        <w:ind w:left="720"/>
      </w:pPr>
      <w:r w:rsidRPr="00CA4465">
        <w:t xml:space="preserve">“A determination whether significant environmental effects result from this project is primarily factual and necessarily requires application of the agency’s technical knowledge and expertise to the facts presented.  Accordingly, it is appropriate to defer to the agency’s interpretation of whether the statutory standard is met . . . . [W]e review the decision not to prepare an EIS for whether it was unsupported by substantial evidence in view of the entire record as submitted or was arbitrary or capricious.”  </w:t>
      </w:r>
      <w:r w:rsidRPr="00CA4465">
        <w:rPr>
          <w:i/>
        </w:rPr>
        <w:t>Minn. Ctr. for Envtl. Advocacy v. Minn. Pollution Control Agency</w:t>
      </w:r>
      <w:r w:rsidRPr="00CA4465">
        <w:t>, 644 N.W.2d 457, 464 (Minn. 2002) (citing Minn. Stat. § 14.69 (2000)).</w:t>
      </w:r>
    </w:p>
    <w:p w:rsidR="00C26A52" w:rsidRPr="00CA4465" w:rsidRDefault="00C26A52" w:rsidP="00C26A52">
      <w:pPr>
        <w:ind w:left="720"/>
      </w:pPr>
    </w:p>
    <w:p w:rsidR="00C26A52" w:rsidRPr="00CA4465" w:rsidRDefault="00C26A52" w:rsidP="00C26A52">
      <w:pPr>
        <w:ind w:left="720"/>
      </w:pPr>
      <w:r w:rsidRPr="00CA4465">
        <w:t xml:space="preserve">When reviewing a summary judgment affirming a negative declaration regarding the need for an EIS, we focus “on the proceedings before the decision-making body . . . , not the findings of the [district] court.”  </w:t>
      </w:r>
      <w:r w:rsidRPr="00CA4465">
        <w:rPr>
          <w:i/>
        </w:rPr>
        <w:t>Iron Rangers for Responsible Ridge Action v. Iron Range Res.</w:t>
      </w:r>
      <w:r w:rsidRPr="00CA4465">
        <w:t xml:space="preserve">, 531 N.W.2d 874, 879 (Minn. App. 1995), </w:t>
      </w:r>
      <w:r w:rsidRPr="00CA4465">
        <w:rPr>
          <w:i/>
        </w:rPr>
        <w:t>review denied</w:t>
      </w:r>
      <w:r w:rsidRPr="00CA4465">
        <w:t xml:space="preserve"> (Minn. July 28, 1995).</w:t>
      </w:r>
    </w:p>
    <w:p w:rsidR="00C26A52" w:rsidRPr="00CA4465" w:rsidRDefault="00C26A52" w:rsidP="00C26A52">
      <w:pPr>
        <w:ind w:left="720"/>
      </w:pPr>
    </w:p>
    <w:p w:rsidR="00C26A52" w:rsidRPr="00CA4465" w:rsidRDefault="00C26A52" w:rsidP="00C26A52">
      <w:pPr>
        <w:ind w:left="720"/>
      </w:pPr>
      <w:r w:rsidRPr="00CA4465">
        <w:t xml:space="preserve">“[D]ecisions of administrative agencies enjoy a presumption of correctness, and deference should be shown by courts to the agencies’ expertise and their special knowledge in the field of their technical training, education, and experience.”  </w:t>
      </w:r>
      <w:r w:rsidRPr="00CA4465">
        <w:rPr>
          <w:i/>
        </w:rPr>
        <w:t>Minn. Ctr. for Envtl. Advocacy v. Minn. Pollution Control Agency</w:t>
      </w:r>
      <w:r w:rsidRPr="00CA4465">
        <w:t>, 644 N.W.2d 457, 463 (Minn. 2002) (quotation omitted).</w:t>
      </w:r>
    </w:p>
    <w:p w:rsidR="00C26A52" w:rsidRPr="00CA4465" w:rsidRDefault="00C26A52" w:rsidP="00C26A52">
      <w:pPr>
        <w:ind w:left="720"/>
      </w:pPr>
    </w:p>
    <w:p w:rsidR="00C26A52" w:rsidRDefault="00C26A52" w:rsidP="00C26A52">
      <w:pPr>
        <w:ind w:left="720"/>
      </w:pPr>
      <w:r w:rsidRPr="00CA4465">
        <w:t xml:space="preserve">“[I]n an area such as environmental review, uniquely involving application of an agency’s expertise, technical training, and experience, the standard of review set forth in </w:t>
      </w:r>
      <w:r w:rsidRPr="00CA4465">
        <w:lastRenderedPageBreak/>
        <w:t xml:space="preserve">[the Minnesota Administrative Procedures Act (MAPA)] is appropriate.  Therefore, despite the fact that a contested case proceeding was not held in this case, we believe application of the MAPA standards is appropriate.”  </w:t>
      </w:r>
      <w:r w:rsidRPr="00CA4465">
        <w:rPr>
          <w:i/>
        </w:rPr>
        <w:t>Minn. Ctr. for Envtl. Advocacy v. Minn. Pollution Control Agency</w:t>
      </w:r>
      <w:r w:rsidRPr="00CA4465">
        <w:t xml:space="preserve">, 644 N.W.2d 457, 464 (Minn. 2002). </w:t>
      </w:r>
    </w:p>
    <w:p w:rsidR="00FE551D" w:rsidRDefault="00FE551D" w:rsidP="00337FFA">
      <w:pPr>
        <w:pStyle w:val="Heading3"/>
      </w:pPr>
      <w:bookmarkStart w:id="582" w:name="_Toc395604747"/>
      <w:r>
        <w:t>6.</w:t>
      </w:r>
      <w:r>
        <w:tab/>
      </w:r>
      <w:r w:rsidR="00DF6EA4">
        <w:t>Municipalities</w:t>
      </w:r>
      <w:bookmarkEnd w:id="582"/>
    </w:p>
    <w:p w:rsidR="00FE551D" w:rsidRPr="00993AB5" w:rsidRDefault="00936925" w:rsidP="00FE551D">
      <w:pPr>
        <w:ind w:left="720"/>
      </w:pPr>
      <w:r w:rsidRPr="00993AB5">
        <w:t>“We review a quasi-judicial decision rendered by a city under a limited and nonintrusive standard of review.</w:t>
      </w:r>
      <w:r w:rsidR="00DF6EA4" w:rsidRPr="00993AB5">
        <w:t xml:space="preserve">  Under that standard, we may not substitute our own findings of fact for those of a city, or engage in a de novo review of conflicting evidence.  Instead, we must uphold a city’s decision if the city has explained how it derived its conclusion and [the city’s] conclusion is reasonable on the basis of the record.</w:t>
      </w:r>
      <w:r w:rsidRPr="00993AB5">
        <w:t xml:space="preserve">”  </w:t>
      </w:r>
      <w:r w:rsidRPr="00993AB5">
        <w:rPr>
          <w:i/>
        </w:rPr>
        <w:t>Sawh v. City of Lino Lakes</w:t>
      </w:r>
      <w:r w:rsidRPr="00993AB5">
        <w:t>, 823 N.W.2d 627, 635 (Minn. 2012)</w:t>
      </w:r>
      <w:r w:rsidR="00DF6EA4" w:rsidRPr="00993AB5">
        <w:t xml:space="preserve"> (</w:t>
      </w:r>
      <w:r w:rsidR="00993AB5" w:rsidRPr="00993AB5">
        <w:t xml:space="preserve">citations and </w:t>
      </w:r>
      <w:r w:rsidR="00DF6EA4" w:rsidRPr="00993AB5">
        <w:t xml:space="preserve">quotations omitted).  </w:t>
      </w:r>
    </w:p>
    <w:p w:rsidR="00876D94" w:rsidRPr="00BC5784" w:rsidRDefault="00876D94" w:rsidP="00FE551D">
      <w:pPr>
        <w:ind w:left="720"/>
        <w:rPr>
          <w:highlight w:val="yellow"/>
        </w:rPr>
      </w:pPr>
    </w:p>
    <w:p w:rsidR="00876D94" w:rsidRPr="005A203A" w:rsidRDefault="00876D94" w:rsidP="00FE551D">
      <w:pPr>
        <w:ind w:left="720"/>
      </w:pPr>
      <w:r w:rsidRPr="005A203A">
        <w:t xml:space="preserve">“City council action is quasi-judicial and subject to certiorari review if it is the product or result of discretionary investigation, consideration, and evaluation of evidentiary facts.”  </w:t>
      </w:r>
      <w:r w:rsidRPr="005A203A">
        <w:rPr>
          <w:i/>
        </w:rPr>
        <w:t>Staeheli v. City of St. Paul</w:t>
      </w:r>
      <w:r w:rsidRPr="005A203A">
        <w:t xml:space="preserve">, 732 N.W.2d 298, 303 (Minn. App. 2007) (quotation omitted).  </w:t>
      </w:r>
    </w:p>
    <w:p w:rsidR="00876D94" w:rsidRPr="005A203A" w:rsidRDefault="00876D94" w:rsidP="00FE551D">
      <w:pPr>
        <w:ind w:left="720"/>
      </w:pPr>
    </w:p>
    <w:p w:rsidR="007944EE" w:rsidRPr="005A203A" w:rsidRDefault="00876D94" w:rsidP="007944EE">
      <w:pPr>
        <w:ind w:left="720"/>
      </w:pPr>
      <w:r w:rsidRPr="005A203A">
        <w:t xml:space="preserve">  “Certiorari review is limited to ‘questions affecting the jurisdiction </w:t>
      </w:r>
      <w:r w:rsidR="007944EE" w:rsidRPr="005A203A">
        <w:t>of the board, the regularity of its proceedings, and, as to the merits of the controversy, whether the order or determination in a particular case was arbitrary, oppressive, unreasonable, fraudulent, under</w:t>
      </w:r>
      <w:r w:rsidR="005A203A" w:rsidRPr="005A203A">
        <w:t xml:space="preserve"> an</w:t>
      </w:r>
      <w:r w:rsidR="007944EE" w:rsidRPr="005A203A">
        <w:t xml:space="preserve"> erroneous theory of law, or without any evidence to support it.’”  </w:t>
      </w:r>
      <w:r w:rsidR="007944EE" w:rsidRPr="005A203A">
        <w:rPr>
          <w:i/>
        </w:rPr>
        <w:t>Staeheli v. City of St. Paul</w:t>
      </w:r>
      <w:r w:rsidR="007944EE" w:rsidRPr="005A203A">
        <w:t xml:space="preserve">, 732 N.W.2d 298, 303 (Minn. App. 2007) (quoting </w:t>
      </w:r>
      <w:r w:rsidR="007944EE" w:rsidRPr="005A203A">
        <w:rPr>
          <w:i/>
        </w:rPr>
        <w:t>Dietz v. Dodge Cnty.</w:t>
      </w:r>
      <w:r w:rsidR="007944EE" w:rsidRPr="005A203A">
        <w:t xml:space="preserve">, 487 N.W.2d 237, 239 (Minn. 1992)).  </w:t>
      </w:r>
    </w:p>
    <w:p w:rsidR="007944EE" w:rsidRPr="005A203A" w:rsidRDefault="007944EE" w:rsidP="007944EE">
      <w:pPr>
        <w:ind w:left="720"/>
      </w:pPr>
    </w:p>
    <w:p w:rsidR="007944EE" w:rsidRPr="00876D94" w:rsidRDefault="007944EE" w:rsidP="007944EE">
      <w:pPr>
        <w:ind w:left="720"/>
      </w:pPr>
      <w:r w:rsidRPr="005A203A">
        <w:t xml:space="preserve">“As a reviewing court, we will not retry facts or make credibility determinations, and we will uphold the decision if the lower tribunal furnished any legal and substantial basis for the action taken.”  </w:t>
      </w:r>
      <w:r w:rsidRPr="005A203A">
        <w:rPr>
          <w:i/>
        </w:rPr>
        <w:t>Staeheli v. City of St. Paul</w:t>
      </w:r>
      <w:r w:rsidRPr="005A203A">
        <w:t>, 732 N.W.2d 298, 303 (Minn. App. 2007) (quotation omitted).</w:t>
      </w:r>
      <w:r>
        <w:t xml:space="preserve">  </w:t>
      </w:r>
    </w:p>
    <w:p w:rsidR="007E4BFD" w:rsidRPr="00CA4465" w:rsidRDefault="00DD3018" w:rsidP="00337FFA">
      <w:pPr>
        <w:pStyle w:val="Heading3"/>
      </w:pPr>
      <w:bookmarkStart w:id="583" w:name="_Toc48979740"/>
      <w:r>
        <w:t xml:space="preserve"> </w:t>
      </w:r>
      <w:bookmarkStart w:id="584" w:name="_Toc395604748"/>
      <w:r w:rsidR="00FE551D">
        <w:t>7</w:t>
      </w:r>
      <w:r w:rsidR="007E4BFD">
        <w:t>.</w:t>
      </w:r>
      <w:r w:rsidR="007E4BFD" w:rsidRPr="00CA4465">
        <w:tab/>
        <w:t>School Boards</w:t>
      </w:r>
      <w:bookmarkEnd w:id="583"/>
      <w:bookmarkEnd w:id="584"/>
      <w:r w:rsidR="007E4BFD" w:rsidRPr="00CA4465">
        <w:t xml:space="preserve"> </w:t>
      </w:r>
    </w:p>
    <w:p w:rsidR="007E4BFD" w:rsidRPr="00CA4465" w:rsidRDefault="007E4BFD" w:rsidP="007E4BFD">
      <w:pPr>
        <w:ind w:left="720"/>
      </w:pPr>
      <w:r w:rsidRPr="00CA4465">
        <w:t xml:space="preserve">A reviewing court will reverse a school board’s determination “when it is fraudulent, arbitrary, unreasonable, unsupported by substantial evidence, not within its jurisdiction, or based on an error of law.”  </w:t>
      </w:r>
      <w:r w:rsidRPr="00CA4465">
        <w:rPr>
          <w:i/>
          <w:iCs/>
        </w:rPr>
        <w:t>Dokmo v. Indep. Sch. Dist. No. 11</w:t>
      </w:r>
      <w:r w:rsidRPr="00CA4465">
        <w:t>, 459 N.W.2d 671, 675 (Minn. 1990).</w:t>
      </w:r>
    </w:p>
    <w:p w:rsidR="007E4BFD" w:rsidRPr="00CA4465" w:rsidRDefault="007E4BFD" w:rsidP="007E4BFD">
      <w:pPr>
        <w:ind w:left="720"/>
      </w:pPr>
    </w:p>
    <w:p w:rsidR="007E4BFD" w:rsidRPr="00CA4465" w:rsidRDefault="007E4BFD" w:rsidP="007E4BFD">
      <w:pPr>
        <w:ind w:left="720"/>
      </w:pPr>
      <w:r w:rsidRPr="00CA4465">
        <w:t xml:space="preserve">“The school board must make specific findings supporting its decision.  If the findings are insufficient, the case can be either remanded for additional findings or reversed for lacking substantial evidence supporting the decision.”  </w:t>
      </w:r>
      <w:r w:rsidRPr="00CA4465">
        <w:rPr>
          <w:i/>
          <w:iCs/>
        </w:rPr>
        <w:t>Dokmo v. Indep. Sch. Dist. No. 11</w:t>
      </w:r>
      <w:r w:rsidRPr="00CA4465">
        <w:t xml:space="preserve">, 459 N.W.2d 671, 675 (Minn. 1990). </w:t>
      </w:r>
    </w:p>
    <w:p w:rsidR="007E4BFD" w:rsidRPr="00CA4465" w:rsidRDefault="007E4BFD" w:rsidP="007E4BFD">
      <w:pPr>
        <w:ind w:left="720"/>
      </w:pPr>
    </w:p>
    <w:p w:rsidR="007E4BFD" w:rsidRDefault="007E4BFD" w:rsidP="007E4BFD">
      <w:pPr>
        <w:ind w:left="720"/>
      </w:pPr>
      <w:r w:rsidRPr="00CA4465">
        <w:t xml:space="preserve">“This court reviews a school board’s decision to terminate a teacher by looking at the entire record.  The matter is, however, not heard </w:t>
      </w:r>
      <w:r w:rsidRPr="00CA4465">
        <w:rPr>
          <w:i/>
        </w:rPr>
        <w:t>de novo</w:t>
      </w:r>
      <w:r w:rsidRPr="00CA4465">
        <w:t xml:space="preserve"> and this court may not substitute its judgment for that of the school board.”  </w:t>
      </w:r>
      <w:r w:rsidRPr="00CA4465">
        <w:rPr>
          <w:i/>
          <w:iCs/>
        </w:rPr>
        <w:t>Atwood v. Indep. Sch. Dist. No. 51</w:t>
      </w:r>
      <w:r w:rsidRPr="00CA4465">
        <w:t>, 354 N.W.2d 9, 11 (Minn. 1984).</w:t>
      </w:r>
    </w:p>
    <w:p w:rsidR="00DD1658" w:rsidRDefault="00DD1658">
      <w:pPr>
        <w:jc w:val="left"/>
      </w:pPr>
      <w:r>
        <w:br w:type="page"/>
      </w:r>
    </w:p>
    <w:p w:rsidR="007E4BFD" w:rsidRDefault="008429C3" w:rsidP="008429C3">
      <w:pPr>
        <w:pStyle w:val="Heading1"/>
      </w:pPr>
      <w:bookmarkStart w:id="585" w:name="_Toc395604749"/>
      <w:r>
        <w:lastRenderedPageBreak/>
        <w:t>VIII.</w:t>
      </w:r>
      <w:r>
        <w:tab/>
      </w:r>
      <w:r w:rsidR="00DC4D3C">
        <w:t xml:space="preserve">ADMINISTRATIVE – </w:t>
      </w:r>
      <w:r w:rsidR="003742C2">
        <w:t>DEED</w:t>
      </w:r>
      <w:bookmarkEnd w:id="585"/>
      <w:r w:rsidR="00DC4D3C">
        <w:t xml:space="preserve"> </w:t>
      </w:r>
    </w:p>
    <w:p w:rsidR="007E4BFD" w:rsidRPr="00CA4465" w:rsidRDefault="007E4BFD" w:rsidP="00604DD4">
      <w:pPr>
        <w:pStyle w:val="Heading2"/>
      </w:pPr>
      <w:bookmarkStart w:id="586" w:name="_Toc395604750"/>
      <w:r w:rsidRPr="00CA4465">
        <w:t>A.</w:t>
      </w:r>
      <w:r w:rsidRPr="00CA4465">
        <w:tab/>
      </w:r>
      <w:r w:rsidR="00C86577">
        <w:t>GENERALLY</w:t>
      </w:r>
      <w:bookmarkEnd w:id="586"/>
    </w:p>
    <w:p w:rsidR="007E4BFD" w:rsidRPr="00CA4465" w:rsidRDefault="007E4BFD" w:rsidP="003742C2">
      <w:r w:rsidRPr="00CA4465">
        <w:t>“The Minnesota Court of Appeals may affirm the decision of the unemployment law judge or remand the case for further proceedings; or it may reverse or modify the decision if the substantial rights of the petitioner may have been prejudiced because the findings, inferences, conclusion, or decision are:</w:t>
      </w:r>
    </w:p>
    <w:p w:rsidR="007E4BFD" w:rsidRPr="00CA4465" w:rsidRDefault="007E4BFD" w:rsidP="003742C2"/>
    <w:p w:rsidR="007E4BFD" w:rsidRPr="00CA4465" w:rsidRDefault="007E4BFD" w:rsidP="003742C2">
      <w:r w:rsidRPr="00CA4465">
        <w:tab/>
        <w:t>(1)</w:t>
      </w:r>
      <w:r w:rsidRPr="00CA4465">
        <w:tab/>
        <w:t>in violation of constitutional provisions;</w:t>
      </w:r>
    </w:p>
    <w:p w:rsidR="007E4BFD" w:rsidRPr="00CA4465" w:rsidRDefault="007E4BFD" w:rsidP="003742C2">
      <w:r w:rsidRPr="00CA4465">
        <w:tab/>
        <w:t>(2)</w:t>
      </w:r>
      <w:r w:rsidRPr="00CA4465">
        <w:tab/>
        <w:t>in excess of the statutory authority or jurisdiction of the department;</w:t>
      </w:r>
    </w:p>
    <w:p w:rsidR="007E4BFD" w:rsidRPr="00CA4465" w:rsidRDefault="007E4BFD" w:rsidP="003742C2">
      <w:r w:rsidRPr="00CA4465">
        <w:tab/>
        <w:t>(3)</w:t>
      </w:r>
      <w:r w:rsidRPr="00CA4465">
        <w:tab/>
        <w:t>made upon unlawful procedure;</w:t>
      </w:r>
    </w:p>
    <w:p w:rsidR="007E4BFD" w:rsidRPr="00CA4465" w:rsidRDefault="007E4BFD" w:rsidP="003742C2">
      <w:r w:rsidRPr="00CA4465">
        <w:tab/>
        <w:t>(4)</w:t>
      </w:r>
      <w:r w:rsidRPr="00CA4465">
        <w:tab/>
        <w:t>affected by other error of law;</w:t>
      </w:r>
    </w:p>
    <w:p w:rsidR="007E4BFD" w:rsidRPr="00CA4465" w:rsidRDefault="007E4BFD" w:rsidP="004C225F">
      <w:pPr>
        <w:ind w:left="720" w:hanging="720"/>
      </w:pPr>
      <w:r w:rsidRPr="00CA4465">
        <w:tab/>
        <w:t>(5)</w:t>
      </w:r>
      <w:r w:rsidRPr="00CA4465">
        <w:tab/>
        <w:t xml:space="preserve">unsupported by substantial evidence in view of the entire record as </w:t>
      </w:r>
      <w:r w:rsidRPr="00CA4465">
        <w:tab/>
      </w:r>
      <w:r w:rsidRPr="00CA4465">
        <w:tab/>
      </w:r>
      <w:r w:rsidRPr="00CA4465">
        <w:tab/>
        <w:t>submitted; or</w:t>
      </w:r>
    </w:p>
    <w:p w:rsidR="007E4BFD" w:rsidRPr="00CA4465" w:rsidRDefault="007E4BFD" w:rsidP="003742C2">
      <w:r w:rsidRPr="00CA4465">
        <w:tab/>
        <w:t>(6)</w:t>
      </w:r>
      <w:r w:rsidRPr="00CA4465">
        <w:tab/>
        <w:t>arbitrary or capricious.”</w:t>
      </w:r>
    </w:p>
    <w:p w:rsidR="007E4BFD" w:rsidRPr="00CA4465" w:rsidRDefault="007E4BFD" w:rsidP="003742C2"/>
    <w:p w:rsidR="007E4BFD" w:rsidRDefault="007E4BFD" w:rsidP="003742C2">
      <w:r w:rsidRPr="00CA4465">
        <w:t>Minn. Stat. § 268.105, subd. 7(d) (20</w:t>
      </w:r>
      <w:r>
        <w:t>12</w:t>
      </w:r>
      <w:r w:rsidRPr="00CA4465">
        <w:t xml:space="preserve">); </w:t>
      </w:r>
      <w:r w:rsidRPr="00CA4465">
        <w:rPr>
          <w:i/>
        </w:rPr>
        <w:t xml:space="preserve">see </w:t>
      </w:r>
      <w:r>
        <w:rPr>
          <w:i/>
        </w:rPr>
        <w:t>Vasseei v. Schmitty &amp; Sons Sch. Buses, Inc.</w:t>
      </w:r>
      <w:r>
        <w:t xml:space="preserve">, 793 N.W.2d 747, 749-50 (Minn. App. 2010) </w:t>
      </w:r>
      <w:r w:rsidRPr="00CA4465">
        <w:t>(citing this standard of review)</w:t>
      </w:r>
      <w:r>
        <w:t xml:space="preserve">; </w:t>
      </w:r>
      <w:r w:rsidRPr="00CA4465">
        <w:rPr>
          <w:i/>
        </w:rPr>
        <w:t>Ywswf v. Teleplan Wireless Servs., Inc.</w:t>
      </w:r>
      <w:r w:rsidRPr="00CA4465">
        <w:t>, 726 N.W.2d 525, 529 (Minn. App. 2007)</w:t>
      </w:r>
      <w:r>
        <w:t xml:space="preserve"> (same)</w:t>
      </w:r>
      <w:r w:rsidRPr="00CA4465">
        <w:t>.</w:t>
      </w:r>
      <w:r w:rsidR="00934A6B">
        <w:t xml:space="preserve">  </w:t>
      </w:r>
      <w:r w:rsidR="00A81E42">
        <w:t xml:space="preserve"> </w:t>
      </w:r>
      <w:r w:rsidR="00934A6B">
        <w:t xml:space="preserve">  </w:t>
      </w:r>
    </w:p>
    <w:p w:rsidR="007E4BFD" w:rsidRDefault="007E4BFD" w:rsidP="003742C2"/>
    <w:p w:rsidR="007E4BFD" w:rsidRPr="00CA4465" w:rsidRDefault="007E4BFD" w:rsidP="003742C2">
      <w:bookmarkStart w:id="587" w:name="_Toc48979732"/>
      <w:r>
        <w:t xml:space="preserve">This standard of review was enacted in </w:t>
      </w:r>
      <w:r w:rsidRPr="00CA4465">
        <w:t xml:space="preserve">2005, </w:t>
      </w:r>
      <w:r>
        <w:t xml:space="preserve">and it mirrors </w:t>
      </w:r>
      <w:r w:rsidRPr="00CA4465">
        <w:t xml:space="preserve">the standard of review </w:t>
      </w:r>
      <w:r>
        <w:t xml:space="preserve">for </w:t>
      </w:r>
      <w:r w:rsidRPr="00CA4465">
        <w:t>administrative agencies</w:t>
      </w:r>
      <w:r>
        <w:t xml:space="preserve"> generally.  </w:t>
      </w:r>
      <w:r>
        <w:rPr>
          <w:i/>
        </w:rPr>
        <w:t xml:space="preserve">See </w:t>
      </w:r>
      <w:r>
        <w:t xml:space="preserve">Minn. Stat. </w:t>
      </w:r>
      <w:r w:rsidRPr="00CA4465">
        <w:t>§ </w:t>
      </w:r>
      <w:r>
        <w:t xml:space="preserve">14.69 (2012) (standard of review under the Minnesota Administrative Procedures Act); </w:t>
      </w:r>
      <w:r>
        <w:rPr>
          <w:i/>
        </w:rPr>
        <w:t>see</w:t>
      </w:r>
      <w:r w:rsidRPr="00CA4465">
        <w:t xml:space="preserve"> 2005 Minn. Laws ch. 112, art. 2, § 34, at 709-10</w:t>
      </w:r>
      <w:r>
        <w:t xml:space="preserve"> (enacting Minn. Stat. § 268.105, subd. 7(d))</w:t>
      </w:r>
      <w:r w:rsidRPr="00CA4465">
        <w:t>.</w:t>
      </w:r>
    </w:p>
    <w:p w:rsidR="007E4BFD" w:rsidRDefault="00A64830" w:rsidP="00604DD4">
      <w:pPr>
        <w:pStyle w:val="Heading2"/>
      </w:pPr>
      <w:bookmarkStart w:id="588" w:name="_Toc395604751"/>
      <w:bookmarkEnd w:id="587"/>
      <w:r>
        <w:t>B</w:t>
      </w:r>
      <w:r w:rsidR="007E4BFD" w:rsidRPr="00CA4465">
        <w:t>.</w:t>
      </w:r>
      <w:r w:rsidR="007E4BFD" w:rsidRPr="00CA4465">
        <w:tab/>
      </w:r>
      <w:r w:rsidR="00C86577">
        <w:t>NO BURDEN OF PROOF</w:t>
      </w:r>
      <w:bookmarkEnd w:id="588"/>
    </w:p>
    <w:p w:rsidR="007E4BFD" w:rsidRPr="00CA4465" w:rsidRDefault="007E4BFD" w:rsidP="003742C2">
      <w:r>
        <w:t xml:space="preserve">“An applicant’s entitlement to unemployment benefits must be determined based upon that information available without regard to a burden of proof.”  Minn. Stat. § 268.069, subd. 2 (2012).  </w:t>
      </w:r>
    </w:p>
    <w:p w:rsidR="007E4BFD" w:rsidRPr="00CA4465" w:rsidRDefault="007E4BFD" w:rsidP="003742C2">
      <w:pPr>
        <w:rPr>
          <w:b/>
        </w:rPr>
      </w:pPr>
    </w:p>
    <w:p w:rsidR="007E4BFD" w:rsidRDefault="007E4BFD" w:rsidP="003742C2">
      <w:r w:rsidRPr="008B1FB6">
        <w:rPr>
          <w:b/>
        </w:rPr>
        <w:t>Caution:</w:t>
      </w:r>
      <w:r>
        <w:t xml:space="preserve"> Previously, case law referred to a common-law burden of proof.  </w:t>
      </w:r>
      <w:r w:rsidRPr="004C08AB">
        <w:rPr>
          <w:i/>
        </w:rPr>
        <w:t>McGowan v. Exec</w:t>
      </w:r>
      <w:r>
        <w:rPr>
          <w:i/>
        </w:rPr>
        <w:t>.</w:t>
      </w:r>
      <w:r w:rsidRPr="004C08AB">
        <w:rPr>
          <w:i/>
        </w:rPr>
        <w:t xml:space="preserve"> Express Transp. Enters., Inc.</w:t>
      </w:r>
      <w:r w:rsidRPr="004C08AB">
        <w:t>, 420 N.W.2d 592, 595 (Minn. 1988)</w:t>
      </w:r>
      <w:r>
        <w:t xml:space="preserve">; </w:t>
      </w:r>
      <w:r w:rsidRPr="004C08AB">
        <w:rPr>
          <w:i/>
        </w:rPr>
        <w:t>Zepp v. Arthur Treacher Fish &amp; Chips, Inc.</w:t>
      </w:r>
      <w:r w:rsidRPr="004C08AB">
        <w:t xml:space="preserve">, 272 N.W.2d 262, 263 (Minn. 1978). </w:t>
      </w:r>
      <w:r>
        <w:t xml:space="preserve"> These cases are no longer good law for the proposition that there is a burden of proof in unemployment-benefit cases.  </w:t>
      </w:r>
    </w:p>
    <w:p w:rsidR="007E4BFD" w:rsidRPr="00CA4465" w:rsidRDefault="00A64830" w:rsidP="00604DD4">
      <w:pPr>
        <w:pStyle w:val="Heading2"/>
      </w:pPr>
      <w:bookmarkStart w:id="589" w:name="_Toc395604752"/>
      <w:r>
        <w:t>C</w:t>
      </w:r>
      <w:r w:rsidR="007E4BFD">
        <w:t>.</w:t>
      </w:r>
      <w:r w:rsidR="007E4BFD">
        <w:tab/>
      </w:r>
      <w:r w:rsidR="00C86577">
        <w:t>FINDINGS OF FACT</w:t>
      </w:r>
      <w:bookmarkEnd w:id="589"/>
    </w:p>
    <w:p w:rsidR="00A81E42" w:rsidRDefault="007E4BFD" w:rsidP="003742C2">
      <w:r w:rsidRPr="00CA4465">
        <w:t>Under Minn. Stat. § 268.105, subd. 7(d)(5) (20</w:t>
      </w:r>
      <w:r>
        <w:t>12</w:t>
      </w:r>
      <w:r w:rsidRPr="00CA4465">
        <w:t xml:space="preserve">), the court of appeals may reverse or modify the ULJ’s findings or inferences if they are “unsupported by </w:t>
      </w:r>
      <w:r w:rsidRPr="00CA4465">
        <w:rPr>
          <w:i/>
        </w:rPr>
        <w:t>substantial</w:t>
      </w:r>
      <w:r w:rsidRPr="00CA4465">
        <w:t xml:space="preserve"> evidence in view of the entire record as submitted.”  (Emphasis added.)</w:t>
      </w:r>
      <w:r w:rsidRPr="00CA4465">
        <w:rPr>
          <w:i/>
        </w:rPr>
        <w:t xml:space="preserve"> </w:t>
      </w:r>
      <w:r w:rsidRPr="00CA4465">
        <w:t xml:space="preserve"> </w:t>
      </w:r>
    </w:p>
    <w:p w:rsidR="00A81E42" w:rsidRDefault="00A81E42" w:rsidP="003742C2"/>
    <w:p w:rsidR="007E4BFD" w:rsidRDefault="007E4BFD" w:rsidP="003742C2">
      <w:r w:rsidRPr="00CA4465">
        <w:t xml:space="preserve">“This court views the ULJ’s factual findings in the light most favorable to the decision.  This court also gives deference to the credibility determinations made by the ULJ.  As a result, this court will not disturb the ULJ’s factual findings when the evidence substantially sustains them.”  </w:t>
      </w:r>
      <w:r w:rsidRPr="00CA4465">
        <w:rPr>
          <w:i/>
        </w:rPr>
        <w:lastRenderedPageBreak/>
        <w:t>Peterson v. Nw. Airlines, Inc.</w:t>
      </w:r>
      <w:r w:rsidRPr="00CA4465">
        <w:t xml:space="preserve">, 753 N.W.2d 771, 774 (Minn. App. 2008) (citations omitted), </w:t>
      </w:r>
      <w:r w:rsidRPr="00CA4465">
        <w:rPr>
          <w:i/>
        </w:rPr>
        <w:t>review denied</w:t>
      </w:r>
      <w:r w:rsidRPr="00CA4465">
        <w:t xml:space="preserve"> (Minn. Oct. 1, 2008)</w:t>
      </w:r>
      <w:r>
        <w:t>.</w:t>
      </w:r>
    </w:p>
    <w:p w:rsidR="007E4BFD" w:rsidRDefault="007E4BFD" w:rsidP="003742C2"/>
    <w:p w:rsidR="007E4BFD" w:rsidRPr="00006455" w:rsidRDefault="004C225F" w:rsidP="003742C2">
      <w:r>
        <w:t>“</w:t>
      </w:r>
      <w:r w:rsidR="007E4BFD" w:rsidRPr="00F979E3">
        <w:t xml:space="preserve">Whether an employee committed employment misconduct is a mixed question of fact and law. </w:t>
      </w:r>
      <w:r w:rsidR="007E4BFD">
        <w:t xml:space="preserve"> </w:t>
      </w:r>
      <w:r w:rsidR="007E4BFD" w:rsidRPr="00F979E3">
        <w:t xml:space="preserve">Whether the employee committed a particular act is a question of fact. </w:t>
      </w:r>
      <w:r w:rsidR="007E4BFD">
        <w:t xml:space="preserve"> </w:t>
      </w:r>
      <w:r w:rsidR="007E4BFD" w:rsidRPr="00F979E3">
        <w:t>We view the ULJ</w:t>
      </w:r>
      <w:r>
        <w:t>’</w:t>
      </w:r>
      <w:r w:rsidR="007E4BFD" w:rsidRPr="00F979E3">
        <w:t xml:space="preserve">s factual findings in the light most favorable to the decision, giving deference to the credibility determinations made by the ULJ. </w:t>
      </w:r>
      <w:r w:rsidR="007E4BFD">
        <w:t xml:space="preserve"> </w:t>
      </w:r>
      <w:r w:rsidR="007E4BFD" w:rsidRPr="00F979E3">
        <w:t>In doing so, we will not disturb the ULJ</w:t>
      </w:r>
      <w:r>
        <w:t>’</w:t>
      </w:r>
      <w:r w:rsidR="007E4BFD" w:rsidRPr="00F979E3">
        <w:t xml:space="preserve">s factual findings when the evidence substantially sustains them. </w:t>
      </w:r>
      <w:r w:rsidR="007E4BFD">
        <w:t xml:space="preserve"> </w:t>
      </w:r>
      <w:r w:rsidR="007E4BFD" w:rsidRPr="00F979E3">
        <w:t>Minn.</w:t>
      </w:r>
      <w:r w:rsidR="007E4BFD">
        <w:t xml:space="preserve"> </w:t>
      </w:r>
      <w:r w:rsidR="007E4BFD" w:rsidRPr="00F979E3">
        <w:t xml:space="preserve">Stat. § 268.105, subd. 7(d). </w:t>
      </w:r>
      <w:r w:rsidR="007E4BFD">
        <w:t xml:space="preserve"> </w:t>
      </w:r>
      <w:r w:rsidR="007E4BFD" w:rsidRPr="00F979E3">
        <w:t>But whether the act committed by the employee constitutes employment misconduct is a question of law, which we review de novo.</w:t>
      </w:r>
      <w:r>
        <w:t>”</w:t>
      </w:r>
      <w:r w:rsidR="007E4BFD">
        <w:t xml:space="preserve">  </w:t>
      </w:r>
      <w:r w:rsidR="007E4BFD">
        <w:rPr>
          <w:i/>
        </w:rPr>
        <w:t>Skarhus v. Davanni</w:t>
      </w:r>
      <w:r>
        <w:rPr>
          <w:i/>
        </w:rPr>
        <w:t>’</w:t>
      </w:r>
      <w:r w:rsidR="007E4BFD">
        <w:rPr>
          <w:i/>
        </w:rPr>
        <w:t>s Inc.</w:t>
      </w:r>
      <w:r w:rsidR="007E4BFD">
        <w:t xml:space="preserve">, 721 N.W.2d 340, 344 (Minn. App. 2006) (other citations omitted).  </w:t>
      </w:r>
    </w:p>
    <w:p w:rsidR="007E4BFD" w:rsidRDefault="007E4BFD" w:rsidP="003742C2"/>
    <w:p w:rsidR="007E4BFD" w:rsidRPr="008F02E6" w:rsidRDefault="007E4BFD" w:rsidP="003742C2">
      <w:r w:rsidRPr="00006455">
        <w:rPr>
          <w:b/>
        </w:rPr>
        <w:t>Caution:</w:t>
      </w:r>
      <w:r>
        <w:rPr>
          <w:b/>
        </w:rPr>
        <w:t xml:space="preserve">  </w:t>
      </w:r>
      <w:r w:rsidRPr="00006455">
        <w:t xml:space="preserve">Before the enactment of </w:t>
      </w:r>
      <w:r w:rsidRPr="00CA4465">
        <w:t>Minn. Stat. § 268.105, subd. 7(d)</w:t>
      </w:r>
      <w:r>
        <w:t xml:space="preserve">, findings were reviewed to determine </w:t>
      </w:r>
      <w:r w:rsidRPr="00CA4465">
        <w:t xml:space="preserve">whether </w:t>
      </w:r>
      <w:r>
        <w:t>they</w:t>
      </w:r>
      <w:r w:rsidRPr="00CA4465">
        <w:t xml:space="preserve"> were </w:t>
      </w:r>
      <w:r w:rsidRPr="008F02E6">
        <w:rPr>
          <w:i/>
        </w:rPr>
        <w:t>reasonably</w:t>
      </w:r>
      <w:r w:rsidRPr="00CA4465">
        <w:t xml:space="preserve"> supported by the record.  </w:t>
      </w:r>
      <w:r>
        <w:rPr>
          <w:i/>
        </w:rPr>
        <w:t>See</w:t>
      </w:r>
      <w:r w:rsidRPr="00CA4465">
        <w:rPr>
          <w:i/>
        </w:rPr>
        <w:t xml:space="preserve"> Schmidgall v. FilmTec Corp.</w:t>
      </w:r>
      <w:r w:rsidRPr="00CA4465">
        <w:t>, 644 N.W.2d 801, 804 (Minn. 2002) (stating that commissioner’s factual findings will not be disturbed “as long as there is evidence that reasonably tends to sustain those findings”).</w:t>
      </w:r>
      <w:r>
        <w:t xml:space="preserve">  In addition, the supreme court recently applied this same standard, holding that the appellate court “should not disturb [the ULJ’s] findings as long as there is evidence in the record that </w:t>
      </w:r>
      <w:r>
        <w:rPr>
          <w:i/>
        </w:rPr>
        <w:t xml:space="preserve">reasonably </w:t>
      </w:r>
      <w:r w:rsidRPr="00CF67E9">
        <w:t>tends</w:t>
      </w:r>
      <w:r>
        <w:t xml:space="preserve"> to sustain them.”  </w:t>
      </w:r>
      <w:r>
        <w:rPr>
          <w:i/>
        </w:rPr>
        <w:t>Stagg v. Vintage Place Inc.</w:t>
      </w:r>
      <w:r>
        <w:t xml:space="preserve">, 796 N.W.2d 312, 315 (Minn. 2011) (emphasis added).  </w:t>
      </w:r>
      <w:r>
        <w:rPr>
          <w:i/>
        </w:rPr>
        <w:t>Stagg</w:t>
      </w:r>
      <w:r>
        <w:t xml:space="preserve"> did not cite Minn. Stat. § 268.105, subd. 7(d)(5), but note that subdivision 7(d) specifically refers to the standard of review for the court of appeals, not the supreme court.  </w:t>
      </w:r>
    </w:p>
    <w:p w:rsidR="007E4BFD" w:rsidRPr="00CA4465" w:rsidRDefault="00A64830" w:rsidP="00604DD4">
      <w:pPr>
        <w:pStyle w:val="Heading2"/>
      </w:pPr>
      <w:bookmarkStart w:id="590" w:name="_Toc395604753"/>
      <w:r>
        <w:t>D</w:t>
      </w:r>
      <w:r w:rsidR="007E4BFD" w:rsidRPr="00CA4465">
        <w:t>.</w:t>
      </w:r>
      <w:r w:rsidR="007E4BFD" w:rsidRPr="00CA4465">
        <w:tab/>
      </w:r>
      <w:r w:rsidR="00C86577">
        <w:t>CREDIBILITY DETERMINATIONS</w:t>
      </w:r>
      <w:bookmarkEnd w:id="590"/>
    </w:p>
    <w:p w:rsidR="00575A56" w:rsidRPr="00575A56" w:rsidRDefault="007E4BFD" w:rsidP="00575A56">
      <w:r w:rsidRPr="00CA4465">
        <w:t xml:space="preserve">“When the credibility of an involved party or witness testifying in an evidentiary hearing has a significant effect on the outcome of a decision, the unemployment law judge must set out the </w:t>
      </w:r>
      <w:r w:rsidRPr="00575A56">
        <w:t xml:space="preserve">reason for crediting or discrediting that testimony.”  Minn. Stat. § 268.105, subd. 1(c) (2012).  </w:t>
      </w:r>
      <w:r w:rsidR="00A81E42">
        <w:t xml:space="preserve"> </w:t>
      </w:r>
      <w:r w:rsidR="00575A56" w:rsidRPr="00575A56">
        <w:t xml:space="preserve"> </w:t>
      </w:r>
    </w:p>
    <w:p w:rsidR="00575A56" w:rsidRPr="00575A56" w:rsidRDefault="00575A56" w:rsidP="00575A56"/>
    <w:p w:rsidR="00575A56" w:rsidRPr="00011FE0" w:rsidRDefault="00575A56" w:rsidP="00575A56">
      <w:r w:rsidRPr="00575A56">
        <w:t xml:space="preserve">“Appellate courts “review the ULJ's factual findings in the light most favorable to the decision,” </w:t>
      </w:r>
      <w:r w:rsidRPr="00575A56">
        <w:rPr>
          <w:i/>
        </w:rPr>
        <w:t>Stagg</w:t>
      </w:r>
      <w:r w:rsidRPr="00575A56">
        <w:t xml:space="preserve">, 796 N.W.2d at 315 (quotation omitted), and we “give deference to the ULJ's credibility determinations,” </w:t>
      </w:r>
      <w:r w:rsidRPr="00575A56">
        <w:rPr>
          <w:i/>
        </w:rPr>
        <w:t>Van de Werken v. Bell &amp; Howell, LLC</w:t>
      </w:r>
      <w:r w:rsidRPr="00575A56">
        <w:t xml:space="preserve">, 834 N.W.2d 220, 221 (Minn.App.2013).”  </w:t>
      </w:r>
      <w:r w:rsidRPr="00575A56">
        <w:rPr>
          <w:i/>
        </w:rPr>
        <w:t>Icenhower v. Total Automotive, Inc.</w:t>
      </w:r>
      <w:r w:rsidRPr="00575A56">
        <w:t xml:space="preserve">, 845 N.W.2d 849, 855 (Minn. App. 2014), </w:t>
      </w:r>
      <w:r w:rsidRPr="00575A56">
        <w:rPr>
          <w:i/>
        </w:rPr>
        <w:t xml:space="preserve">review denied </w:t>
      </w:r>
      <w:r>
        <w:t xml:space="preserve">(Minn. July 15, 2014). </w:t>
      </w:r>
    </w:p>
    <w:p w:rsidR="007E4BFD" w:rsidRDefault="007E4BFD" w:rsidP="003742C2"/>
    <w:p w:rsidR="007E4BFD" w:rsidRDefault="007E4BFD" w:rsidP="003742C2">
      <w:r>
        <w:t xml:space="preserve">“This court . . . gives deference to the credibility determinations made by the ULJ.”  </w:t>
      </w:r>
      <w:r>
        <w:rPr>
          <w:i/>
        </w:rPr>
        <w:t>McNeilly v. Dept. of Emp’t &amp; Econ. Dev.</w:t>
      </w:r>
      <w:r>
        <w:t xml:space="preserve">, 778 N.W.2d 707, 710 (Minn. App. 2010).  </w:t>
      </w:r>
    </w:p>
    <w:p w:rsidR="007E4BFD" w:rsidRDefault="007E4BFD" w:rsidP="003742C2"/>
    <w:p w:rsidR="007E4BFD" w:rsidRPr="00CA4465" w:rsidRDefault="007E4BFD" w:rsidP="003742C2">
      <w:r w:rsidRPr="00CA4465">
        <w:t>If the ULJ does not make the credibility determinations required by Minn. Stat. §</w:t>
      </w:r>
      <w:r>
        <w:t> </w:t>
      </w:r>
      <w:r w:rsidRPr="00CA4465">
        <w:t xml:space="preserve">268.105, subd. 1(c), this court will “remand for additional findings that satisfy the statute.”  </w:t>
      </w:r>
      <w:r w:rsidRPr="00CA4465">
        <w:rPr>
          <w:i/>
        </w:rPr>
        <w:t>Wichmann v. Travalia &amp; U.S. Directives, Inc.</w:t>
      </w:r>
      <w:r w:rsidRPr="00CA4465">
        <w:t>, 729 N.W.2d 23, 29 (Minn. App. 2007).</w:t>
      </w:r>
    </w:p>
    <w:p w:rsidR="007E4BFD" w:rsidRDefault="007E4BFD" w:rsidP="003742C2"/>
    <w:p w:rsidR="007E4BFD" w:rsidRPr="00A01238" w:rsidRDefault="007E4BFD" w:rsidP="003742C2">
      <w:r w:rsidRPr="00CA4465">
        <w:t xml:space="preserve">This court will affirm if “[t]he ULJ’s findings are supported by substantial evidence and provide the statutorily required reason for her credibility determination.”  </w:t>
      </w:r>
      <w:r w:rsidRPr="00CA4465">
        <w:rPr>
          <w:i/>
        </w:rPr>
        <w:t>Ywswf v. Teleplan Wireless Servs., Inc.</w:t>
      </w:r>
      <w:r w:rsidRPr="00CA4465">
        <w:t xml:space="preserve">, 726 N.W.2d 525, 533 (Minn. </w:t>
      </w:r>
      <w:r w:rsidRPr="00A01238">
        <w:t xml:space="preserve">App. 2007) (setting out factors to consider in making credibility determinations). </w:t>
      </w:r>
    </w:p>
    <w:p w:rsidR="007E4BFD" w:rsidRPr="00A01238" w:rsidRDefault="007E4BFD" w:rsidP="003742C2"/>
    <w:p w:rsidR="007E4BFD" w:rsidRPr="00A01238" w:rsidRDefault="007E4BFD" w:rsidP="003742C2">
      <w:r w:rsidRPr="00A01238">
        <w:lastRenderedPageBreak/>
        <w:t xml:space="preserve">“Credibility determinations are the exclusive province of the ULJ and will not be disturbed on appeal.”  </w:t>
      </w:r>
      <w:r w:rsidRPr="00A01238">
        <w:rPr>
          <w:i/>
        </w:rPr>
        <w:t>Skarhus v. Davanni’s Inc.</w:t>
      </w:r>
      <w:r w:rsidRPr="00A01238">
        <w:t xml:space="preserve">, 721 N.W.2d 340, 345 (Minn. App. 2006).  </w:t>
      </w:r>
    </w:p>
    <w:p w:rsidR="007E4BFD" w:rsidRPr="00A01238" w:rsidRDefault="007E4BFD" w:rsidP="003742C2"/>
    <w:p w:rsidR="007E4BFD" w:rsidRPr="00CA4465" w:rsidRDefault="007E4BFD" w:rsidP="003742C2">
      <w:pPr>
        <w:rPr>
          <w:b/>
        </w:rPr>
      </w:pPr>
      <w:r w:rsidRPr="001E676F">
        <w:rPr>
          <w:b/>
        </w:rPr>
        <w:t>Note</w:t>
      </w:r>
      <w:r w:rsidRPr="00A01238">
        <w:t xml:space="preserve">: While it may appear that </w:t>
      </w:r>
      <w:r w:rsidRPr="00A01238">
        <w:rPr>
          <w:i/>
        </w:rPr>
        <w:t xml:space="preserve">Skarhus </w:t>
      </w:r>
      <w:r w:rsidRPr="00A01238">
        <w:t xml:space="preserve">and </w:t>
      </w:r>
      <w:r w:rsidRPr="00A01238">
        <w:rPr>
          <w:i/>
        </w:rPr>
        <w:t xml:space="preserve">Ywswf </w:t>
      </w:r>
      <w:r w:rsidRPr="00A01238">
        <w:t xml:space="preserve">are contradictory, </w:t>
      </w:r>
      <w:r w:rsidRPr="00A01238">
        <w:rPr>
          <w:rFonts w:eastAsia="Calibri"/>
          <w:i/>
        </w:rPr>
        <w:t xml:space="preserve">Skarhus </w:t>
      </w:r>
      <w:r w:rsidRPr="00A01238">
        <w:rPr>
          <w:rFonts w:eastAsia="Calibri"/>
        </w:rPr>
        <w:t xml:space="preserve">addressed the 2004 version of the statute, and </w:t>
      </w:r>
      <w:r w:rsidRPr="00A01238">
        <w:rPr>
          <w:rFonts w:eastAsia="Calibri"/>
          <w:i/>
        </w:rPr>
        <w:t xml:space="preserve">Ywswf </w:t>
      </w:r>
      <w:r w:rsidRPr="00A01238">
        <w:rPr>
          <w:rFonts w:eastAsia="Calibri"/>
        </w:rPr>
        <w:t>cited the Supp. 2005 version of the statute, which had been amended to require, as it does today, that the ULJ must make credibility</w:t>
      </w:r>
      <w:r>
        <w:rPr>
          <w:rFonts w:eastAsia="Calibri"/>
        </w:rPr>
        <w:t xml:space="preserve"> findings when the testimony of a witness is significant.  </w:t>
      </w:r>
      <w:r>
        <w:rPr>
          <w:rFonts w:eastAsia="Calibri"/>
          <w:i/>
        </w:rPr>
        <w:t xml:space="preserve">See </w:t>
      </w:r>
      <w:r w:rsidRPr="00CA4465">
        <w:rPr>
          <w:i/>
        </w:rPr>
        <w:t>Ywswf v. Teleplan Wireless Servs., Inc.</w:t>
      </w:r>
      <w:r w:rsidRPr="00CA4465">
        <w:t>, 726 N.W.2d 525, 53</w:t>
      </w:r>
      <w:r>
        <w:t>1-32</w:t>
      </w:r>
      <w:r w:rsidRPr="00CA4465">
        <w:t xml:space="preserve"> (Minn. App. 2007)</w:t>
      </w:r>
      <w:r>
        <w:rPr>
          <w:rFonts w:eastAsia="Calibri"/>
          <w:i/>
        </w:rPr>
        <w:t xml:space="preserve">.  </w:t>
      </w:r>
      <w:r>
        <w:rPr>
          <w:rFonts w:eastAsia="Calibri"/>
          <w:lang w:val="en"/>
        </w:rPr>
        <w:t xml:space="preserve">There, the relator argued that the ULJ failed to make these “statutorily required credibility findings in a case that hinged on the credibility of the parties.”  </w:t>
      </w:r>
      <w:r>
        <w:rPr>
          <w:rFonts w:eastAsia="Calibri"/>
          <w:i/>
          <w:lang w:val="en"/>
        </w:rPr>
        <w:t>Id.</w:t>
      </w:r>
      <w:r>
        <w:rPr>
          <w:rFonts w:eastAsia="Calibri"/>
          <w:lang w:val="en"/>
        </w:rPr>
        <w:t xml:space="preserve"> at 532.  Under Minn. Stat. 268.105, subd. 7(d), findings by the ULJ may be reversed if “unsupported by substantial evidence in view of the entire record as submitted.”  </w:t>
      </w:r>
      <w:r>
        <w:t>This court held that the ULJ’s findings were supported by substantial evidence and provided the statutorily required reasons for the credibility determinations.</w:t>
      </w:r>
      <w:r>
        <w:rPr>
          <w:rFonts w:eastAsia="Calibri"/>
          <w:lang w:val="en"/>
        </w:rPr>
        <w:t xml:space="preserve">  </w:t>
      </w:r>
      <w:r>
        <w:rPr>
          <w:rFonts w:eastAsia="Calibri"/>
          <w:i/>
          <w:lang w:val="en"/>
        </w:rPr>
        <w:t>Id.</w:t>
      </w:r>
      <w:r>
        <w:rPr>
          <w:rFonts w:eastAsia="Calibri"/>
          <w:lang w:val="en"/>
        </w:rPr>
        <w:t xml:space="preserve"> at 533.  </w:t>
      </w:r>
    </w:p>
    <w:p w:rsidR="007E4BFD" w:rsidRPr="00546819" w:rsidRDefault="00A64830" w:rsidP="00604DD4">
      <w:pPr>
        <w:pStyle w:val="Heading2"/>
      </w:pPr>
      <w:bookmarkStart w:id="591" w:name="_Toc395604754"/>
      <w:r>
        <w:t>E</w:t>
      </w:r>
      <w:r w:rsidR="007E4BFD" w:rsidRPr="00CA4465">
        <w:t>.</w:t>
      </w:r>
      <w:r w:rsidR="007E4BFD" w:rsidRPr="00CA4465">
        <w:tab/>
      </w:r>
      <w:r w:rsidR="00C86577">
        <w:t>QUESTIONS OF LAW</w:t>
      </w:r>
      <w:bookmarkEnd w:id="591"/>
    </w:p>
    <w:p w:rsidR="007E4BFD" w:rsidRDefault="007E4BFD" w:rsidP="003742C2">
      <w:r w:rsidRPr="00CA4465">
        <w:t xml:space="preserve">The court of appeals may reverse or modify the ULJ’s decision if it is affected </w:t>
      </w:r>
      <w:r>
        <w:t xml:space="preserve">by </w:t>
      </w:r>
      <w:r w:rsidRPr="00CA4465">
        <w:t>an error of law.  Minn. Stat. § 268.105, subd. 7(d)(4) (20</w:t>
      </w:r>
      <w:r>
        <w:t>12</w:t>
      </w:r>
      <w:r w:rsidRPr="00CA4465">
        <w:t xml:space="preserve">).  </w:t>
      </w:r>
      <w:r w:rsidR="00A81E42">
        <w:t xml:space="preserve"> </w:t>
      </w:r>
      <w:r w:rsidR="00575A56" w:rsidRPr="00575A56">
        <w:t xml:space="preserve">  </w:t>
      </w:r>
    </w:p>
    <w:p w:rsidR="007E4BFD" w:rsidRDefault="007E4BFD" w:rsidP="003742C2"/>
    <w:p w:rsidR="007E4BFD" w:rsidRPr="00E87E45" w:rsidRDefault="007E4BFD" w:rsidP="003742C2">
      <w:r>
        <w:t xml:space="preserve">An appellate court will “review de novo” a question of law.  </w:t>
      </w:r>
      <w:r>
        <w:rPr>
          <w:i/>
        </w:rPr>
        <w:t>Stagg v. Vintage Place Inc.</w:t>
      </w:r>
      <w:r>
        <w:t>, 796 N.W.2d 312, 315 (Minn. 2011).</w:t>
      </w:r>
    </w:p>
    <w:p w:rsidR="007E4BFD" w:rsidRDefault="007E4BFD" w:rsidP="003742C2"/>
    <w:p w:rsidR="007E4BFD" w:rsidRPr="00BB4021" w:rsidRDefault="007E4BFD" w:rsidP="003742C2">
      <w:r w:rsidRPr="00BB4021">
        <w:t xml:space="preserve">When addressing a question of law, the appellate court is “free to exercise [ ] independent judgment.”  </w:t>
      </w:r>
      <w:r w:rsidRPr="00BB4021">
        <w:rPr>
          <w:i/>
        </w:rPr>
        <w:t>Jenkins v. Am. Express Fin. Corp.</w:t>
      </w:r>
      <w:r w:rsidRPr="00BB4021">
        <w:t xml:space="preserve">, 721 N.W.2d 286, 289 (Minn. 2006); </w:t>
      </w:r>
      <w:r w:rsidRPr="00BB4021">
        <w:rPr>
          <w:i/>
        </w:rPr>
        <w:t>see also Ress v. Abbott Nw. Hosp., Inc.</w:t>
      </w:r>
      <w:r w:rsidRPr="00BB4021">
        <w:t xml:space="preserve">, 448 N.W.2d 519, 523 (Minn. 1989) (similar language). </w:t>
      </w:r>
    </w:p>
    <w:p w:rsidR="007E4BFD" w:rsidRDefault="007E4BFD" w:rsidP="003742C2"/>
    <w:p w:rsidR="00575A56" w:rsidRPr="00575A56" w:rsidRDefault="00575A56" w:rsidP="003742C2">
      <w:pPr>
        <w:rPr>
          <w:color w:val="000000"/>
        </w:rPr>
      </w:pPr>
      <w:r w:rsidRPr="00575A56">
        <w:rPr>
          <w:color w:val="000000"/>
        </w:rPr>
        <w:t xml:space="preserve">“Whether a statute precludes an applicant from receiving benefits is a question of law, which we review de novo.”  </w:t>
      </w:r>
      <w:r w:rsidRPr="00575A56">
        <w:rPr>
          <w:i/>
          <w:color w:val="000000"/>
        </w:rPr>
        <w:t>Van de Werken v. Bell &amp; Howell, LLC</w:t>
      </w:r>
      <w:r w:rsidRPr="00575A56">
        <w:rPr>
          <w:color w:val="000000"/>
        </w:rPr>
        <w:t>, 834 N.W.2d 220, 221-22 (Minn. App. 2013)</w:t>
      </w:r>
      <w:r>
        <w:rPr>
          <w:color w:val="000000"/>
        </w:rPr>
        <w:t xml:space="preserve">  </w:t>
      </w:r>
    </w:p>
    <w:p w:rsidR="00575A56" w:rsidRPr="00BB4021" w:rsidRDefault="00575A56" w:rsidP="003742C2"/>
    <w:p w:rsidR="007E4BFD" w:rsidRPr="00BB4021" w:rsidRDefault="007E4BFD" w:rsidP="003742C2">
      <w:r w:rsidRPr="00BB4021">
        <w:rPr>
          <w:color w:val="000000"/>
        </w:rPr>
        <w:t>“But a ULJ</w:t>
      </w:r>
      <w:r w:rsidR="004C225F">
        <w:rPr>
          <w:color w:val="000000"/>
        </w:rPr>
        <w:t>’</w:t>
      </w:r>
      <w:r w:rsidRPr="00BB4021">
        <w:rPr>
          <w:color w:val="000000"/>
        </w:rPr>
        <w:t xml:space="preserve">s decision to dismiss an appeal as untimely is a question of law, subject to de novo review.”  </w:t>
      </w:r>
      <w:r w:rsidRPr="00BB4021">
        <w:rPr>
          <w:i/>
          <w:color w:val="000000"/>
        </w:rPr>
        <w:t>Godbout v. Dep’t of Emp’t &amp; Econ. Dev</w:t>
      </w:r>
      <w:r w:rsidR="004C225F">
        <w:rPr>
          <w:i/>
          <w:color w:val="000000"/>
        </w:rPr>
        <w:t>.</w:t>
      </w:r>
      <w:r w:rsidRPr="00BB4021">
        <w:rPr>
          <w:color w:val="000000"/>
        </w:rPr>
        <w:t>, 827 N.W.2d 799, 802 (Minn. App. 201</w:t>
      </w:r>
      <w:r w:rsidR="004C225F">
        <w:rPr>
          <w:color w:val="000000"/>
        </w:rPr>
        <w:t>3</w:t>
      </w:r>
      <w:r w:rsidRPr="00BB4021">
        <w:rPr>
          <w:color w:val="000000"/>
        </w:rPr>
        <w:t xml:space="preserve">).  </w:t>
      </w:r>
      <w:r w:rsidRPr="00BB4021">
        <w:t xml:space="preserve"> </w:t>
      </w:r>
    </w:p>
    <w:p w:rsidR="007E4BFD" w:rsidRPr="00BB4021" w:rsidRDefault="007E4BFD" w:rsidP="003742C2"/>
    <w:p w:rsidR="007E4BFD" w:rsidRPr="00BB4021" w:rsidRDefault="007E4BFD" w:rsidP="003742C2">
      <w:r w:rsidRPr="00BB4021">
        <w:t xml:space="preserve">“Questions of law are reviewed de novo.”  </w:t>
      </w:r>
      <w:r w:rsidRPr="00BB4021">
        <w:rPr>
          <w:i/>
        </w:rPr>
        <w:t>Builders Commonwealth, Inc.</w:t>
      </w:r>
      <w:r w:rsidRPr="00BB4021">
        <w:t xml:space="preserve"> </w:t>
      </w:r>
      <w:r w:rsidRPr="00BB4021">
        <w:rPr>
          <w:i/>
        </w:rPr>
        <w:t>v. Dep’t of Emp’t &amp; Econ. Dev.</w:t>
      </w:r>
      <w:r w:rsidRPr="00BB4021">
        <w:t xml:space="preserve">, 814 N.W.2d 49, 56 (Minn. App. 2012).  </w:t>
      </w:r>
    </w:p>
    <w:p w:rsidR="007E4BFD" w:rsidRPr="00BB4021" w:rsidRDefault="007E4BFD" w:rsidP="003742C2"/>
    <w:p w:rsidR="007E4BFD" w:rsidRPr="00201E5E" w:rsidRDefault="007E4BFD" w:rsidP="003742C2">
      <w:pPr>
        <w:rPr>
          <w:sz w:val="26"/>
        </w:rPr>
      </w:pPr>
      <w:r w:rsidRPr="00BB4021">
        <w:t xml:space="preserve">“We review de novo a ULJ’s determination that an applicant is ineligible for unemployment benefits.”  </w:t>
      </w:r>
      <w:r w:rsidRPr="00BB4021">
        <w:rPr>
          <w:i/>
        </w:rPr>
        <w:t>Stassen v. Lone Mountain Truck Leasing LLC</w:t>
      </w:r>
      <w:r w:rsidRPr="00BB4021">
        <w:t>, 814 N.W.2d 25, 30 (Minn. App</w:t>
      </w:r>
      <w:r w:rsidRPr="00201E5E">
        <w:rPr>
          <w:sz w:val="26"/>
        </w:rPr>
        <w:t xml:space="preserve">. 2012).   </w:t>
      </w:r>
    </w:p>
    <w:p w:rsidR="007E4BFD" w:rsidRDefault="007E4BFD" w:rsidP="003742C2"/>
    <w:p w:rsidR="007E4BFD" w:rsidRDefault="007E4BFD" w:rsidP="003742C2">
      <w:r w:rsidRPr="00CA4465">
        <w:t xml:space="preserve">“An appellate court will exercise its own independent judgment in analyzing whether an applicant is entitled to unemployment benefits as a matter of law.”  </w:t>
      </w:r>
      <w:r w:rsidRPr="00CA4465">
        <w:rPr>
          <w:i/>
        </w:rPr>
        <w:t>Irvine v. St. John’s Lutheran Church of Mound</w:t>
      </w:r>
      <w:r w:rsidRPr="00CA4465">
        <w:t>, 779 N.W.2d 101, 103 (Minn. App. 2010).</w:t>
      </w:r>
      <w:r>
        <w:t xml:space="preserve">  </w:t>
      </w:r>
    </w:p>
    <w:p w:rsidR="007E4BFD" w:rsidRPr="00CA4465" w:rsidRDefault="00A64830" w:rsidP="00604DD4">
      <w:pPr>
        <w:pStyle w:val="Heading2"/>
      </w:pPr>
      <w:bookmarkStart w:id="592" w:name="_Toc395604755"/>
      <w:r>
        <w:lastRenderedPageBreak/>
        <w:t>F</w:t>
      </w:r>
      <w:r w:rsidR="007E4BFD" w:rsidRPr="002F384B">
        <w:t>.</w:t>
      </w:r>
      <w:r w:rsidR="007E4BFD" w:rsidRPr="002F384B">
        <w:tab/>
      </w:r>
      <w:r w:rsidR="00C86577">
        <w:t>STATUTORY CONSTRUCTION</w:t>
      </w:r>
      <w:bookmarkEnd w:id="592"/>
    </w:p>
    <w:p w:rsidR="007E4BFD" w:rsidRDefault="004E0921" w:rsidP="00337FFA">
      <w:pPr>
        <w:pStyle w:val="Heading3"/>
      </w:pPr>
      <w:bookmarkStart w:id="593" w:name="_Toc395604756"/>
      <w:r>
        <w:t>1.</w:t>
      </w:r>
      <w:r w:rsidR="007E4BFD">
        <w:tab/>
        <w:t>Purpose of Statute</w:t>
      </w:r>
      <w:bookmarkEnd w:id="593"/>
    </w:p>
    <w:p w:rsidR="007E4BFD" w:rsidRDefault="007E4BFD" w:rsidP="003742C2">
      <w:pPr>
        <w:ind w:left="720"/>
      </w:pPr>
      <w:r w:rsidRPr="00E87E45">
        <w:t>“The public purpose of this chapter is: Economic insecurity because of involuntary unemployment of workers in Minnesota is a subject of general concern that requires appropriate action by the legislature. The public good is promoted by providing workers who are unemployed through no fault of their own a temporary partial wage replacement to assist the unemployed worker to become reemployed. This program is the ‘Minnesota unemployment insurance program.’”  Minn. Stat. § 268.03</w:t>
      </w:r>
      <w:r>
        <w:t>, subd. 1</w:t>
      </w:r>
      <w:r w:rsidRPr="00E87E45">
        <w:t xml:space="preserve"> (201</w:t>
      </w:r>
      <w:r>
        <w:t>2</w:t>
      </w:r>
      <w:r w:rsidRPr="00E87E45">
        <w:t>).</w:t>
      </w:r>
    </w:p>
    <w:p w:rsidR="007E4BFD" w:rsidRDefault="007E4BFD" w:rsidP="003742C2">
      <w:pPr>
        <w:ind w:left="720"/>
      </w:pPr>
    </w:p>
    <w:p w:rsidR="007E4BFD" w:rsidRDefault="007E4BFD" w:rsidP="003742C2">
      <w:pPr>
        <w:ind w:left="720"/>
      </w:pPr>
      <w:r>
        <w:t>“T</w:t>
      </w:r>
      <w:r w:rsidRPr="00862B6A">
        <w:t>here is no presumption of entitlement or nonentitlement to unemployment benefits.</w:t>
      </w:r>
      <w:r>
        <w:t xml:space="preserve">”  Minn. Stat. </w:t>
      </w:r>
      <w:r w:rsidRPr="004C08AB">
        <w:t xml:space="preserve">§ 268.069, subd. </w:t>
      </w:r>
      <w:r>
        <w:t>2</w:t>
      </w:r>
      <w:r w:rsidRPr="004C08AB">
        <w:t xml:space="preserve"> (201</w:t>
      </w:r>
      <w:r>
        <w:t>2</w:t>
      </w:r>
      <w:r w:rsidRPr="004C08AB">
        <w:t>).</w:t>
      </w:r>
    </w:p>
    <w:p w:rsidR="007E4BFD" w:rsidRPr="00862B6A" w:rsidRDefault="007E4BFD" w:rsidP="003742C2">
      <w:pPr>
        <w:ind w:left="720"/>
      </w:pPr>
    </w:p>
    <w:p w:rsidR="007E4BFD" w:rsidRDefault="007E4BFD" w:rsidP="003742C2">
      <w:pPr>
        <w:ind w:left="720"/>
      </w:pPr>
      <w:r w:rsidRPr="004C08AB">
        <w:t>“There is no equitable or common law denial or allowance of unemployment benefits.”  Minn. Stat. § 268.069, subd. 3 (201</w:t>
      </w:r>
      <w:r>
        <w:t>2</w:t>
      </w:r>
      <w:r w:rsidRPr="004C08AB">
        <w:t>).</w:t>
      </w:r>
    </w:p>
    <w:p w:rsidR="007E4BFD" w:rsidRDefault="007E4BFD" w:rsidP="003742C2">
      <w:pPr>
        <w:ind w:left="720"/>
      </w:pPr>
    </w:p>
    <w:p w:rsidR="007E4BFD" w:rsidRDefault="007E4BFD" w:rsidP="003742C2">
      <w:pPr>
        <w:ind w:left="720"/>
      </w:pPr>
      <w:r w:rsidRPr="00CA4465">
        <w:t>“This chapter is remedial in nature and must be applied in favor of awarding unemployment benefits.  Any legal conclusion that results in an applicant being ineligible for unemployment benefits must be fully supported by the facts.  In determining eligibility or ineligibility for benefits, any statutory provision that would preclude an applicant from receiving benefits must be narrowly construed.”  Minn. Stat. § 268.031, subd. 2 (20</w:t>
      </w:r>
      <w:r>
        <w:t>12</w:t>
      </w:r>
      <w:r w:rsidRPr="00CA4465">
        <w:t xml:space="preserve">); </w:t>
      </w:r>
      <w:r w:rsidRPr="00CA4465">
        <w:rPr>
          <w:i/>
        </w:rPr>
        <w:t xml:space="preserve">see </w:t>
      </w:r>
      <w:r>
        <w:rPr>
          <w:i/>
        </w:rPr>
        <w:t>Stagg v. Vintage Place Inc.</w:t>
      </w:r>
      <w:r>
        <w:t xml:space="preserve">, 796 N.W.2d 312, 315 (Minn. 2011) (citing policy that unemployment compensation is paid only to those who are unemployed through no fault of their own as well as remedial nature of statute); </w:t>
      </w:r>
      <w:r>
        <w:rPr>
          <w:i/>
        </w:rPr>
        <w:t xml:space="preserve">Irvine v. St. John’s Lutheran Church of </w:t>
      </w:r>
      <w:r w:rsidRPr="00246120">
        <w:rPr>
          <w:i/>
        </w:rPr>
        <w:t>Mound</w:t>
      </w:r>
      <w:r>
        <w:t>, 779 N.W.2d 101, 103 (Minn. App. 2010) (same).</w:t>
      </w:r>
    </w:p>
    <w:p w:rsidR="007E4BFD" w:rsidRDefault="004E0921" w:rsidP="00337FFA">
      <w:pPr>
        <w:pStyle w:val="Heading3"/>
      </w:pPr>
      <w:bookmarkStart w:id="594" w:name="_Toc395604757"/>
      <w:r>
        <w:t>2.</w:t>
      </w:r>
      <w:r w:rsidR="007E4BFD">
        <w:tab/>
        <w:t xml:space="preserve">Question </w:t>
      </w:r>
      <w:r w:rsidR="005105D5">
        <w:t>of Law Reviewed De Novo; Statutory Construction</w:t>
      </w:r>
      <w:bookmarkEnd w:id="594"/>
    </w:p>
    <w:p w:rsidR="007E4BFD" w:rsidRDefault="007E4BFD" w:rsidP="003742C2">
      <w:pPr>
        <w:ind w:left="720"/>
      </w:pPr>
      <w:r w:rsidRPr="00CA4465">
        <w:t xml:space="preserve">“We review questions of statutory construction de novo.”  </w:t>
      </w:r>
      <w:r w:rsidRPr="00CA4465">
        <w:rPr>
          <w:i/>
        </w:rPr>
        <w:t>Houston v. Int’l Data Transfer Corp.</w:t>
      </w:r>
      <w:r w:rsidRPr="00CA4465">
        <w:t xml:space="preserve">, 645 N.W.2d 144, 149 (Minn. 2002).  </w:t>
      </w:r>
    </w:p>
    <w:p w:rsidR="004E0921" w:rsidRDefault="004E0921" w:rsidP="003742C2">
      <w:pPr>
        <w:ind w:left="720"/>
      </w:pPr>
    </w:p>
    <w:p w:rsidR="00575A56" w:rsidRPr="00575A56" w:rsidRDefault="00575A56" w:rsidP="00575A56">
      <w:pPr>
        <w:ind w:left="720"/>
      </w:pPr>
      <w:r w:rsidRPr="00575A56">
        <w:t xml:space="preserve">“As a threshold matter, we clarify the standard of review that must be applied here.  DEED frames the issue as one of fact and argues that substantial evidence supports the ULJ's determination that Rubin occupied the dean position after May 28, 2012.  </w:t>
      </w:r>
      <w:r w:rsidRPr="00575A56">
        <w:rPr>
          <w:i/>
        </w:rPr>
        <w:t>See Peterson v. Nw. Airlines Inc.</w:t>
      </w:r>
      <w:r w:rsidRPr="00575A56">
        <w:t xml:space="preserve">, 753 N.W.2d 771, 774 (Minn. App. 2008) (stating that we “will not disturb the ULJ's factual findings when the evidence substantially sustains them.”), </w:t>
      </w:r>
      <w:r w:rsidRPr="00575A56">
        <w:rPr>
          <w:i/>
        </w:rPr>
        <w:t>review denied</w:t>
      </w:r>
      <w:r w:rsidRPr="00575A56">
        <w:t xml:space="preserve"> (Minn. Oct. 1, 2008). . . . But we are not persuaded that Reed's testimony alone is dispositive of the issue because our focus is also on the meaning of the phrase “major policy-making or advisory position” in Minn. Stat. § 268.035, subd. 20(15).  So the issue is also one of law, and we review the interpretation and application of statutory language de novo.  </w:t>
      </w:r>
      <w:r w:rsidRPr="00575A56">
        <w:rPr>
          <w:i/>
        </w:rPr>
        <w:t>See St. Otto's Home v. Minn. Dep't of Human Servs.</w:t>
      </w:r>
      <w:r w:rsidRPr="00575A56">
        <w:t xml:space="preserve">, 437 N.W.2d 35, 39 (Minn. 1989) (stating that “[w]hen a decision turns on the meaning of words in a statute or regulation, a legal question is presented” and “reviewing courts are not bound by the decision of the agency”).”  </w:t>
      </w:r>
      <w:r w:rsidRPr="00575A56">
        <w:rPr>
          <w:i/>
        </w:rPr>
        <w:t>Rubin v. Winona State Univ.</w:t>
      </w:r>
      <w:r w:rsidRPr="00575A56">
        <w:t xml:space="preserve">, 842 N.W.2d 469, 472 (Minn. App. 2014). </w:t>
      </w:r>
    </w:p>
    <w:p w:rsidR="00575A56" w:rsidRPr="00575A56" w:rsidRDefault="00575A56" w:rsidP="00575A56">
      <w:pPr>
        <w:ind w:left="720"/>
      </w:pPr>
    </w:p>
    <w:p w:rsidR="00575A56" w:rsidRDefault="00575A56" w:rsidP="00575A56">
      <w:pPr>
        <w:ind w:left="720"/>
      </w:pPr>
      <w:r w:rsidRPr="00575A56">
        <w:lastRenderedPageBreak/>
        <w:t xml:space="preserve">“When interpreting a statute, our object is to “ascertain and effectuate the intention of the legislature.”  Minn.Stat. § 645.16 (2012).  “[An appellate court] first look[s] to see whether the statute's language, on its face, is clear or ambiguous.  A statute is only ambiguous when the language therein is subject to more than one reasonable interpretation.”  </w:t>
      </w:r>
      <w:r w:rsidRPr="00575A56">
        <w:rPr>
          <w:i/>
        </w:rPr>
        <w:t>Am. Family Ins. Group v. Schroedl</w:t>
      </w:r>
      <w:r w:rsidRPr="00575A56">
        <w:t xml:space="preserve">, 616 N.W.2d 273, 277 (Minn. 2000) (quotation and citation omitted).  If the legislature's intent is clearly discernible from a statute's unambiguous language, appellate courts interpret the language according to its plain meaning, without resorting to other principles of statutory construction.  </w:t>
      </w:r>
      <w:r w:rsidRPr="00575A56">
        <w:rPr>
          <w:i/>
        </w:rPr>
        <w:t>State v. Anderson</w:t>
      </w:r>
      <w:r w:rsidRPr="00575A56">
        <w:t xml:space="preserve">, 683 N.W.2d 818, 821 (Minn.2004).”  </w:t>
      </w:r>
      <w:r w:rsidRPr="00575A56">
        <w:rPr>
          <w:i/>
        </w:rPr>
        <w:t>Van de Werken v. Bell &amp; Howell, LLC</w:t>
      </w:r>
      <w:r w:rsidRPr="00575A56">
        <w:t xml:space="preserve">, 834 N.W.2d 220, 222 (Minn. App. 2013).   </w:t>
      </w:r>
    </w:p>
    <w:p w:rsidR="00575A56" w:rsidRPr="00575A56" w:rsidRDefault="00575A56" w:rsidP="00575A56">
      <w:pPr>
        <w:ind w:left="720"/>
      </w:pPr>
    </w:p>
    <w:p w:rsidR="007E4BFD" w:rsidRDefault="00575A56" w:rsidP="00575A56">
      <w:pPr>
        <w:ind w:left="720"/>
      </w:pPr>
      <w:r w:rsidRPr="00292EDB">
        <w:t xml:space="preserve"> </w:t>
      </w:r>
      <w:r w:rsidR="007E4BFD" w:rsidRPr="00292EDB">
        <w:t>“This court reviews matters of statutory construction de novo.</w:t>
      </w:r>
      <w:r w:rsidR="007E4BFD">
        <w:t xml:space="preserve"> </w:t>
      </w:r>
      <w:r w:rsidR="007E4BFD" w:rsidRPr="00292EDB">
        <w:t xml:space="preserve"> ‘The object of all interpretation and construction of laws is to ascertain and effectuate the intention of the legislature.’ </w:t>
      </w:r>
      <w:r w:rsidR="00A46EEA">
        <w:t xml:space="preserve"> </w:t>
      </w:r>
      <w:r w:rsidR="007E4BFD" w:rsidRPr="00292EDB">
        <w:t>Minn. Stat. § 645.16 (201</w:t>
      </w:r>
      <w:r w:rsidR="00A46EEA">
        <w:t>0</w:t>
      </w:r>
      <w:r w:rsidR="007E4BFD" w:rsidRPr="00292EDB">
        <w:t xml:space="preserve">). </w:t>
      </w:r>
      <w:r w:rsidR="00A46EEA">
        <w:t xml:space="preserve"> </w:t>
      </w:r>
      <w:r w:rsidR="007E4BFD" w:rsidRPr="00292EDB">
        <w:t>If the meaning of a statute is unambiguous, we interpret the statutory text according to its plain language.  When a statute is ambiguous, we apply other canons of construction to discern the legislature</w:t>
      </w:r>
      <w:r w:rsidR="00A46EEA">
        <w:t>’</w:t>
      </w:r>
      <w:r w:rsidR="007E4BFD" w:rsidRPr="00292EDB">
        <w:t xml:space="preserve">s intent.  A statute is ambiguous when the language therein is subject to more than one reasonable interpretation.  Legislative intent may be ascertained by considering, among other matters, the necessity and purpose of the law and the consequences of a particular interpretation. </w:t>
      </w:r>
      <w:r w:rsidR="00A46EEA">
        <w:t xml:space="preserve"> </w:t>
      </w:r>
      <w:r w:rsidR="007E4BFD" w:rsidRPr="00292EDB">
        <w:t>Minn. S</w:t>
      </w:r>
      <w:r w:rsidR="00562F76">
        <w:t>tat. § 645.16(1), (4), (6) (2012</w:t>
      </w:r>
      <w:r w:rsidR="007E4BFD" w:rsidRPr="00292EDB">
        <w:t xml:space="preserve">). </w:t>
      </w:r>
      <w:r w:rsidR="00A46EEA">
        <w:t xml:space="preserve"> </w:t>
      </w:r>
      <w:r w:rsidR="007E4BFD" w:rsidRPr="00292EDB">
        <w:t>This court is further required to construe and apply the unemployment-benefit statutes ‘in favor of awarding unemployment benefits.’  Minn. Stat. §</w:t>
      </w:r>
      <w:r w:rsidR="007E4BFD">
        <w:t> </w:t>
      </w:r>
      <w:r w:rsidR="00562F76">
        <w:t>268.031, subd. 2 (2012</w:t>
      </w:r>
      <w:r w:rsidR="007E4BFD" w:rsidRPr="00292EDB">
        <w:t xml:space="preserve">). </w:t>
      </w:r>
      <w:r w:rsidR="00A46EEA">
        <w:t xml:space="preserve"> </w:t>
      </w:r>
      <w:r w:rsidR="007E4BFD" w:rsidRPr="00292EDB">
        <w:t xml:space="preserve">And ‘any statutory provision that would preclude an applicant from receiving benefits must be narrowly construed.’ </w:t>
      </w:r>
      <w:r w:rsidR="007E4BFD" w:rsidRPr="00FA5724">
        <w:rPr>
          <w:i/>
        </w:rPr>
        <w:t>Id.</w:t>
      </w:r>
      <w:r w:rsidR="007E4BFD" w:rsidRPr="00292EDB">
        <w:t xml:space="preserve">”  </w:t>
      </w:r>
      <w:r w:rsidR="007E4BFD" w:rsidRPr="00292EDB">
        <w:rPr>
          <w:i/>
        </w:rPr>
        <w:t>Wiley v. Dolphin Staffing – Dolphin Clerical Group</w:t>
      </w:r>
      <w:r w:rsidR="007E4BFD" w:rsidRPr="00292EDB">
        <w:t>, 825 N.W.2d 121, 124-25 (Minn. App. 2012) (other citations omitted)</w:t>
      </w:r>
      <w:r w:rsidR="007E4BFD">
        <w:t xml:space="preserve">, </w:t>
      </w:r>
      <w:r w:rsidR="007E4BFD">
        <w:rPr>
          <w:i/>
        </w:rPr>
        <w:t xml:space="preserve">review denied </w:t>
      </w:r>
      <w:r w:rsidR="007E4BFD">
        <w:t>(Minn. Jan. 29, 2013)</w:t>
      </w:r>
      <w:r w:rsidR="007E4BFD" w:rsidRPr="00292EDB">
        <w:t xml:space="preserve">.  </w:t>
      </w:r>
    </w:p>
    <w:p w:rsidR="007E4BFD" w:rsidRDefault="007E4BFD" w:rsidP="003742C2">
      <w:pPr>
        <w:ind w:left="720"/>
      </w:pPr>
    </w:p>
    <w:p w:rsidR="007E4BFD" w:rsidRDefault="007E4BFD" w:rsidP="003742C2">
      <w:pPr>
        <w:ind w:left="720"/>
      </w:pPr>
      <w:r w:rsidRPr="00CA4465">
        <w:t xml:space="preserve">“Statutory </w:t>
      </w:r>
      <w:r>
        <w:t xml:space="preserve">construction is . . . a legal issue reviewed de novo.”  </w:t>
      </w:r>
      <w:r>
        <w:rPr>
          <w:i/>
        </w:rPr>
        <w:t>Vasseei v. Schmitty &amp; Sons Sch. Buses, Inc.</w:t>
      </w:r>
      <w:r>
        <w:t>, 793 N.W.2d 747, 750 (Minn. App. 2010).</w:t>
      </w:r>
    </w:p>
    <w:p w:rsidR="007E4BFD" w:rsidRDefault="007E4BFD" w:rsidP="003742C2">
      <w:pPr>
        <w:ind w:left="720"/>
      </w:pPr>
      <w:r>
        <w:tab/>
      </w:r>
      <w:r>
        <w:tab/>
      </w:r>
      <w:r>
        <w:tab/>
      </w:r>
      <w:r>
        <w:tab/>
      </w:r>
    </w:p>
    <w:p w:rsidR="007E4BFD" w:rsidRDefault="007E4BFD" w:rsidP="003742C2">
      <w:pPr>
        <w:ind w:left="720"/>
      </w:pPr>
      <w:r w:rsidRPr="0086415B">
        <w:t xml:space="preserve">“The critical issue is the interpretation of the Act and the federal regulations . . . .  Statutory interpretation is a question of law, which we review de novo.  DEED argues that it is entitled to deference in its interpretation of these federal statutes and regulations. But when ‘the meaning of the words in [a] regulation is clear and unambiguous, [the court] need not defer to the agency's interpretation and may substitute its own judgment for that of the agency.’  </w:t>
      </w:r>
      <w:r w:rsidRPr="0086415B">
        <w:rPr>
          <w:i/>
          <w:iCs/>
        </w:rPr>
        <w:t>In re Annandale NPDES/SDS Permit Issuance</w:t>
      </w:r>
      <w:r w:rsidRPr="00246120">
        <w:rPr>
          <w:iCs/>
        </w:rPr>
        <w:t>,</w:t>
      </w:r>
      <w:r w:rsidRPr="0086415B">
        <w:t xml:space="preserve"> 731 N.W.2d 502, 516 (Minn.</w:t>
      </w:r>
      <w:r>
        <w:t xml:space="preserve"> </w:t>
      </w:r>
      <w:r w:rsidRPr="0086415B">
        <w:t xml:space="preserve">2007); </w:t>
      </w:r>
      <w:r w:rsidRPr="0086415B">
        <w:rPr>
          <w:i/>
          <w:iCs/>
        </w:rPr>
        <w:t>see also St. Otto's Home v. Minn. Dep't of Human Servs.,</w:t>
      </w:r>
      <w:r w:rsidRPr="0086415B">
        <w:t xml:space="preserve"> 437 N.W.2d 35, 39–40 (Minn.</w:t>
      </w:r>
      <w:r>
        <w:t xml:space="preserve"> </w:t>
      </w:r>
      <w:r w:rsidRPr="0086415B">
        <w:t xml:space="preserve">1989) (“When a decision turns on the meaning of words in a statute or regulation, a legal question is presented,” and therefore “reviewing courts are not bound by the decision of the agency and need not defer to agency expertise”). Thus, if we conclude that the Act and regulations are clear and unambiguous with respect to the issue before us, DEED's interpretation is entitled to no deference.”  </w:t>
      </w:r>
      <w:r w:rsidRPr="0086415B">
        <w:rPr>
          <w:i/>
        </w:rPr>
        <w:t>Abdi v. Dep</w:t>
      </w:r>
      <w:r>
        <w:rPr>
          <w:i/>
        </w:rPr>
        <w:t>’t</w:t>
      </w:r>
      <w:r w:rsidRPr="0086415B">
        <w:rPr>
          <w:i/>
        </w:rPr>
        <w:t xml:space="preserve"> of Emp’t &amp; Econ. Dev.</w:t>
      </w:r>
      <w:r w:rsidRPr="0086415B">
        <w:t>, 749 N.W.2d 812, 815 (Minn. App. 2008) (</w:t>
      </w:r>
      <w:r>
        <w:t xml:space="preserve">other </w:t>
      </w:r>
      <w:r w:rsidRPr="0086415B">
        <w:t>citations omitted).</w:t>
      </w:r>
    </w:p>
    <w:p w:rsidR="007E4BFD" w:rsidRDefault="004E0921" w:rsidP="00337FFA">
      <w:pPr>
        <w:pStyle w:val="Heading3"/>
      </w:pPr>
      <w:bookmarkStart w:id="595" w:name="_Toc395604758"/>
      <w:r>
        <w:t>3.</w:t>
      </w:r>
      <w:r w:rsidR="007E4BFD">
        <w:tab/>
        <w:t xml:space="preserve">Deferring </w:t>
      </w:r>
      <w:r w:rsidR="005105D5">
        <w:t xml:space="preserve">to Agency’s Own Interpretation of </w:t>
      </w:r>
      <w:r w:rsidR="003D573F">
        <w:t>I</w:t>
      </w:r>
      <w:r w:rsidR="005105D5">
        <w:t>ts Statute</w:t>
      </w:r>
      <w:bookmarkEnd w:id="595"/>
    </w:p>
    <w:p w:rsidR="007E4BFD" w:rsidRDefault="007E4BFD" w:rsidP="003742C2">
      <w:pPr>
        <w:ind w:left="720"/>
      </w:pPr>
      <w:r w:rsidRPr="000C1095">
        <w:t>While</w:t>
      </w:r>
      <w:r w:rsidRPr="00CA4465">
        <w:t xml:space="preserve"> the appellate courts are “not bound by an agency’s conclusions of law, the manner in which an agency has construed a statute may be entitled to some weight when the </w:t>
      </w:r>
      <w:r w:rsidRPr="00CA4465">
        <w:lastRenderedPageBreak/>
        <w:t xml:space="preserve">statutory language is technical in nature and the agency’s interpretation is one of longstanding application.”  </w:t>
      </w:r>
      <w:r w:rsidRPr="00CA4465">
        <w:rPr>
          <w:i/>
        </w:rPr>
        <w:t>Lolling v. Midwest Patrol</w:t>
      </w:r>
      <w:r w:rsidRPr="00CA4465">
        <w:t xml:space="preserve">, 545 N.W.2d 372, 375 (Minn. 1996). </w:t>
      </w:r>
    </w:p>
    <w:p w:rsidR="007E4BFD" w:rsidRDefault="007E4BFD" w:rsidP="003742C2">
      <w:pPr>
        <w:ind w:left="720"/>
      </w:pPr>
    </w:p>
    <w:p w:rsidR="007E4BFD" w:rsidRPr="00CA4465" w:rsidRDefault="007E4BFD" w:rsidP="003742C2">
      <w:pPr>
        <w:ind w:left="720"/>
      </w:pPr>
      <w:r>
        <w:t>T</w:t>
      </w:r>
      <w:r w:rsidRPr="00CA4465">
        <w:t xml:space="preserve">his court will defer to an agency’s interpretation of its own statutes unless such interpretation is in conflict with the express purpose of the statute and the legislature’s intent.”  </w:t>
      </w:r>
      <w:r w:rsidRPr="00CA4465">
        <w:rPr>
          <w:i/>
        </w:rPr>
        <w:t>Carlson v. Augsburg College</w:t>
      </w:r>
      <w:r w:rsidRPr="00CA4465">
        <w:t>, 604 N.W.2d 392, 394 (Minn. App. 2000).</w:t>
      </w:r>
    </w:p>
    <w:p w:rsidR="007E4BFD" w:rsidRDefault="004E0921" w:rsidP="00337FFA">
      <w:pPr>
        <w:pStyle w:val="Heading3"/>
      </w:pPr>
      <w:bookmarkStart w:id="596" w:name="_Toc395604759"/>
      <w:r>
        <w:t>4.</w:t>
      </w:r>
      <w:r w:rsidR="007E4BFD">
        <w:tab/>
        <w:t xml:space="preserve">Mixed </w:t>
      </w:r>
      <w:r w:rsidR="005105D5">
        <w:t>Questions of Fact and Law</w:t>
      </w:r>
      <w:bookmarkEnd w:id="596"/>
    </w:p>
    <w:p w:rsidR="007E4BFD" w:rsidRPr="00DE5829" w:rsidRDefault="007E4BFD" w:rsidP="003742C2">
      <w:pPr>
        <w:ind w:left="720"/>
      </w:pPr>
      <w:r w:rsidRPr="00DE5829">
        <w:t xml:space="preserve">“Whether an employee committed employment misconduct is a mixed question of fact and law.  Whether the employee committed a particular act is a question of fact.”  </w:t>
      </w:r>
      <w:r w:rsidRPr="00DE5829">
        <w:rPr>
          <w:i/>
        </w:rPr>
        <w:t>Peterson v. Nw. Airlines Inc.</w:t>
      </w:r>
      <w:r w:rsidRPr="00DE5829">
        <w:t xml:space="preserve">, 753 N.W.2d 771, 774 (Minn. App. 2008) (citation omitted), </w:t>
      </w:r>
      <w:r w:rsidRPr="001C48F7">
        <w:rPr>
          <w:i/>
        </w:rPr>
        <w:t>review denied</w:t>
      </w:r>
      <w:r w:rsidRPr="00DE5829">
        <w:t xml:space="preserve"> (Minn. Oct. 1, 2008).  “But whether the act committed by the employee constitutes employment misconduct is a question of law, which we review de novo.”  </w:t>
      </w:r>
      <w:r w:rsidRPr="00DE5829">
        <w:rPr>
          <w:i/>
        </w:rPr>
        <w:t>Id.</w:t>
      </w:r>
    </w:p>
    <w:p w:rsidR="007E4BFD" w:rsidRPr="00355203" w:rsidRDefault="004E0921" w:rsidP="00337FFA">
      <w:pPr>
        <w:pStyle w:val="Heading3"/>
      </w:pPr>
      <w:bookmarkStart w:id="597" w:name="_Toc395604760"/>
      <w:r>
        <w:t>5.</w:t>
      </w:r>
      <w:r w:rsidR="007E4BFD">
        <w:t xml:space="preserve"> </w:t>
      </w:r>
      <w:r w:rsidR="007E4BFD">
        <w:tab/>
        <w:t xml:space="preserve">Question of </w:t>
      </w:r>
      <w:r w:rsidR="005105D5">
        <w:t>Law Reviewed De Novo</w:t>
      </w:r>
      <w:r w:rsidR="007E4BFD">
        <w:t xml:space="preserve">; </w:t>
      </w:r>
      <w:r w:rsidR="005105D5">
        <w:t>Eligibility Determinations</w:t>
      </w:r>
      <w:bookmarkEnd w:id="597"/>
    </w:p>
    <w:p w:rsidR="007E4BFD" w:rsidRPr="00391F9A" w:rsidRDefault="007E4BFD" w:rsidP="003742C2">
      <w:pPr>
        <w:ind w:left="720"/>
      </w:pPr>
      <w:r>
        <w:t>“</w:t>
      </w:r>
      <w:r w:rsidRPr="00391F9A">
        <w:t>Determining whether a particular act constitutes disqualifying misconduct is a question of law that we review de novo.</w:t>
      </w:r>
      <w:r w:rsidR="005105D5">
        <w:t>”</w:t>
      </w:r>
      <w:r>
        <w:t xml:space="preserve">  </w:t>
      </w:r>
      <w:r>
        <w:rPr>
          <w:i/>
        </w:rPr>
        <w:t>Stagg v. Vintage Place Inc.</w:t>
      </w:r>
      <w:r>
        <w:t xml:space="preserve">, 796 N.W.2d 312, 315 (Minn. 2011).  </w:t>
      </w:r>
    </w:p>
    <w:p w:rsidR="007E4BFD" w:rsidRDefault="007E4BFD" w:rsidP="003742C2">
      <w:pPr>
        <w:ind w:left="720"/>
      </w:pPr>
    </w:p>
    <w:p w:rsidR="007E4BFD" w:rsidRPr="00391F9A" w:rsidRDefault="007E4BFD" w:rsidP="003742C2">
      <w:pPr>
        <w:ind w:left="720"/>
      </w:pPr>
      <w:r w:rsidRPr="00391F9A">
        <w:t xml:space="preserve">“Specifically, the determination of whether an employee was properly disqualified from receipt of unemployment compensation benefits is a question of law on which we are free to exercise our independent judgment.”  </w:t>
      </w:r>
      <w:r w:rsidRPr="00391F9A">
        <w:rPr>
          <w:i/>
        </w:rPr>
        <w:t>Jenkins v. Am. Express Fin</w:t>
      </w:r>
      <w:r>
        <w:rPr>
          <w:i/>
        </w:rPr>
        <w:t>.</w:t>
      </w:r>
      <w:r w:rsidRPr="00391F9A">
        <w:t>, 721 N.</w:t>
      </w:r>
      <w:r>
        <w:t>W</w:t>
      </w:r>
      <w:r w:rsidRPr="00391F9A">
        <w:t>.2d 286, 289 (Minn. 2006).</w:t>
      </w:r>
    </w:p>
    <w:p w:rsidR="007E4BFD" w:rsidRPr="00391F9A" w:rsidRDefault="007E4BFD" w:rsidP="003742C2">
      <w:pPr>
        <w:ind w:left="720"/>
      </w:pPr>
    </w:p>
    <w:p w:rsidR="007E4BFD" w:rsidRPr="00050655" w:rsidRDefault="007E4BFD" w:rsidP="003742C2">
      <w:pPr>
        <w:ind w:left="720"/>
      </w:pPr>
      <w:r>
        <w:t>“</w:t>
      </w:r>
      <w:r w:rsidRPr="00050655">
        <w:t>Whether the act committed by the employee constitutes employment misconduct presents a question of law, which we review de novo.</w:t>
      </w:r>
      <w:r>
        <w:t xml:space="preserve">”  </w:t>
      </w:r>
      <w:r>
        <w:rPr>
          <w:i/>
        </w:rPr>
        <w:t>Santillana v. Cent. Minn. Council on Aging</w:t>
      </w:r>
      <w:r>
        <w:t xml:space="preserve">, 791 N.W.2d 303, 307 (Minn. App. 2010).  </w:t>
      </w:r>
    </w:p>
    <w:p w:rsidR="007E4BFD" w:rsidRPr="00391F9A" w:rsidRDefault="007E4BFD" w:rsidP="003742C2">
      <w:pPr>
        <w:ind w:left="720"/>
      </w:pPr>
    </w:p>
    <w:p w:rsidR="007E4BFD" w:rsidRPr="00050655" w:rsidRDefault="007E4BFD" w:rsidP="003742C2">
      <w:pPr>
        <w:ind w:left="720"/>
      </w:pPr>
      <w:r>
        <w:t>“</w:t>
      </w:r>
      <w:r w:rsidRPr="00050655">
        <w:t>An appellate court will exercise its own independent judgment in analyzing whether an applicant is entitled to unemployment benefits as a matter of law.</w:t>
      </w:r>
      <w:r>
        <w:t xml:space="preserve">”  </w:t>
      </w:r>
      <w:r>
        <w:rPr>
          <w:i/>
        </w:rPr>
        <w:t>Irvine v. St. John’s Lutheran Church of Mound</w:t>
      </w:r>
      <w:r>
        <w:t xml:space="preserve">, 779 N.W.2d 101, 103 (Minn. App. 2010).  </w:t>
      </w:r>
    </w:p>
    <w:p w:rsidR="007E4BFD" w:rsidRDefault="004E0921" w:rsidP="00337FFA">
      <w:pPr>
        <w:pStyle w:val="Heading3"/>
      </w:pPr>
      <w:bookmarkStart w:id="598" w:name="_Toc395604761"/>
      <w:r>
        <w:t>6.</w:t>
      </w:r>
      <w:r w:rsidR="007E4BFD">
        <w:tab/>
        <w:t xml:space="preserve">Questions of </w:t>
      </w:r>
      <w:r w:rsidR="005105D5">
        <w:t>Law Reviewed De Novo; Quit Determination</w:t>
      </w:r>
      <w:bookmarkEnd w:id="598"/>
    </w:p>
    <w:p w:rsidR="007E4BFD" w:rsidRPr="00A90429" w:rsidRDefault="007E4BFD" w:rsidP="003742C2">
      <w:pPr>
        <w:ind w:left="720"/>
      </w:pPr>
      <w:r>
        <w:t xml:space="preserve">“Whether an employee had good cause to quit is a question of law, which we review de novo.”  </w:t>
      </w:r>
      <w:r>
        <w:rPr>
          <w:i/>
        </w:rPr>
        <w:t>Rowan v. Dream It, Inc.</w:t>
      </w:r>
      <w:r>
        <w:t xml:space="preserve">, 812 N.W.2d 879, 883 (Minn. App. 2012) (quotation omitted).  </w:t>
      </w:r>
    </w:p>
    <w:p w:rsidR="007E4BFD" w:rsidRDefault="007E4BFD" w:rsidP="003742C2">
      <w:pPr>
        <w:ind w:left="720"/>
        <w:rPr>
          <w:b/>
        </w:rPr>
      </w:pPr>
    </w:p>
    <w:p w:rsidR="007E4BFD" w:rsidRPr="004C08AB" w:rsidRDefault="007E4BFD" w:rsidP="003742C2">
      <w:pPr>
        <w:ind w:left="720"/>
      </w:pPr>
      <w:r w:rsidRPr="004C08AB">
        <w:t xml:space="preserve">“The determination that an employee quit without good reason attributable to the employer is a legal conclusion, but the conclusion must be based on findings that have the requisite evidentiary support.”  </w:t>
      </w:r>
      <w:r w:rsidRPr="004C08AB">
        <w:rPr>
          <w:i/>
        </w:rPr>
        <w:t>Nichols v. Reliant Eng’g &amp; Mfg., Inc.</w:t>
      </w:r>
      <w:r w:rsidR="007F41D6">
        <w:t>,</w:t>
      </w:r>
      <w:r w:rsidRPr="004C08AB">
        <w:t xml:space="preserve"> 720 N.W.2d 590, 594 (Minn. App. 2006).  </w:t>
      </w:r>
    </w:p>
    <w:p w:rsidR="007E4BFD" w:rsidRDefault="00A64830" w:rsidP="00604DD4">
      <w:pPr>
        <w:pStyle w:val="Heading2"/>
      </w:pPr>
      <w:bookmarkStart w:id="599" w:name="_Toc395604762"/>
      <w:r>
        <w:lastRenderedPageBreak/>
        <w:t>G</w:t>
      </w:r>
      <w:r w:rsidR="007E4BFD" w:rsidRPr="00CA4465">
        <w:t>.</w:t>
      </w:r>
      <w:r w:rsidR="007E4BFD" w:rsidRPr="00CA4465">
        <w:tab/>
      </w:r>
      <w:r w:rsidR="00C86577">
        <w:t>ADDITIONAL EVIDENTIARY HEARINGS</w:t>
      </w:r>
      <w:bookmarkEnd w:id="599"/>
    </w:p>
    <w:p w:rsidR="007E4BFD" w:rsidRDefault="007E4BFD" w:rsidP="003742C2">
      <w:r>
        <w:t xml:space="preserve">The ULJ did not abuse his discretion when, upon a timely request for reconsideration, he set aside his decision and ordered an additional evidentiary hearing under Minn. Stat. § 268.105, subd. 2(a)(2), after determining that the unrepresented party’s failure to present evidence at the hearing was the result of the ULJ’s failure to assist the party as required by Minn. R. 3310.2921.”  </w:t>
      </w:r>
      <w:r>
        <w:rPr>
          <w:i/>
        </w:rPr>
        <w:t>Vasseei v. Schmitty &amp; Sons Sch. Buses, Inc.</w:t>
      </w:r>
      <w:r>
        <w:t>, 793 N.W.2d 747, 751 (Minn. App. 2010).</w:t>
      </w:r>
    </w:p>
    <w:p w:rsidR="007E4BFD" w:rsidRPr="00CA4465" w:rsidRDefault="007E4BFD" w:rsidP="003742C2"/>
    <w:p w:rsidR="007E4BFD" w:rsidRDefault="007E4BFD" w:rsidP="003742C2">
      <w:pPr>
        <w:rPr>
          <w:i/>
        </w:rPr>
      </w:pPr>
      <w:r>
        <w:t xml:space="preserve">“The court will not reverse a ULJ’s decision to deny an additional evidentiary hearing unless the decision constitutes an abuse of discretion.”  </w:t>
      </w:r>
      <w:r>
        <w:rPr>
          <w:i/>
        </w:rPr>
        <w:t>Kelly v. Ambassador Press, Inc.</w:t>
      </w:r>
      <w:r>
        <w:t xml:space="preserve">, 792 N.W.2d 103, 104 (Minn. App. 2010).  “An error of law can constitute an abuse of discretion.”  </w:t>
      </w:r>
      <w:r>
        <w:rPr>
          <w:i/>
        </w:rPr>
        <w:t>Id.</w:t>
      </w:r>
    </w:p>
    <w:p w:rsidR="007E4BFD" w:rsidRPr="00CA4465" w:rsidRDefault="007E4BFD" w:rsidP="003742C2"/>
    <w:p w:rsidR="007E4BFD" w:rsidRPr="00CA4465" w:rsidRDefault="007E4BFD" w:rsidP="003742C2">
      <w:r w:rsidRPr="00CA4465">
        <w:t xml:space="preserve">“This court will defer to the ULJ’s decision not to hold an additional hearing.”  </w:t>
      </w:r>
      <w:r w:rsidRPr="00CA4465">
        <w:rPr>
          <w:i/>
        </w:rPr>
        <w:t>Ywswf v. Teleplan Wireless Servs.</w:t>
      </w:r>
      <w:r w:rsidRPr="00CA4465">
        <w:t>, 726 N.W.2d 525, 533 (Minn. App. 2007) (referring to request for additional evidentiary hearing based on claims of new evidence).</w:t>
      </w:r>
    </w:p>
    <w:p w:rsidR="007E4BFD" w:rsidRPr="00CA4465" w:rsidRDefault="007E4BFD" w:rsidP="003742C2"/>
    <w:p w:rsidR="007E4BFD" w:rsidRDefault="007E4BFD" w:rsidP="003742C2">
      <w:r w:rsidRPr="00CA4465">
        <w:t xml:space="preserve">“A reviewing court accords deference to a ULJ’s decision not to hold an additional hearing and will reverse that decision only for an abuse of discretion.”  </w:t>
      </w:r>
      <w:r w:rsidRPr="00CA4465">
        <w:rPr>
          <w:i/>
        </w:rPr>
        <w:t>Skarhus v. Davanni’s Inc.</w:t>
      </w:r>
      <w:r w:rsidRPr="00CA4465">
        <w:t>, 721 N.W.2d 340, 345 (Minn. App. 2006) (referring to request for an additional evidentiary hearing when relator shows good cause for failing to participate in initial hearing).</w:t>
      </w:r>
      <w:r>
        <w:t xml:space="preserve"> </w:t>
      </w:r>
    </w:p>
    <w:p w:rsidR="007E4BFD" w:rsidRDefault="007E4BFD" w:rsidP="003742C2">
      <w:pPr>
        <w:tabs>
          <w:tab w:val="left" w:pos="720"/>
          <w:tab w:val="left" w:pos="1440"/>
          <w:tab w:val="left" w:pos="2520"/>
        </w:tabs>
        <w:ind w:left="720" w:hanging="1440"/>
      </w:pPr>
    </w:p>
    <w:p w:rsidR="007E4BFD" w:rsidRDefault="007E4BFD" w:rsidP="007E4BFD">
      <w:pPr>
        <w:jc w:val="left"/>
      </w:pPr>
      <w:r>
        <w:br w:type="page"/>
      </w:r>
    </w:p>
    <w:p w:rsidR="004F10A3" w:rsidRPr="00CA4465" w:rsidRDefault="00DD1658" w:rsidP="00DD1658">
      <w:pPr>
        <w:pStyle w:val="Heading1"/>
      </w:pPr>
      <w:bookmarkStart w:id="600" w:name="_Toc48979741"/>
      <w:bookmarkStart w:id="601" w:name="_Toc395604763"/>
      <w:r>
        <w:lastRenderedPageBreak/>
        <w:t>IX.</w:t>
      </w:r>
      <w:r>
        <w:tab/>
      </w:r>
      <w:r w:rsidR="004F10A3" w:rsidRPr="00CA4465">
        <w:t>ARBITRATION</w:t>
      </w:r>
      <w:bookmarkEnd w:id="600"/>
      <w:bookmarkEnd w:id="601"/>
    </w:p>
    <w:p w:rsidR="004F10A3" w:rsidRPr="00CA4465" w:rsidRDefault="004F10A3" w:rsidP="00604DD4">
      <w:pPr>
        <w:pStyle w:val="Heading2"/>
      </w:pPr>
      <w:bookmarkStart w:id="602" w:name="_Toc48979742"/>
      <w:bookmarkStart w:id="603" w:name="_Toc395604764"/>
      <w:r w:rsidRPr="00CA4465">
        <w:t>A.</w:t>
      </w:r>
      <w:r w:rsidRPr="00CA4465">
        <w:tab/>
        <w:t>DETERMINATION OF ARBITRABILITY</w:t>
      </w:r>
      <w:bookmarkEnd w:id="602"/>
      <w:bookmarkEnd w:id="603"/>
    </w:p>
    <w:p w:rsidR="00A534DE" w:rsidRPr="00CA4465" w:rsidRDefault="00A534DE" w:rsidP="004168CB">
      <w:r w:rsidRPr="00CA4465">
        <w:t>“This court has de novo review when reviewing arbitration clauses.</w:t>
      </w:r>
      <w:r w:rsidR="004D05A3" w:rsidRPr="00CA4465">
        <w:t>”</w:t>
      </w:r>
      <w:r w:rsidRPr="00CA4465">
        <w:t xml:space="preserve">  </w:t>
      </w:r>
      <w:r w:rsidRPr="00CA4465">
        <w:rPr>
          <w:i/>
        </w:rPr>
        <w:t>Onvoy, Inc. v. SHAL, LLC</w:t>
      </w:r>
      <w:r w:rsidRPr="00CA4465">
        <w:t>, 669 N.W.2d 344, 349 (Minn. 2003).</w:t>
      </w:r>
    </w:p>
    <w:p w:rsidR="00A534DE" w:rsidRPr="00CA4465" w:rsidRDefault="00A534DE" w:rsidP="004168CB"/>
    <w:p w:rsidR="00CB4366" w:rsidRDefault="00CB4366" w:rsidP="004168CB">
      <w:r>
        <w:t xml:space="preserve">“A reviewing court is not bound by the trial court’s interpretation of the arbitration agreement and independently determines whether the trial court correctly interpreted the clause.”  </w:t>
      </w:r>
      <w:r w:rsidRPr="00CB4366">
        <w:rPr>
          <w:i/>
        </w:rPr>
        <w:t>Elsenpeter v. St. Michael Mall, Inc.</w:t>
      </w:r>
      <w:r>
        <w:t>, 794 N.W.2d 667, 672 (Minn. App. 2011)</w:t>
      </w:r>
      <w:r w:rsidR="007F41D6">
        <w:t xml:space="preserve"> (quotation omitted)</w:t>
      </w:r>
      <w:r>
        <w:t xml:space="preserve">.  </w:t>
      </w:r>
    </w:p>
    <w:p w:rsidR="00CB4366" w:rsidRDefault="00CB4366" w:rsidP="004168CB"/>
    <w:p w:rsidR="004F10A3" w:rsidRDefault="00F75154" w:rsidP="004168CB">
      <w:r w:rsidRPr="00CA4465">
        <w:t>“In reviewing an arbitrator’s decision, the arbitrator is the final judge of both law and fact, but this court’s review of the determination of arbitrability is de novo.”</w:t>
      </w:r>
      <w:r w:rsidR="004F10A3" w:rsidRPr="00CA4465">
        <w:t xml:space="preserve">  </w:t>
      </w:r>
      <w:r w:rsidR="00E64731">
        <w:rPr>
          <w:i/>
          <w:iCs/>
        </w:rPr>
        <w:t>Phillips v. Dolphin</w:t>
      </w:r>
      <w:r w:rsidR="004F10A3" w:rsidRPr="00CA4465">
        <w:t xml:space="preserve">, </w:t>
      </w:r>
      <w:r w:rsidR="00E64731">
        <w:t xml:space="preserve">776 N.W.2d 755, 758 (Minn. App. 2009), </w:t>
      </w:r>
      <w:r w:rsidR="00E64731">
        <w:rPr>
          <w:i/>
        </w:rPr>
        <w:t xml:space="preserve">review </w:t>
      </w:r>
      <w:r w:rsidR="00E64731" w:rsidRPr="00BD787E">
        <w:rPr>
          <w:i/>
        </w:rPr>
        <w:t>denied</w:t>
      </w:r>
      <w:r w:rsidR="00E64731">
        <w:t xml:space="preserve"> (Minn. Mar. 16, 2010)</w:t>
      </w:r>
      <w:r w:rsidR="004F10A3" w:rsidRPr="00CA4465">
        <w:t>.</w:t>
      </w:r>
    </w:p>
    <w:p w:rsidR="00ED14B8" w:rsidRDefault="00ED14B8" w:rsidP="004168CB"/>
    <w:p w:rsidR="00ED14B8" w:rsidRDefault="00ED14B8" w:rsidP="004168CB">
      <w:r>
        <w:t xml:space="preserve">“This court reviews de novo the district court’s denial of a motion to compel arbitration.”  </w:t>
      </w:r>
      <w:r w:rsidRPr="00ED14B8">
        <w:rPr>
          <w:i/>
        </w:rPr>
        <w:t>Cargill Inc. v. Jorgenson Farms</w:t>
      </w:r>
      <w:r>
        <w:t>, 719 N.W.2d 226, 234 (Minn. App. 2006).</w:t>
      </w:r>
    </w:p>
    <w:p w:rsidR="004F10A3" w:rsidRPr="00CA4465" w:rsidRDefault="004F10A3" w:rsidP="004168CB"/>
    <w:p w:rsidR="00A13B0D" w:rsidRPr="00CA4465" w:rsidRDefault="004F10A3" w:rsidP="004168CB">
      <w:r w:rsidRPr="00CA4465">
        <w:t xml:space="preserve">“[W]e review </w:t>
      </w:r>
      <w:r w:rsidRPr="00CA4465">
        <w:rPr>
          <w:i/>
        </w:rPr>
        <w:t>de novo</w:t>
      </w:r>
      <w:r w:rsidRPr="00CA4465">
        <w:t xml:space="preserve"> the district court’s determination that the parties did not agree to submit the present dispute to arbitration.”  </w:t>
      </w:r>
      <w:r w:rsidRPr="00CA4465">
        <w:rPr>
          <w:i/>
        </w:rPr>
        <w:t>Johnson v. Piper Jaffray, Inc</w:t>
      </w:r>
      <w:r w:rsidRPr="00CA4465">
        <w:t>., 530 N.W.2d 790, 795 (Minn. 1995).</w:t>
      </w:r>
    </w:p>
    <w:p w:rsidR="004F10A3" w:rsidRPr="00CA4465" w:rsidRDefault="004F10A3" w:rsidP="00604DD4">
      <w:pPr>
        <w:pStyle w:val="Heading2"/>
      </w:pPr>
      <w:bookmarkStart w:id="604" w:name="_Toc395604765"/>
      <w:r w:rsidRPr="00CA4465">
        <w:t>B.</w:t>
      </w:r>
      <w:r w:rsidRPr="00CA4465">
        <w:tab/>
      </w:r>
      <w:bookmarkStart w:id="605" w:name="_Toc48979743"/>
      <w:r w:rsidRPr="00CA4465">
        <w:t>SCOPE OF ARBITRATION</w:t>
      </w:r>
      <w:bookmarkEnd w:id="605"/>
      <w:bookmarkEnd w:id="604"/>
    </w:p>
    <w:p w:rsidR="004F10A3" w:rsidRPr="00CA4465" w:rsidRDefault="007412F6" w:rsidP="004168CB">
      <w:r w:rsidRPr="00CA4465">
        <w:t>“[W]e should res</w:t>
      </w:r>
      <w:r w:rsidR="000D1FD0" w:rsidRPr="00CA4465">
        <w:t>olve</w:t>
      </w:r>
      <w:r w:rsidRPr="00CA4465">
        <w:t xml:space="preserve"> a</w:t>
      </w:r>
      <w:r w:rsidR="004F10A3" w:rsidRPr="00CA4465">
        <w:t>ny doubts concerning the scope of arbitrable issues in favor of arbitration</w:t>
      </w:r>
      <w:r w:rsidR="007F41D6">
        <w:t> </w:t>
      </w:r>
      <w:r w:rsidR="004D05A3" w:rsidRPr="00CA4465">
        <w:t>.</w:t>
      </w:r>
      <w:r w:rsidRPr="00CA4465">
        <w:t xml:space="preserve"> . . .”</w:t>
      </w:r>
      <w:r w:rsidR="004F10A3" w:rsidRPr="00CA4465">
        <w:t xml:space="preserve">  </w:t>
      </w:r>
      <w:r w:rsidR="004F10A3" w:rsidRPr="00CA4465">
        <w:rPr>
          <w:i/>
          <w:iCs/>
        </w:rPr>
        <w:t>Johnson v. Piper Jaffray, Inc.</w:t>
      </w:r>
      <w:r w:rsidR="004F10A3" w:rsidRPr="00CA4465">
        <w:t>, 530 N.W.2d 790, 795 (Minn. 1995).</w:t>
      </w:r>
    </w:p>
    <w:p w:rsidR="004F10A3" w:rsidRPr="00CA4465" w:rsidRDefault="002C695F" w:rsidP="00604DD4">
      <w:pPr>
        <w:pStyle w:val="Heading2"/>
      </w:pPr>
      <w:bookmarkStart w:id="606" w:name="_Toc48979744"/>
      <w:bookmarkStart w:id="607" w:name="_Toc395604766"/>
      <w:r>
        <w:t>C</w:t>
      </w:r>
      <w:r w:rsidR="004F10A3" w:rsidRPr="00CA4465">
        <w:t>.</w:t>
      </w:r>
      <w:r w:rsidR="004F10A3" w:rsidRPr="00CA4465">
        <w:tab/>
        <w:t>GENERAL STANDARDS OF REVIEW</w:t>
      </w:r>
      <w:bookmarkEnd w:id="606"/>
      <w:bookmarkEnd w:id="607"/>
    </w:p>
    <w:p w:rsidR="002C695F" w:rsidRDefault="002C695F" w:rsidP="004168CB">
      <w:r w:rsidRPr="00CA4465">
        <w:t>“</w:t>
      </w:r>
      <w:r>
        <w:t>[A]rbitrators are the final judges of both law and fact; e</w:t>
      </w:r>
      <w:r w:rsidRPr="00CA4465">
        <w:t xml:space="preserve">very reasonable presumption </w:t>
      </w:r>
      <w:r>
        <w:t>is</w:t>
      </w:r>
      <w:r w:rsidRPr="00CA4465">
        <w:t xml:space="preserve"> </w:t>
      </w:r>
      <w:r>
        <w:t xml:space="preserve">to </w:t>
      </w:r>
      <w:r w:rsidRPr="00CA4465">
        <w:t>be exercised in favor of the finality and validity of the arbitration award</w:t>
      </w:r>
      <w:r>
        <w:t xml:space="preserve">, thus </w:t>
      </w:r>
      <w:r w:rsidRPr="00CA4465">
        <w:t xml:space="preserve">the scope of </w:t>
      </w:r>
      <w:r>
        <w:t xml:space="preserve">judicial </w:t>
      </w:r>
      <w:r w:rsidRPr="00CA4465">
        <w:t xml:space="preserve">review of an arbitration award is extremely narrow.”  </w:t>
      </w:r>
      <w:r>
        <w:rPr>
          <w:i/>
          <w:iCs/>
        </w:rPr>
        <w:t>Peggy Rose Revocable Trust v. Eppich</w:t>
      </w:r>
      <w:r w:rsidRPr="00CA4465">
        <w:t xml:space="preserve">, </w:t>
      </w:r>
      <w:r>
        <w:t>640</w:t>
      </w:r>
      <w:r w:rsidRPr="00CA4465">
        <w:t xml:space="preserve"> N.W.2d </w:t>
      </w:r>
      <w:r>
        <w:t>606</w:t>
      </w:r>
      <w:r w:rsidRPr="00CA4465">
        <w:t xml:space="preserve"> (Minn. </w:t>
      </w:r>
      <w:r>
        <w:t>2002</w:t>
      </w:r>
      <w:r w:rsidRPr="00CA4465">
        <w:t xml:space="preserve">). </w:t>
      </w:r>
    </w:p>
    <w:p w:rsidR="002C695F" w:rsidRDefault="002C695F" w:rsidP="004168CB"/>
    <w:p w:rsidR="002C695F" w:rsidRDefault="002C695F" w:rsidP="004168CB">
      <w:r>
        <w:t>“A</w:t>
      </w:r>
      <w:r w:rsidRPr="002C695F">
        <w:t xml:space="preserve"> judicial appeal from an arbitration decision is subject to an extremely narrow standard of review.” </w:t>
      </w:r>
      <w:r w:rsidRPr="002C695F">
        <w:rPr>
          <w:i/>
        </w:rPr>
        <w:t>Hunter, Keith Indus.</w:t>
      </w:r>
      <w:r w:rsidR="007F41D6">
        <w:rPr>
          <w:i/>
        </w:rPr>
        <w:t>,</w:t>
      </w:r>
      <w:r w:rsidRPr="002C695F">
        <w:rPr>
          <w:i/>
        </w:rPr>
        <w:t xml:space="preserve"> Inc. v. Piper Capital Mgmt.,</w:t>
      </w:r>
      <w:r w:rsidR="007F41D6">
        <w:rPr>
          <w:i/>
        </w:rPr>
        <w:t xml:space="preserve"> </w:t>
      </w:r>
      <w:r w:rsidRPr="002C695F">
        <w:rPr>
          <w:i/>
        </w:rPr>
        <w:t>Inc</w:t>
      </w:r>
      <w:r w:rsidRPr="002C695F">
        <w:t>., 575 N.W.2d 850, 854 (Minn.</w:t>
      </w:r>
      <w:r>
        <w:t xml:space="preserve"> </w:t>
      </w:r>
      <w:r w:rsidRPr="002C695F">
        <w:t>App.</w:t>
      </w:r>
      <w:r>
        <w:t xml:space="preserve"> </w:t>
      </w:r>
      <w:r w:rsidRPr="002C695F">
        <w:t>1998).</w:t>
      </w:r>
    </w:p>
    <w:p w:rsidR="002C695F" w:rsidRPr="00CA4465" w:rsidRDefault="002C695F" w:rsidP="004168CB"/>
    <w:p w:rsidR="004F10A3" w:rsidRPr="00CA4465" w:rsidRDefault="002C695F" w:rsidP="004168CB">
      <w:r>
        <w:t xml:space="preserve"> </w:t>
      </w:r>
      <w:r w:rsidR="007622C9">
        <w:t>“It is well settled that ‘an a</w:t>
      </w:r>
      <w:r w:rsidR="004F10A3" w:rsidRPr="00CA4465">
        <w:t>rbitrator</w:t>
      </w:r>
      <w:r w:rsidR="007622C9">
        <w:t xml:space="preserve">, in the absence of an agreement limiting his authority, is the </w:t>
      </w:r>
      <w:r w:rsidR="004F10A3" w:rsidRPr="00CA4465">
        <w:t>final judge of both law and fact</w:t>
      </w:r>
      <w:r w:rsidR="007622C9">
        <w:t xml:space="preserve">, including the interpretation of the terms of any contract, and his award will </w:t>
      </w:r>
      <w:r w:rsidR="004F10A3" w:rsidRPr="00CA4465">
        <w:t xml:space="preserve">not be reviewed or set aside for mistake of either law or fact in the absence of fraud, mistake in applying </w:t>
      </w:r>
      <w:r w:rsidR="007622C9">
        <w:t>his</w:t>
      </w:r>
      <w:r w:rsidR="004F10A3" w:rsidRPr="00CA4465">
        <w:t xml:space="preserve"> own theor</w:t>
      </w:r>
      <w:r w:rsidR="007622C9">
        <w:t>y</w:t>
      </w:r>
      <w:r w:rsidR="004F10A3" w:rsidRPr="00CA4465">
        <w:t>, misconduct, or other disregard of duty.</w:t>
      </w:r>
      <w:r w:rsidR="007622C9">
        <w:t>’</w:t>
      </w:r>
      <w:r w:rsidR="004F10A3" w:rsidRPr="00CA4465">
        <w:t xml:space="preserve">”  </w:t>
      </w:r>
      <w:r w:rsidR="007622C9">
        <w:rPr>
          <w:i/>
          <w:iCs/>
        </w:rPr>
        <w:t>State v. Minn</w:t>
      </w:r>
      <w:r w:rsidR="00246120">
        <w:rPr>
          <w:i/>
          <w:iCs/>
        </w:rPr>
        <w:t>.</w:t>
      </w:r>
      <w:r w:rsidR="007622C9">
        <w:rPr>
          <w:i/>
          <w:iCs/>
        </w:rPr>
        <w:t xml:space="preserve"> Ass’n of Prof’l Emps.</w:t>
      </w:r>
      <w:r w:rsidR="007622C9">
        <w:rPr>
          <w:iCs/>
        </w:rPr>
        <w:t>,</w:t>
      </w:r>
      <w:r w:rsidR="004F10A3" w:rsidRPr="00CA4465">
        <w:t xml:space="preserve"> </w:t>
      </w:r>
      <w:r w:rsidR="007622C9">
        <w:t>50</w:t>
      </w:r>
      <w:r w:rsidR="004F10A3" w:rsidRPr="00CA4465">
        <w:t xml:space="preserve">4 N.W.2d </w:t>
      </w:r>
      <w:r w:rsidR="007622C9">
        <w:t xml:space="preserve">751, 754 (Minn. 1993) (citing </w:t>
      </w:r>
      <w:r w:rsidR="007622C9">
        <w:rPr>
          <w:i/>
        </w:rPr>
        <w:t>Cournoyer v. Am. Television &amp; Radio Co.</w:t>
      </w:r>
      <w:r w:rsidR="007622C9">
        <w:t>, 2</w:t>
      </w:r>
      <w:r w:rsidR="004F10A3" w:rsidRPr="00CA4465">
        <w:t>49</w:t>
      </w:r>
      <w:r w:rsidR="007622C9">
        <w:t xml:space="preserve"> Minn. 577, 580, 83 N.W.2d 409, 411 (1957))</w:t>
      </w:r>
      <w:r w:rsidR="004F10A3" w:rsidRPr="00CA4465">
        <w:t xml:space="preserve">. </w:t>
      </w:r>
    </w:p>
    <w:p w:rsidR="004F10A3" w:rsidRPr="00CA4465" w:rsidRDefault="00ED14B8" w:rsidP="00604DD4">
      <w:pPr>
        <w:pStyle w:val="Heading2"/>
      </w:pPr>
      <w:bookmarkStart w:id="608" w:name="_Toc395604767"/>
      <w:r>
        <w:lastRenderedPageBreak/>
        <w:t>D</w:t>
      </w:r>
      <w:r w:rsidR="004F10A3" w:rsidRPr="00CA4465">
        <w:t>.</w:t>
      </w:r>
      <w:r w:rsidR="004F10A3" w:rsidRPr="00CA4465">
        <w:tab/>
      </w:r>
      <w:bookmarkStart w:id="609" w:name="_Toc48979745"/>
      <w:r w:rsidR="002C695F">
        <w:t>STANDARDS FOR PARTICULAR ISSUES</w:t>
      </w:r>
      <w:bookmarkEnd w:id="608"/>
      <w:r w:rsidR="002C695F">
        <w:t xml:space="preserve"> </w:t>
      </w:r>
      <w:bookmarkEnd w:id="609"/>
    </w:p>
    <w:p w:rsidR="004F10A3" w:rsidRPr="00CA4465" w:rsidRDefault="002C695F" w:rsidP="00337FFA">
      <w:pPr>
        <w:pStyle w:val="Heading3"/>
      </w:pPr>
      <w:bookmarkStart w:id="610" w:name="_Toc48979746"/>
      <w:bookmarkStart w:id="611" w:name="_Toc395604768"/>
      <w:r>
        <w:t>1</w:t>
      </w:r>
      <w:r w:rsidR="00C81C7B">
        <w:t>.</w:t>
      </w:r>
      <w:r w:rsidR="00C81C7B">
        <w:tab/>
      </w:r>
      <w:r w:rsidR="004F10A3" w:rsidRPr="00CA4465">
        <w:t>Evident Partiality or Misconduct Prejudicing the Rights of a Party</w:t>
      </w:r>
      <w:bookmarkEnd w:id="610"/>
      <w:bookmarkEnd w:id="611"/>
    </w:p>
    <w:p w:rsidR="004F10A3" w:rsidRPr="00CA4465" w:rsidRDefault="004F10A3" w:rsidP="002C695F">
      <w:pPr>
        <w:ind w:left="720"/>
      </w:pPr>
      <w:r w:rsidRPr="00CA4465">
        <w:t xml:space="preserve">“Whether challenged conduct constitutes evident partiality or prejudicial misconduct is a legal question reviewed de novo.”  </w:t>
      </w:r>
      <w:r w:rsidRPr="00CA4465">
        <w:rPr>
          <w:i/>
          <w:iCs/>
        </w:rPr>
        <w:t xml:space="preserve">Aaron v. Ill. Farmers Ins. </w:t>
      </w:r>
      <w:r w:rsidR="009B234C" w:rsidRPr="00CA4465">
        <w:rPr>
          <w:i/>
          <w:iCs/>
        </w:rPr>
        <w:t>Grp.</w:t>
      </w:r>
      <w:r w:rsidRPr="00CA4465">
        <w:t>, 590 N.W.2d 667, 669 (Minn. App. 1999)</w:t>
      </w:r>
      <w:r w:rsidR="00CF2F0D" w:rsidRPr="00CA4465">
        <w:t xml:space="preserve"> (quotation omitted)</w:t>
      </w:r>
      <w:r w:rsidRPr="00CA4465">
        <w:t>.</w:t>
      </w:r>
    </w:p>
    <w:p w:rsidR="004F10A3" w:rsidRPr="00CA4465" w:rsidRDefault="002C695F" w:rsidP="00337FFA">
      <w:pPr>
        <w:pStyle w:val="Heading3"/>
      </w:pPr>
      <w:bookmarkStart w:id="612" w:name="_Toc48979747"/>
      <w:bookmarkStart w:id="613" w:name="_Toc395604769"/>
      <w:r>
        <w:t>2</w:t>
      </w:r>
      <w:r w:rsidR="00C81C7B">
        <w:t>.</w:t>
      </w:r>
      <w:r w:rsidR="00C81C7B">
        <w:tab/>
      </w:r>
      <w:r w:rsidR="004F10A3" w:rsidRPr="00CA4465">
        <w:t>Exceeding Powers</w:t>
      </w:r>
      <w:bookmarkEnd w:id="612"/>
      <w:bookmarkEnd w:id="613"/>
    </w:p>
    <w:p w:rsidR="00A90429" w:rsidRPr="00CF5D53" w:rsidRDefault="00CF5D53" w:rsidP="002C695F">
      <w:pPr>
        <w:ind w:left="720"/>
      </w:pPr>
      <w:r>
        <w:t xml:space="preserve">“We exercise de novo review to determine whether an arbitrator exceeded her powers.”  </w:t>
      </w:r>
      <w:r>
        <w:rPr>
          <w:i/>
        </w:rPr>
        <w:t>Fernow v. Gould</w:t>
      </w:r>
      <w:r w:rsidR="00251817">
        <w:t>, 816 N.W.2d 647, 649 (Minn. App. 2012)</w:t>
      </w:r>
      <w:r>
        <w:t xml:space="preserve"> </w:t>
      </w:r>
      <w:r w:rsidR="00251817">
        <w:t>(</w:t>
      </w:r>
      <w:r>
        <w:t xml:space="preserve">citing </w:t>
      </w:r>
      <w:r>
        <w:rPr>
          <w:i/>
        </w:rPr>
        <w:t>Klinefelter v. Crum &amp; Forster Ins. Co.</w:t>
      </w:r>
      <w:r>
        <w:t>, 675 N.W.2d 330, 333 (Minn. App. 2004</w:t>
      </w:r>
      <w:r w:rsidR="00251817">
        <w:t>)</w:t>
      </w:r>
      <w:r>
        <w:t xml:space="preserve">).  </w:t>
      </w:r>
    </w:p>
    <w:p w:rsidR="00A90429" w:rsidRDefault="00A90429" w:rsidP="002C695F">
      <w:pPr>
        <w:ind w:left="720"/>
      </w:pPr>
    </w:p>
    <w:p w:rsidR="004F10A3" w:rsidRPr="00CA4465" w:rsidRDefault="00342716" w:rsidP="002C695F">
      <w:pPr>
        <w:ind w:left="720"/>
      </w:pPr>
      <w:r>
        <w:t xml:space="preserve">“The district court </w:t>
      </w:r>
      <w:r w:rsidR="00F121BB">
        <w:t xml:space="preserve">shall vacate the award, among other grounds, if the arbitrators exceeded their powers.  Absent a clear showing that the arbitrators were unfaithful to their obligations, the courts assume that the arbitrators did not exceed their authority.”  </w:t>
      </w:r>
      <w:r w:rsidR="00F121BB">
        <w:rPr>
          <w:i/>
        </w:rPr>
        <w:t xml:space="preserve">QBE Ins. Corp. v. Twin Homes of French Ridge Homeowners </w:t>
      </w:r>
      <w:r w:rsidR="00F121BB" w:rsidRPr="00342716">
        <w:rPr>
          <w:i/>
        </w:rPr>
        <w:t>Ass’n</w:t>
      </w:r>
      <w:r w:rsidR="00F121BB">
        <w:t xml:space="preserve">, 778 N.W.2d 393, 398 (Minn. App. 2010) (quotation </w:t>
      </w:r>
      <w:r>
        <w:t xml:space="preserve">and citations </w:t>
      </w:r>
      <w:r w:rsidR="00F121BB">
        <w:t>omitted)</w:t>
      </w:r>
      <w:r w:rsidR="00F121BB" w:rsidRPr="00CA4465">
        <w:t>.</w:t>
      </w:r>
      <w:r w:rsidR="00F121BB">
        <w:t xml:space="preserve">  </w:t>
      </w:r>
    </w:p>
    <w:p w:rsidR="004F10A3" w:rsidRPr="00CA4465" w:rsidRDefault="004F10A3" w:rsidP="002C695F">
      <w:pPr>
        <w:ind w:left="720"/>
      </w:pPr>
    </w:p>
    <w:p w:rsidR="004F10A3" w:rsidRPr="00CA4465" w:rsidRDefault="00EA0CA5" w:rsidP="002C695F">
      <w:pPr>
        <w:ind w:left="720"/>
      </w:pPr>
      <w:r w:rsidRPr="00CA4465">
        <w:t xml:space="preserve">“[I]n the public sector an arbitrator has no </w:t>
      </w:r>
      <w:r w:rsidR="004F10A3" w:rsidRPr="00CA4465">
        <w:t xml:space="preserve">authority to </w:t>
      </w:r>
      <w:r w:rsidRPr="00CA4465">
        <w:t xml:space="preserve">make </w:t>
      </w:r>
      <w:r w:rsidR="004F10A3" w:rsidRPr="00CA4465">
        <w:t>constitutional</w:t>
      </w:r>
      <w:r w:rsidRPr="00CA4465">
        <w:t xml:space="preserve"> determinations, irrespective of the language of the arbitration agreement.”</w:t>
      </w:r>
      <w:r w:rsidR="004F10A3" w:rsidRPr="00CA4465">
        <w:t xml:space="preserve">  </w:t>
      </w:r>
      <w:r w:rsidR="00DC7EC2" w:rsidRPr="00CA4465">
        <w:rPr>
          <w:i/>
          <w:iCs/>
        </w:rPr>
        <w:t>Cnty.</w:t>
      </w:r>
      <w:r w:rsidR="004F10A3" w:rsidRPr="00CA4465">
        <w:rPr>
          <w:i/>
          <w:iCs/>
        </w:rPr>
        <w:t xml:space="preserve"> of Hennepin v. Law Enforcement Labor Servs., Inc., Local No. 19</w:t>
      </w:r>
      <w:r w:rsidR="004F10A3" w:rsidRPr="00CA4465">
        <w:t>, 527 N.W.2d 821, 825 (Minn. 1995).</w:t>
      </w:r>
    </w:p>
    <w:p w:rsidR="004F10A3" w:rsidRPr="00CA4465" w:rsidRDefault="004F10A3" w:rsidP="002C695F">
      <w:pPr>
        <w:ind w:left="720"/>
      </w:pPr>
    </w:p>
    <w:p w:rsidR="00AD2BDB" w:rsidRPr="00CA4465" w:rsidRDefault="00BF3625" w:rsidP="002C695F">
      <w:pPr>
        <w:ind w:left="720"/>
      </w:pPr>
      <w:r w:rsidRPr="00CA4465">
        <w:t xml:space="preserve">“[I]n deciding issues of law, the appellate courts are not bound by the </w:t>
      </w:r>
      <w:r w:rsidR="00A14F2D" w:rsidRPr="00CA4465">
        <w:t>[district]</w:t>
      </w:r>
      <w:r w:rsidRPr="00CA4465">
        <w:t xml:space="preserve"> court’s conclusions</w:t>
      </w:r>
      <w:r w:rsidR="00CF2F0D" w:rsidRPr="00CA4465">
        <w:t>,</w:t>
      </w:r>
      <w:r w:rsidRPr="00CA4465">
        <w:t xml:space="preserve"> and may independently determine the </w:t>
      </w:r>
      <w:r w:rsidR="00EC34AF" w:rsidRPr="00CA4465">
        <w:t>issues</w:t>
      </w:r>
      <w:r w:rsidRPr="00CA4465">
        <w:t xml:space="preserve"> pursuant to applicable statutory and case law. . . . </w:t>
      </w:r>
      <w:r w:rsidR="004F10A3" w:rsidRPr="00CA4465">
        <w:t xml:space="preserve">The </w:t>
      </w:r>
      <w:r w:rsidR="00A14F2D" w:rsidRPr="00CA4465">
        <w:t>[district]</w:t>
      </w:r>
      <w:r w:rsidR="004F10A3" w:rsidRPr="00CA4465">
        <w:t xml:space="preserve"> court is not bound by the arbitrator’s decision that its actions were within its authority.”  </w:t>
      </w:r>
      <w:r w:rsidR="004F10A3" w:rsidRPr="00CA4465">
        <w:rPr>
          <w:i/>
          <w:iCs/>
        </w:rPr>
        <w:t>MedCenters Health Care, Inc. v. Park Nicollet Med. Ctr.</w:t>
      </w:r>
      <w:r w:rsidR="004F10A3" w:rsidRPr="00CA4465">
        <w:t>, 430 N.W.2d 668, 672 (Minn. App. 1988)</w:t>
      </w:r>
      <w:r w:rsidRPr="00CA4465">
        <w:t>,</w:t>
      </w:r>
      <w:r w:rsidR="004F10A3" w:rsidRPr="00CA4465">
        <w:t xml:space="preserve"> </w:t>
      </w:r>
      <w:r w:rsidR="004F10A3" w:rsidRPr="00CA4465">
        <w:rPr>
          <w:i/>
          <w:iCs/>
        </w:rPr>
        <w:t xml:space="preserve">review denied </w:t>
      </w:r>
      <w:r w:rsidR="004F10A3" w:rsidRPr="00CA4465">
        <w:t>(Minn. Apr. 26, 1989).</w:t>
      </w:r>
      <w:r w:rsidR="00AD2BDB" w:rsidRPr="00CA4465">
        <w:tab/>
      </w:r>
    </w:p>
    <w:p w:rsidR="004F10A3" w:rsidRPr="00CA4465" w:rsidRDefault="00ED14B8" w:rsidP="00604DD4">
      <w:pPr>
        <w:pStyle w:val="Heading2"/>
      </w:pPr>
      <w:bookmarkStart w:id="614" w:name="_Toc48979748"/>
      <w:bookmarkStart w:id="615" w:name="_Toc395604770"/>
      <w:r>
        <w:t>E</w:t>
      </w:r>
      <w:r w:rsidR="00F121BB">
        <w:t>.</w:t>
      </w:r>
      <w:r w:rsidR="00F121BB">
        <w:tab/>
      </w:r>
      <w:bookmarkEnd w:id="614"/>
      <w:r w:rsidR="00C86577">
        <w:t>COLLECTIVE BARGAINING AGREEMENTS</w:t>
      </w:r>
      <w:bookmarkEnd w:id="615"/>
    </w:p>
    <w:p w:rsidR="004F10A3" w:rsidRPr="00CA4465" w:rsidRDefault="00BF3625" w:rsidP="001F4413">
      <w:r w:rsidRPr="00CA4465">
        <w:t>“Where the decision is being challenged on the merits, an award cannot be vacated if it</w:t>
      </w:r>
      <w:r w:rsidR="004F10A3" w:rsidRPr="00CA4465">
        <w:t xml:space="preserve"> draws its </w:t>
      </w:r>
      <w:r w:rsidRPr="00CA4465">
        <w:t>‘</w:t>
      </w:r>
      <w:r w:rsidR="004F10A3" w:rsidRPr="00CA4465">
        <w:t>essence</w:t>
      </w:r>
      <w:r w:rsidRPr="00CA4465">
        <w:t>’</w:t>
      </w:r>
      <w:r w:rsidR="004F10A3" w:rsidRPr="00CA4465">
        <w:t xml:space="preserve"> from the</w:t>
      </w:r>
      <w:r w:rsidR="00A534DE" w:rsidRPr="00CA4465">
        <w:t xml:space="preserve"> contract</w:t>
      </w:r>
      <w:r w:rsidR="004F10A3" w:rsidRPr="00CA4465">
        <w:t xml:space="preserve"> and can </w:t>
      </w:r>
      <w:r w:rsidRPr="00CA4465">
        <w:t>‘</w:t>
      </w:r>
      <w:r w:rsidR="004F10A3" w:rsidRPr="00CA4465">
        <w:t>in some rational manner be derived from the agreement.</w:t>
      </w:r>
      <w:r w:rsidRPr="00CA4465">
        <w:t>’</w:t>
      </w:r>
      <w:r w:rsidR="004F10A3" w:rsidRPr="00CA4465">
        <w:t xml:space="preserve">”  </w:t>
      </w:r>
      <w:r w:rsidR="004F10A3" w:rsidRPr="00CA4465">
        <w:rPr>
          <w:i/>
        </w:rPr>
        <w:t>Metro. Airports Comm’n v. Metro. Airports Police Fed’n</w:t>
      </w:r>
      <w:r w:rsidR="004F10A3" w:rsidRPr="00CA4465">
        <w:t xml:space="preserve">, 443 N.W.2d 519, 524 (Minn. 1989) (quoting </w:t>
      </w:r>
      <w:r w:rsidR="004F10A3" w:rsidRPr="00CA4465">
        <w:rPr>
          <w:i/>
          <w:iCs/>
        </w:rPr>
        <w:t xml:space="preserve">Ramsey </w:t>
      </w:r>
      <w:r w:rsidR="00DC7EC2" w:rsidRPr="00CA4465">
        <w:rPr>
          <w:i/>
          <w:iCs/>
        </w:rPr>
        <w:t>Cnty.</w:t>
      </w:r>
      <w:r w:rsidR="004F10A3" w:rsidRPr="00CA4465">
        <w:rPr>
          <w:i/>
          <w:iCs/>
        </w:rPr>
        <w:t xml:space="preserve"> v. AFSCME, Council 91, Local 8</w:t>
      </w:r>
      <w:r w:rsidR="004F10A3" w:rsidRPr="00CA4465">
        <w:t>, 309 N.W.2d 785, 792 (Minn. 1981)).</w:t>
      </w:r>
    </w:p>
    <w:p w:rsidR="004F10A3" w:rsidRPr="00CA4465" w:rsidRDefault="004F10A3" w:rsidP="00604DD4">
      <w:pPr>
        <w:pStyle w:val="Heading2"/>
      </w:pPr>
      <w:bookmarkStart w:id="616" w:name="_Toc48979749"/>
      <w:bookmarkStart w:id="617" w:name="_Toc395604771"/>
      <w:r w:rsidRPr="00CA4465">
        <w:t>F.</w:t>
      </w:r>
      <w:r w:rsidRPr="00CA4465">
        <w:tab/>
        <w:t>NO-FAULT AUTOMOBILE INSURANCE ARBITRATION</w:t>
      </w:r>
      <w:bookmarkEnd w:id="616"/>
      <w:bookmarkEnd w:id="617"/>
    </w:p>
    <w:p w:rsidR="008D4DE9" w:rsidRPr="008D4DE9" w:rsidRDefault="008D4DE9" w:rsidP="008D4DE9">
      <w:r w:rsidRPr="008D4DE9">
        <w:t>“We recognized, however, that in order to award benefits, arbitrators must apply the law to the facts, and therefore we review de novo the arbitrators</w:t>
      </w:r>
      <w:r w:rsidR="007F41D6">
        <w:t>’</w:t>
      </w:r>
      <w:r w:rsidRPr="008D4DE9">
        <w:t xml:space="preserve"> legal determinations that are necessary to award, suspend, or deny benefits.” </w:t>
      </w:r>
      <w:r w:rsidRPr="008D4DE9">
        <w:rPr>
          <w:i/>
        </w:rPr>
        <w:t>W. Nat’l Ins. Co. v. Thompson</w:t>
      </w:r>
      <w:r w:rsidRPr="008D4DE9">
        <w:t xml:space="preserve">, 797 N.W.2d 201, 207 (Minn. 2011). </w:t>
      </w:r>
    </w:p>
    <w:p w:rsidR="008D4DE9" w:rsidRPr="008D4DE9" w:rsidRDefault="008D4DE9" w:rsidP="008D4DE9"/>
    <w:p w:rsidR="008D4DE9" w:rsidRPr="008D4DE9" w:rsidRDefault="008D4DE9" w:rsidP="008D4DE9">
      <w:r w:rsidRPr="008D4DE9">
        <w:t xml:space="preserve">“[W]e conclude that whether a request for an examination under oath and the refusal of such a request are reasonable are questions of fact for the arbitrator.  The court, however, reviews de novo any legal conclusions made by the arbitrators based on these factual determinations. . . . </w:t>
      </w:r>
      <w:r w:rsidRPr="008D4DE9">
        <w:lastRenderedPageBreak/>
        <w:t xml:space="preserve">[T]he arbitrators made an implicit factual determination that the refusal was reasonable, and that determination is final.” </w:t>
      </w:r>
      <w:r w:rsidRPr="008D4DE9">
        <w:rPr>
          <w:i/>
        </w:rPr>
        <w:t>W. Nat’l Ins. Co. v. Thompson</w:t>
      </w:r>
      <w:r w:rsidRPr="008D4DE9">
        <w:t xml:space="preserve">, 797 N.W.2d 201, 208 (Minn. 2011) (footnote omitted). </w:t>
      </w:r>
    </w:p>
    <w:p w:rsidR="008D4DE9" w:rsidRPr="008D4DE9" w:rsidRDefault="008D4DE9" w:rsidP="008D4DE9"/>
    <w:p w:rsidR="008D4DE9" w:rsidRPr="008D4DE9" w:rsidRDefault="008D4DE9" w:rsidP="008D4DE9">
      <w:r w:rsidRPr="008D4DE9">
        <w:t xml:space="preserve">“The threshold issue is whether the arbitrators exceeded the scope of their authority by deciding an issue of law not properly subject to arbitration. To answer this question we must examine the relevant provisions of the No–Fault Act and applicable case law, and then apply the law to the case before us.”  </w:t>
      </w:r>
      <w:r w:rsidRPr="008D4DE9">
        <w:rPr>
          <w:i/>
        </w:rPr>
        <w:t>W. Nat’l Ins. Co. v. Thompson</w:t>
      </w:r>
      <w:r w:rsidRPr="008D4DE9">
        <w:t>, 797 N.W.2d 201, 205 (Minn. 2011)</w:t>
      </w:r>
    </w:p>
    <w:p w:rsidR="008D4DE9" w:rsidRPr="008D4DE9" w:rsidRDefault="008D4DE9" w:rsidP="008D4DE9">
      <w:r w:rsidRPr="008D4DE9">
        <w:t xml:space="preserve"> </w:t>
      </w:r>
    </w:p>
    <w:p w:rsidR="008D4DE9" w:rsidRPr="008D4DE9" w:rsidRDefault="007F41D6" w:rsidP="008D4DE9">
      <w:r>
        <w:t>“</w:t>
      </w:r>
      <w:r w:rsidR="008D4DE9" w:rsidRPr="008D4DE9">
        <w:t xml:space="preserve">Arbitrators are not required to give reasons for their decisions.  To facilitate judicial review, we urge arbitrators to state whether their decisions in no-fault arbitrations are based on factual determinations or legal conclusions.  When arbitrators fail to give reasons for their decisions, they run the risk that they will be compelled to clarify their awards.  </w:t>
      </w:r>
      <w:r w:rsidR="008D4DE9" w:rsidRPr="008D4DE9">
        <w:rPr>
          <w:i/>
        </w:rPr>
        <w:t>See</w:t>
      </w:r>
      <w:r w:rsidR="008D4DE9" w:rsidRPr="008D4DE9">
        <w:t xml:space="preserve"> Minn. Stat. § 572.16 (2010).”  </w:t>
      </w:r>
      <w:r w:rsidR="008D4DE9" w:rsidRPr="008D4DE9">
        <w:rPr>
          <w:i/>
        </w:rPr>
        <w:t>W. Nat’l Ins. Co. v. Thompson</w:t>
      </w:r>
      <w:r w:rsidR="008D4DE9" w:rsidRPr="008D4DE9">
        <w:t>, 797 N.W.2d 201, 208 n.3 (Minn. 2011)</w:t>
      </w:r>
      <w:r>
        <w:t xml:space="preserve"> (other citation omitted)</w:t>
      </w:r>
      <w:r w:rsidR="008D4DE9" w:rsidRPr="008D4DE9">
        <w:t>.</w:t>
      </w:r>
    </w:p>
    <w:p w:rsidR="008D4DE9" w:rsidRPr="008D4DE9" w:rsidRDefault="008D4DE9" w:rsidP="008D4DE9"/>
    <w:p w:rsidR="008D4DE9" w:rsidRPr="008D4DE9" w:rsidRDefault="008D4DE9" w:rsidP="008D4DE9">
      <w:r w:rsidRPr="008D4DE9">
        <w:t>“The issues raised in these cases require that we interpret language from automobile insurance policies. The interpretation of an insurance policy is a question of law as applied to the facts presented.  When there are no disputed material facts, we independently review a lower court</w:t>
      </w:r>
      <w:r w:rsidR="007F41D6">
        <w:t>’</w:t>
      </w:r>
      <w:r w:rsidRPr="008D4DE9">
        <w:t xml:space="preserve">s interpretation of the insurance policy.”  </w:t>
      </w:r>
      <w:r w:rsidRPr="008D4DE9">
        <w:rPr>
          <w:i/>
        </w:rPr>
        <w:t>Star Windshield Repair, Inc. v. W. Nat’l Ins. Co.</w:t>
      </w:r>
      <w:r w:rsidRPr="008D4DE9">
        <w:t>, 768 N.W.2d 346, 348 (Minn. 2009) (citation omitted).</w:t>
      </w:r>
    </w:p>
    <w:p w:rsidR="008D4DE9" w:rsidRPr="008D4DE9" w:rsidRDefault="008D4DE9" w:rsidP="008D4DE9"/>
    <w:p w:rsidR="008D4DE9" w:rsidRPr="008D4DE9" w:rsidRDefault="008D4DE9" w:rsidP="008D4DE9">
      <w:r w:rsidRPr="008D4DE9">
        <w:t xml:space="preserve">“We interpret an arbitration agreement ‘to give effect to the intention of the parties as expressed in the language they used in drafting the whole [agreement].’”  </w:t>
      </w:r>
      <w:r w:rsidRPr="008D4DE9">
        <w:rPr>
          <w:i/>
        </w:rPr>
        <w:t>George v. Evenson</w:t>
      </w:r>
      <w:r w:rsidRPr="008D4DE9">
        <w:t xml:space="preserve">, 754 N.W.2d 335, 341 (Minn. 2008).  </w:t>
      </w:r>
    </w:p>
    <w:p w:rsidR="008D4DE9" w:rsidRPr="008D4DE9" w:rsidRDefault="008D4DE9" w:rsidP="008D4DE9"/>
    <w:p w:rsidR="008D4DE9" w:rsidRPr="008D4DE9" w:rsidRDefault="008D4DE9" w:rsidP="008D4DE9">
      <w:r w:rsidRPr="008D4DE9">
        <w:t xml:space="preserve">“[N]o-fault arbitrators are limited to deciding questions of fact, leaving the interpretation of law to the courts.”  </w:t>
      </w:r>
      <w:r w:rsidRPr="008D4DE9">
        <w:rPr>
          <w:i/>
          <w:iCs/>
        </w:rPr>
        <w:t>Weaver v. State Farm Ins. Cos.</w:t>
      </w:r>
      <w:r w:rsidRPr="008D4DE9">
        <w:t xml:space="preserve">, 609 N.W.2d 878, 882 (Minn. 2000).  “Arbitration regarding automobile reparations therefore departs from the generally accepted principle that arbitrators are the final judges of both law and fact.”  </w:t>
      </w:r>
      <w:r w:rsidRPr="008D4DE9">
        <w:rPr>
          <w:i/>
        </w:rPr>
        <w:t>Id.</w:t>
      </w:r>
      <w:r w:rsidRPr="008D4DE9">
        <w:t xml:space="preserve"> (quotation omitted).</w:t>
      </w:r>
    </w:p>
    <w:p w:rsidR="008D4DE9" w:rsidRPr="008D4DE9" w:rsidRDefault="008D4DE9" w:rsidP="008D4DE9"/>
    <w:p w:rsidR="008D4DE9" w:rsidRPr="008D4DE9" w:rsidRDefault="008D4DE9" w:rsidP="008D4DE9">
      <w:r w:rsidRPr="008D4DE9">
        <w:t xml:space="preserve">“Appellate courts will review questions of statutory interpretation of the no-fault act de novo.”  </w:t>
      </w:r>
      <w:r w:rsidRPr="008D4DE9">
        <w:rPr>
          <w:i/>
        </w:rPr>
        <w:t>State Farm Mut. Auto. Ins. Co. v. Frelix</w:t>
      </w:r>
      <w:r w:rsidRPr="008D4DE9">
        <w:t>, 764 N.W.2d 581, 582 (Minn. App. 2009).</w:t>
      </w:r>
    </w:p>
    <w:p w:rsidR="008D4DE9" w:rsidRPr="008D4DE9" w:rsidRDefault="008D4DE9" w:rsidP="008D4DE9"/>
    <w:p w:rsidR="008D4DE9" w:rsidRPr="008D4DE9" w:rsidRDefault="008D4DE9" w:rsidP="008D4DE9">
      <w:r w:rsidRPr="008D4DE9">
        <w:t xml:space="preserve">“An arbitrator’s findings of fact are final.”  </w:t>
      </w:r>
      <w:r w:rsidRPr="008D4DE9">
        <w:rPr>
          <w:i/>
        </w:rPr>
        <w:t>State Farm v. Liberty Mut. Ins. Co.</w:t>
      </w:r>
      <w:r w:rsidRPr="008D4DE9">
        <w:t xml:space="preserve">, 678 N.W.2d 719, 721 (Minn. App. 2004), </w:t>
      </w:r>
      <w:r w:rsidRPr="008D4DE9">
        <w:rPr>
          <w:i/>
        </w:rPr>
        <w:t>review denied</w:t>
      </w:r>
      <w:r w:rsidRPr="008D4DE9">
        <w:t xml:space="preserve"> (Minn. June 29, 2004).  “When reviewing a no-fault arbitration award, questions of law are reviewed de novo.”  </w:t>
      </w:r>
      <w:r w:rsidRPr="008D4DE9">
        <w:rPr>
          <w:i/>
        </w:rPr>
        <w:t>Id.</w:t>
      </w:r>
      <w:r w:rsidRPr="008D4DE9">
        <w:t xml:space="preserve">  </w:t>
      </w:r>
    </w:p>
    <w:sectPr w:rsidR="008D4DE9" w:rsidRPr="008D4DE9" w:rsidSect="00D46F79">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CC9" w:rsidRDefault="00E46CC9">
      <w:r>
        <w:separator/>
      </w:r>
    </w:p>
  </w:endnote>
  <w:endnote w:type="continuationSeparator" w:id="0">
    <w:p w:rsidR="00E46CC9" w:rsidRDefault="00E46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CC9" w:rsidRDefault="00E46CC9" w:rsidP="004336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46CC9" w:rsidRDefault="00E46C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CC9" w:rsidRDefault="00E46CC9">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CC9" w:rsidRPr="00272541" w:rsidRDefault="00E46CC9" w:rsidP="004336D1">
    <w:pPr>
      <w:pStyle w:val="Footer"/>
      <w:framePr w:wrap="around" w:vAnchor="text" w:hAnchor="margin" w:xAlign="center" w:y="1"/>
      <w:rPr>
        <w:rStyle w:val="PageNumber"/>
      </w:rPr>
    </w:pPr>
    <w:r w:rsidRPr="00C81C7B">
      <w:rPr>
        <w:rStyle w:val="PageNumber"/>
      </w:rPr>
      <w:fldChar w:fldCharType="begin"/>
    </w:r>
    <w:r w:rsidRPr="00C81C7B">
      <w:rPr>
        <w:rStyle w:val="PageNumber"/>
      </w:rPr>
      <w:instrText xml:space="preserve">PAGE  </w:instrText>
    </w:r>
    <w:r w:rsidRPr="00C81C7B">
      <w:rPr>
        <w:rStyle w:val="PageNumber"/>
      </w:rPr>
      <w:fldChar w:fldCharType="separate"/>
    </w:r>
    <w:r w:rsidR="000F30C0">
      <w:rPr>
        <w:rStyle w:val="PageNumber"/>
        <w:noProof/>
      </w:rPr>
      <w:t>115</w:t>
    </w:r>
    <w:r w:rsidRPr="00C81C7B">
      <w:rPr>
        <w:rStyle w:val="PageNumber"/>
      </w:rPr>
      <w:fldChar w:fldCharType="end"/>
    </w:r>
  </w:p>
  <w:p w:rsidR="00E46CC9" w:rsidRDefault="00E46CC9">
    <w:pPr>
      <w:pStyle w:val="Footer"/>
      <w:jc w:val="center"/>
    </w:pPr>
    <w:r>
      <w:rPr>
        <w:rStyle w:val="PageNumber"/>
      </w:rPr>
      <w:fldChar w:fldCharType="begin"/>
    </w:r>
    <w:r>
      <w:rPr>
        <w:rStyle w:val="PageNumber"/>
      </w:rPr>
      <w:instrText xml:space="preserve"> PAGE </w:instrText>
    </w:r>
    <w:r>
      <w:rPr>
        <w:rStyle w:val="PageNumber"/>
      </w:rPr>
      <w:fldChar w:fldCharType="separate"/>
    </w:r>
    <w:r w:rsidR="000F30C0">
      <w:rPr>
        <w:rStyle w:val="PageNumber"/>
        <w:noProof/>
      </w:rPr>
      <w:t>115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CC9" w:rsidRDefault="00E46CC9">
      <w:r>
        <w:separator/>
      </w:r>
    </w:p>
  </w:footnote>
  <w:footnote w:type="continuationSeparator" w:id="0">
    <w:p w:rsidR="00E46CC9" w:rsidRDefault="00E46C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CC9" w:rsidRDefault="00E46C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F3794"/>
    <w:multiLevelType w:val="hybridMultilevel"/>
    <w:tmpl w:val="DEAAC394"/>
    <w:lvl w:ilvl="0" w:tplc="2BE8C6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A71CE1"/>
    <w:multiLevelType w:val="hybridMultilevel"/>
    <w:tmpl w:val="2D9E5C8C"/>
    <w:lvl w:ilvl="0" w:tplc="EF52D764">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6B7866"/>
    <w:multiLevelType w:val="hybridMultilevel"/>
    <w:tmpl w:val="42484638"/>
    <w:lvl w:ilvl="0" w:tplc="2BE8C6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val="fullPage" w:percent="5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0A3"/>
    <w:rsid w:val="000019BC"/>
    <w:rsid w:val="00004B13"/>
    <w:rsid w:val="00006E21"/>
    <w:rsid w:val="00010220"/>
    <w:rsid w:val="00014AE0"/>
    <w:rsid w:val="00015793"/>
    <w:rsid w:val="0002012A"/>
    <w:rsid w:val="000229DA"/>
    <w:rsid w:val="00024465"/>
    <w:rsid w:val="00030FFE"/>
    <w:rsid w:val="00031095"/>
    <w:rsid w:val="000311A1"/>
    <w:rsid w:val="00031A4B"/>
    <w:rsid w:val="00032118"/>
    <w:rsid w:val="00035838"/>
    <w:rsid w:val="000359E8"/>
    <w:rsid w:val="00035D3D"/>
    <w:rsid w:val="00036E48"/>
    <w:rsid w:val="000373A5"/>
    <w:rsid w:val="000373D8"/>
    <w:rsid w:val="00037B1E"/>
    <w:rsid w:val="00037C4C"/>
    <w:rsid w:val="00040447"/>
    <w:rsid w:val="000409B2"/>
    <w:rsid w:val="00042677"/>
    <w:rsid w:val="00042CD0"/>
    <w:rsid w:val="000467B1"/>
    <w:rsid w:val="00047622"/>
    <w:rsid w:val="00047B74"/>
    <w:rsid w:val="000508D2"/>
    <w:rsid w:val="00051D4F"/>
    <w:rsid w:val="0005233B"/>
    <w:rsid w:val="00055575"/>
    <w:rsid w:val="00055A72"/>
    <w:rsid w:val="00056780"/>
    <w:rsid w:val="00057501"/>
    <w:rsid w:val="000605DE"/>
    <w:rsid w:val="00061EB5"/>
    <w:rsid w:val="00063F46"/>
    <w:rsid w:val="000650CA"/>
    <w:rsid w:val="00066FFE"/>
    <w:rsid w:val="00071172"/>
    <w:rsid w:val="00072151"/>
    <w:rsid w:val="00072DCB"/>
    <w:rsid w:val="00073496"/>
    <w:rsid w:val="00074078"/>
    <w:rsid w:val="000749CA"/>
    <w:rsid w:val="00075D8F"/>
    <w:rsid w:val="00075FA3"/>
    <w:rsid w:val="0007637A"/>
    <w:rsid w:val="000809E3"/>
    <w:rsid w:val="000829B0"/>
    <w:rsid w:val="00082F60"/>
    <w:rsid w:val="00083970"/>
    <w:rsid w:val="00085767"/>
    <w:rsid w:val="00086AFA"/>
    <w:rsid w:val="00091397"/>
    <w:rsid w:val="000917CD"/>
    <w:rsid w:val="00092C37"/>
    <w:rsid w:val="00094E16"/>
    <w:rsid w:val="000961A3"/>
    <w:rsid w:val="00096865"/>
    <w:rsid w:val="00097127"/>
    <w:rsid w:val="000A2C33"/>
    <w:rsid w:val="000A329D"/>
    <w:rsid w:val="000A408C"/>
    <w:rsid w:val="000A5A06"/>
    <w:rsid w:val="000A5E29"/>
    <w:rsid w:val="000B0D55"/>
    <w:rsid w:val="000B179A"/>
    <w:rsid w:val="000B1E8B"/>
    <w:rsid w:val="000B2DC7"/>
    <w:rsid w:val="000B3351"/>
    <w:rsid w:val="000B34CA"/>
    <w:rsid w:val="000B3584"/>
    <w:rsid w:val="000C0546"/>
    <w:rsid w:val="000C1095"/>
    <w:rsid w:val="000C4263"/>
    <w:rsid w:val="000C5B07"/>
    <w:rsid w:val="000C5E81"/>
    <w:rsid w:val="000D1957"/>
    <w:rsid w:val="000D1FD0"/>
    <w:rsid w:val="000D56C1"/>
    <w:rsid w:val="000D668E"/>
    <w:rsid w:val="000E34D5"/>
    <w:rsid w:val="000E3725"/>
    <w:rsid w:val="000E53E7"/>
    <w:rsid w:val="000E63B4"/>
    <w:rsid w:val="000F0760"/>
    <w:rsid w:val="000F0A75"/>
    <w:rsid w:val="000F3051"/>
    <w:rsid w:val="000F30C0"/>
    <w:rsid w:val="000F632B"/>
    <w:rsid w:val="000F7C83"/>
    <w:rsid w:val="00100F86"/>
    <w:rsid w:val="00104A3E"/>
    <w:rsid w:val="00104B04"/>
    <w:rsid w:val="00111328"/>
    <w:rsid w:val="001113AD"/>
    <w:rsid w:val="00113ABB"/>
    <w:rsid w:val="00121C3A"/>
    <w:rsid w:val="00123F22"/>
    <w:rsid w:val="001312E4"/>
    <w:rsid w:val="00131C04"/>
    <w:rsid w:val="0013329D"/>
    <w:rsid w:val="00133FA5"/>
    <w:rsid w:val="00134855"/>
    <w:rsid w:val="0013647E"/>
    <w:rsid w:val="001400A6"/>
    <w:rsid w:val="001400E0"/>
    <w:rsid w:val="0014336F"/>
    <w:rsid w:val="00146883"/>
    <w:rsid w:val="00150CD4"/>
    <w:rsid w:val="00156CF8"/>
    <w:rsid w:val="00157177"/>
    <w:rsid w:val="00164349"/>
    <w:rsid w:val="00170E08"/>
    <w:rsid w:val="0017341C"/>
    <w:rsid w:val="0017390F"/>
    <w:rsid w:val="00177214"/>
    <w:rsid w:val="00181694"/>
    <w:rsid w:val="00181E95"/>
    <w:rsid w:val="0018318E"/>
    <w:rsid w:val="00183968"/>
    <w:rsid w:val="00184F84"/>
    <w:rsid w:val="00186844"/>
    <w:rsid w:val="0019193C"/>
    <w:rsid w:val="001A211C"/>
    <w:rsid w:val="001A3DDB"/>
    <w:rsid w:val="001A4AD9"/>
    <w:rsid w:val="001A6DCB"/>
    <w:rsid w:val="001A77A8"/>
    <w:rsid w:val="001A7F73"/>
    <w:rsid w:val="001B0794"/>
    <w:rsid w:val="001B0A9D"/>
    <w:rsid w:val="001B151A"/>
    <w:rsid w:val="001B22DC"/>
    <w:rsid w:val="001B2A22"/>
    <w:rsid w:val="001B3267"/>
    <w:rsid w:val="001B3A6B"/>
    <w:rsid w:val="001B501E"/>
    <w:rsid w:val="001B5AF5"/>
    <w:rsid w:val="001B5B60"/>
    <w:rsid w:val="001B7D6F"/>
    <w:rsid w:val="001C12BC"/>
    <w:rsid w:val="001C57A0"/>
    <w:rsid w:val="001C66ED"/>
    <w:rsid w:val="001C7797"/>
    <w:rsid w:val="001D11DF"/>
    <w:rsid w:val="001D5970"/>
    <w:rsid w:val="001D784E"/>
    <w:rsid w:val="001D7D68"/>
    <w:rsid w:val="001E07B3"/>
    <w:rsid w:val="001E3955"/>
    <w:rsid w:val="001E5861"/>
    <w:rsid w:val="001E5C01"/>
    <w:rsid w:val="001E7615"/>
    <w:rsid w:val="001F4297"/>
    <w:rsid w:val="001F4413"/>
    <w:rsid w:val="001F7A4E"/>
    <w:rsid w:val="002008A9"/>
    <w:rsid w:val="002014B6"/>
    <w:rsid w:val="00201AC9"/>
    <w:rsid w:val="0020417C"/>
    <w:rsid w:val="00205F78"/>
    <w:rsid w:val="00206B92"/>
    <w:rsid w:val="00212E78"/>
    <w:rsid w:val="002205FC"/>
    <w:rsid w:val="002208CB"/>
    <w:rsid w:val="00235F2C"/>
    <w:rsid w:val="002369BD"/>
    <w:rsid w:val="002371EF"/>
    <w:rsid w:val="002376E2"/>
    <w:rsid w:val="00237887"/>
    <w:rsid w:val="00237C41"/>
    <w:rsid w:val="00237E13"/>
    <w:rsid w:val="002417BD"/>
    <w:rsid w:val="0024186D"/>
    <w:rsid w:val="002445F2"/>
    <w:rsid w:val="00246120"/>
    <w:rsid w:val="00250999"/>
    <w:rsid w:val="00251817"/>
    <w:rsid w:val="00252ABF"/>
    <w:rsid w:val="00254224"/>
    <w:rsid w:val="00254225"/>
    <w:rsid w:val="00257F49"/>
    <w:rsid w:val="00262CFF"/>
    <w:rsid w:val="00264B96"/>
    <w:rsid w:val="00270164"/>
    <w:rsid w:val="00272541"/>
    <w:rsid w:val="00272DC6"/>
    <w:rsid w:val="00276687"/>
    <w:rsid w:val="00277991"/>
    <w:rsid w:val="00283388"/>
    <w:rsid w:val="002845DD"/>
    <w:rsid w:val="00286657"/>
    <w:rsid w:val="00286D97"/>
    <w:rsid w:val="00292D75"/>
    <w:rsid w:val="002972C0"/>
    <w:rsid w:val="002A1947"/>
    <w:rsid w:val="002A5FD8"/>
    <w:rsid w:val="002A7726"/>
    <w:rsid w:val="002B16BE"/>
    <w:rsid w:val="002B3762"/>
    <w:rsid w:val="002B515A"/>
    <w:rsid w:val="002C2452"/>
    <w:rsid w:val="002C3F1B"/>
    <w:rsid w:val="002C695F"/>
    <w:rsid w:val="002D03B6"/>
    <w:rsid w:val="002D2480"/>
    <w:rsid w:val="002D35EC"/>
    <w:rsid w:val="002E614D"/>
    <w:rsid w:val="002E76E7"/>
    <w:rsid w:val="002E773F"/>
    <w:rsid w:val="002E7BB5"/>
    <w:rsid w:val="002F176B"/>
    <w:rsid w:val="002F3448"/>
    <w:rsid w:val="002F396B"/>
    <w:rsid w:val="002F6E1D"/>
    <w:rsid w:val="00300AEE"/>
    <w:rsid w:val="0030278C"/>
    <w:rsid w:val="00306442"/>
    <w:rsid w:val="00310E21"/>
    <w:rsid w:val="00313ABA"/>
    <w:rsid w:val="00316ACE"/>
    <w:rsid w:val="00317509"/>
    <w:rsid w:val="00326EF4"/>
    <w:rsid w:val="0033211C"/>
    <w:rsid w:val="00333E65"/>
    <w:rsid w:val="00334983"/>
    <w:rsid w:val="00336219"/>
    <w:rsid w:val="00337FFA"/>
    <w:rsid w:val="00340116"/>
    <w:rsid w:val="0034114F"/>
    <w:rsid w:val="0034131D"/>
    <w:rsid w:val="00342716"/>
    <w:rsid w:val="00343135"/>
    <w:rsid w:val="00343FA1"/>
    <w:rsid w:val="00351ADF"/>
    <w:rsid w:val="00351B58"/>
    <w:rsid w:val="00353B0F"/>
    <w:rsid w:val="00354B19"/>
    <w:rsid w:val="00355397"/>
    <w:rsid w:val="0035647F"/>
    <w:rsid w:val="003576B3"/>
    <w:rsid w:val="00360EA2"/>
    <w:rsid w:val="00364564"/>
    <w:rsid w:val="00367045"/>
    <w:rsid w:val="003711AA"/>
    <w:rsid w:val="0037150A"/>
    <w:rsid w:val="003735B0"/>
    <w:rsid w:val="003742C2"/>
    <w:rsid w:val="003763E4"/>
    <w:rsid w:val="00382BE2"/>
    <w:rsid w:val="0039004C"/>
    <w:rsid w:val="00391F05"/>
    <w:rsid w:val="003933BD"/>
    <w:rsid w:val="0039585A"/>
    <w:rsid w:val="00395F1F"/>
    <w:rsid w:val="003A212E"/>
    <w:rsid w:val="003A2149"/>
    <w:rsid w:val="003A397A"/>
    <w:rsid w:val="003A620E"/>
    <w:rsid w:val="003B344F"/>
    <w:rsid w:val="003C032B"/>
    <w:rsid w:val="003C11E5"/>
    <w:rsid w:val="003C2FB5"/>
    <w:rsid w:val="003C30F0"/>
    <w:rsid w:val="003D16D6"/>
    <w:rsid w:val="003D49DF"/>
    <w:rsid w:val="003D573F"/>
    <w:rsid w:val="003D6E45"/>
    <w:rsid w:val="003E00FF"/>
    <w:rsid w:val="003E0337"/>
    <w:rsid w:val="003E1C2F"/>
    <w:rsid w:val="003E278A"/>
    <w:rsid w:val="003E29E7"/>
    <w:rsid w:val="003E413E"/>
    <w:rsid w:val="003E466A"/>
    <w:rsid w:val="003E56E8"/>
    <w:rsid w:val="003E67B6"/>
    <w:rsid w:val="003E6D10"/>
    <w:rsid w:val="003F19DD"/>
    <w:rsid w:val="003F2E19"/>
    <w:rsid w:val="003F4368"/>
    <w:rsid w:val="003F585B"/>
    <w:rsid w:val="003F5C4D"/>
    <w:rsid w:val="00403B4A"/>
    <w:rsid w:val="00406DAD"/>
    <w:rsid w:val="00406E63"/>
    <w:rsid w:val="0040735B"/>
    <w:rsid w:val="004149A9"/>
    <w:rsid w:val="00415106"/>
    <w:rsid w:val="004168CB"/>
    <w:rsid w:val="00417023"/>
    <w:rsid w:val="004245D0"/>
    <w:rsid w:val="00426CAD"/>
    <w:rsid w:val="004302D5"/>
    <w:rsid w:val="0043200E"/>
    <w:rsid w:val="0043223D"/>
    <w:rsid w:val="004333EC"/>
    <w:rsid w:val="0043354F"/>
    <w:rsid w:val="004336D1"/>
    <w:rsid w:val="00433D45"/>
    <w:rsid w:val="00445C44"/>
    <w:rsid w:val="00450741"/>
    <w:rsid w:val="00455A06"/>
    <w:rsid w:val="00456DDF"/>
    <w:rsid w:val="0046346A"/>
    <w:rsid w:val="0046549A"/>
    <w:rsid w:val="00466D4C"/>
    <w:rsid w:val="00467710"/>
    <w:rsid w:val="004701BD"/>
    <w:rsid w:val="00470D55"/>
    <w:rsid w:val="004716DD"/>
    <w:rsid w:val="0047186F"/>
    <w:rsid w:val="00471D74"/>
    <w:rsid w:val="00484816"/>
    <w:rsid w:val="00484C53"/>
    <w:rsid w:val="00492CAA"/>
    <w:rsid w:val="00492F3B"/>
    <w:rsid w:val="004961DF"/>
    <w:rsid w:val="00496606"/>
    <w:rsid w:val="00496F65"/>
    <w:rsid w:val="0049770C"/>
    <w:rsid w:val="004A4A97"/>
    <w:rsid w:val="004A4D97"/>
    <w:rsid w:val="004A5392"/>
    <w:rsid w:val="004A6372"/>
    <w:rsid w:val="004B0CDC"/>
    <w:rsid w:val="004B18F5"/>
    <w:rsid w:val="004B4743"/>
    <w:rsid w:val="004B5164"/>
    <w:rsid w:val="004C0415"/>
    <w:rsid w:val="004C2174"/>
    <w:rsid w:val="004C225F"/>
    <w:rsid w:val="004C3D97"/>
    <w:rsid w:val="004C526A"/>
    <w:rsid w:val="004C547B"/>
    <w:rsid w:val="004C5D72"/>
    <w:rsid w:val="004D05A3"/>
    <w:rsid w:val="004D1753"/>
    <w:rsid w:val="004D4CB7"/>
    <w:rsid w:val="004D65B7"/>
    <w:rsid w:val="004E0921"/>
    <w:rsid w:val="004E3C47"/>
    <w:rsid w:val="004E48F2"/>
    <w:rsid w:val="004E4E72"/>
    <w:rsid w:val="004E5501"/>
    <w:rsid w:val="004E59C1"/>
    <w:rsid w:val="004E5B31"/>
    <w:rsid w:val="004F08CB"/>
    <w:rsid w:val="004F10A3"/>
    <w:rsid w:val="004F1CDF"/>
    <w:rsid w:val="004F1F53"/>
    <w:rsid w:val="005020F6"/>
    <w:rsid w:val="005034B1"/>
    <w:rsid w:val="00503507"/>
    <w:rsid w:val="00503B7A"/>
    <w:rsid w:val="005105D5"/>
    <w:rsid w:val="0051313E"/>
    <w:rsid w:val="00514724"/>
    <w:rsid w:val="005213A9"/>
    <w:rsid w:val="00521B51"/>
    <w:rsid w:val="00522ECF"/>
    <w:rsid w:val="00523126"/>
    <w:rsid w:val="005231B7"/>
    <w:rsid w:val="00523832"/>
    <w:rsid w:val="00530B36"/>
    <w:rsid w:val="00531539"/>
    <w:rsid w:val="005324C6"/>
    <w:rsid w:val="005328D6"/>
    <w:rsid w:val="00533EE1"/>
    <w:rsid w:val="00534044"/>
    <w:rsid w:val="00534964"/>
    <w:rsid w:val="00536AFE"/>
    <w:rsid w:val="00540FBD"/>
    <w:rsid w:val="005411B2"/>
    <w:rsid w:val="00541441"/>
    <w:rsid w:val="00544FBC"/>
    <w:rsid w:val="00545BAB"/>
    <w:rsid w:val="00546819"/>
    <w:rsid w:val="00546888"/>
    <w:rsid w:val="005551F2"/>
    <w:rsid w:val="00556322"/>
    <w:rsid w:val="005577C4"/>
    <w:rsid w:val="00562F76"/>
    <w:rsid w:val="0056538A"/>
    <w:rsid w:val="00566B6A"/>
    <w:rsid w:val="00566F43"/>
    <w:rsid w:val="00567C83"/>
    <w:rsid w:val="00570AE7"/>
    <w:rsid w:val="005717A4"/>
    <w:rsid w:val="0057423F"/>
    <w:rsid w:val="00575165"/>
    <w:rsid w:val="00575374"/>
    <w:rsid w:val="00575A56"/>
    <w:rsid w:val="00581195"/>
    <w:rsid w:val="00582063"/>
    <w:rsid w:val="00582C10"/>
    <w:rsid w:val="00584540"/>
    <w:rsid w:val="005934AE"/>
    <w:rsid w:val="005956C3"/>
    <w:rsid w:val="00595FCD"/>
    <w:rsid w:val="0059666F"/>
    <w:rsid w:val="00596F9E"/>
    <w:rsid w:val="005975AB"/>
    <w:rsid w:val="005A06EE"/>
    <w:rsid w:val="005A127A"/>
    <w:rsid w:val="005A203A"/>
    <w:rsid w:val="005B0E84"/>
    <w:rsid w:val="005B1960"/>
    <w:rsid w:val="005B46DD"/>
    <w:rsid w:val="005B6DB5"/>
    <w:rsid w:val="005C2146"/>
    <w:rsid w:val="005C216D"/>
    <w:rsid w:val="005C2946"/>
    <w:rsid w:val="005C337A"/>
    <w:rsid w:val="005C47A8"/>
    <w:rsid w:val="005D221C"/>
    <w:rsid w:val="005D2E9D"/>
    <w:rsid w:val="005D3A8E"/>
    <w:rsid w:val="005D596B"/>
    <w:rsid w:val="005E065C"/>
    <w:rsid w:val="005E0DC3"/>
    <w:rsid w:val="005E55B2"/>
    <w:rsid w:val="005E7289"/>
    <w:rsid w:val="005F2DA3"/>
    <w:rsid w:val="005F375D"/>
    <w:rsid w:val="005F4FB4"/>
    <w:rsid w:val="005F60C3"/>
    <w:rsid w:val="005F6740"/>
    <w:rsid w:val="005F75C8"/>
    <w:rsid w:val="00600458"/>
    <w:rsid w:val="006019E3"/>
    <w:rsid w:val="00602759"/>
    <w:rsid w:val="0060340B"/>
    <w:rsid w:val="00604DD4"/>
    <w:rsid w:val="00604FBC"/>
    <w:rsid w:val="00607B5F"/>
    <w:rsid w:val="00611E8A"/>
    <w:rsid w:val="00613621"/>
    <w:rsid w:val="006138FF"/>
    <w:rsid w:val="0062046A"/>
    <w:rsid w:val="00621C11"/>
    <w:rsid w:val="0062402D"/>
    <w:rsid w:val="006247FB"/>
    <w:rsid w:val="0063090B"/>
    <w:rsid w:val="00633015"/>
    <w:rsid w:val="00634166"/>
    <w:rsid w:val="0063439C"/>
    <w:rsid w:val="00641D2F"/>
    <w:rsid w:val="006435B5"/>
    <w:rsid w:val="00643964"/>
    <w:rsid w:val="00644BD0"/>
    <w:rsid w:val="006474B6"/>
    <w:rsid w:val="00647ADE"/>
    <w:rsid w:val="00653B83"/>
    <w:rsid w:val="006541D1"/>
    <w:rsid w:val="0065548C"/>
    <w:rsid w:val="0065642D"/>
    <w:rsid w:val="00665B6E"/>
    <w:rsid w:val="006739D2"/>
    <w:rsid w:val="00677B45"/>
    <w:rsid w:val="00677E7E"/>
    <w:rsid w:val="0068063C"/>
    <w:rsid w:val="0068302E"/>
    <w:rsid w:val="006921A4"/>
    <w:rsid w:val="00692384"/>
    <w:rsid w:val="00692886"/>
    <w:rsid w:val="00692B90"/>
    <w:rsid w:val="006961AD"/>
    <w:rsid w:val="006972E4"/>
    <w:rsid w:val="006976D2"/>
    <w:rsid w:val="006A0613"/>
    <w:rsid w:val="006A407B"/>
    <w:rsid w:val="006A4E16"/>
    <w:rsid w:val="006A5009"/>
    <w:rsid w:val="006A6B37"/>
    <w:rsid w:val="006A6F16"/>
    <w:rsid w:val="006B09E5"/>
    <w:rsid w:val="006B1289"/>
    <w:rsid w:val="006B1616"/>
    <w:rsid w:val="006B29F0"/>
    <w:rsid w:val="006B3F28"/>
    <w:rsid w:val="006B6850"/>
    <w:rsid w:val="006B78B5"/>
    <w:rsid w:val="006C033F"/>
    <w:rsid w:val="006C08F2"/>
    <w:rsid w:val="006C1188"/>
    <w:rsid w:val="006C2BC7"/>
    <w:rsid w:val="006C46C6"/>
    <w:rsid w:val="006C5D5F"/>
    <w:rsid w:val="006C6899"/>
    <w:rsid w:val="006D1052"/>
    <w:rsid w:val="006D71AD"/>
    <w:rsid w:val="006E0A93"/>
    <w:rsid w:val="006E1F23"/>
    <w:rsid w:val="006E3012"/>
    <w:rsid w:val="006E6580"/>
    <w:rsid w:val="006E756A"/>
    <w:rsid w:val="006F0408"/>
    <w:rsid w:val="006F163A"/>
    <w:rsid w:val="006F3563"/>
    <w:rsid w:val="006F5860"/>
    <w:rsid w:val="006F5F3A"/>
    <w:rsid w:val="006F6715"/>
    <w:rsid w:val="007001FD"/>
    <w:rsid w:val="0070187E"/>
    <w:rsid w:val="0070539E"/>
    <w:rsid w:val="0070608C"/>
    <w:rsid w:val="00706DD9"/>
    <w:rsid w:val="007074B6"/>
    <w:rsid w:val="00711CCC"/>
    <w:rsid w:val="00713B11"/>
    <w:rsid w:val="0072054E"/>
    <w:rsid w:val="00724196"/>
    <w:rsid w:val="00725F0F"/>
    <w:rsid w:val="00726922"/>
    <w:rsid w:val="007306DE"/>
    <w:rsid w:val="007308C7"/>
    <w:rsid w:val="00735308"/>
    <w:rsid w:val="00736BE8"/>
    <w:rsid w:val="00737157"/>
    <w:rsid w:val="00737D9A"/>
    <w:rsid w:val="007405C4"/>
    <w:rsid w:val="007405E6"/>
    <w:rsid w:val="0074060F"/>
    <w:rsid w:val="007412F6"/>
    <w:rsid w:val="0074658B"/>
    <w:rsid w:val="00746DC9"/>
    <w:rsid w:val="00751290"/>
    <w:rsid w:val="007528AE"/>
    <w:rsid w:val="0075297A"/>
    <w:rsid w:val="0076031F"/>
    <w:rsid w:val="007604EB"/>
    <w:rsid w:val="00761E3A"/>
    <w:rsid w:val="007622C9"/>
    <w:rsid w:val="00763902"/>
    <w:rsid w:val="00763BAF"/>
    <w:rsid w:val="00765487"/>
    <w:rsid w:val="0077105E"/>
    <w:rsid w:val="00773511"/>
    <w:rsid w:val="007757FF"/>
    <w:rsid w:val="007770EF"/>
    <w:rsid w:val="0078234B"/>
    <w:rsid w:val="00785914"/>
    <w:rsid w:val="007867A6"/>
    <w:rsid w:val="0078794E"/>
    <w:rsid w:val="0079448E"/>
    <w:rsid w:val="007944EE"/>
    <w:rsid w:val="00794D75"/>
    <w:rsid w:val="00797659"/>
    <w:rsid w:val="007A027F"/>
    <w:rsid w:val="007A18B0"/>
    <w:rsid w:val="007A2053"/>
    <w:rsid w:val="007A28CD"/>
    <w:rsid w:val="007A3B8F"/>
    <w:rsid w:val="007B0443"/>
    <w:rsid w:val="007B0451"/>
    <w:rsid w:val="007B1C84"/>
    <w:rsid w:val="007B2E63"/>
    <w:rsid w:val="007B3197"/>
    <w:rsid w:val="007B4454"/>
    <w:rsid w:val="007B5F2E"/>
    <w:rsid w:val="007B7031"/>
    <w:rsid w:val="007C21FA"/>
    <w:rsid w:val="007C3379"/>
    <w:rsid w:val="007C7FF5"/>
    <w:rsid w:val="007D09C0"/>
    <w:rsid w:val="007D1BF4"/>
    <w:rsid w:val="007D349C"/>
    <w:rsid w:val="007D388D"/>
    <w:rsid w:val="007D7AF6"/>
    <w:rsid w:val="007E1318"/>
    <w:rsid w:val="007E18BA"/>
    <w:rsid w:val="007E1D1F"/>
    <w:rsid w:val="007E4BFD"/>
    <w:rsid w:val="007E70E7"/>
    <w:rsid w:val="007E7B6C"/>
    <w:rsid w:val="007F41D6"/>
    <w:rsid w:val="007F48F1"/>
    <w:rsid w:val="007F52CF"/>
    <w:rsid w:val="007F6909"/>
    <w:rsid w:val="008033B9"/>
    <w:rsid w:val="0081119C"/>
    <w:rsid w:val="008116C9"/>
    <w:rsid w:val="00812B01"/>
    <w:rsid w:val="00813BA2"/>
    <w:rsid w:val="0081781A"/>
    <w:rsid w:val="00821662"/>
    <w:rsid w:val="00823329"/>
    <w:rsid w:val="00824B03"/>
    <w:rsid w:val="008273CD"/>
    <w:rsid w:val="00830A5E"/>
    <w:rsid w:val="00831DC8"/>
    <w:rsid w:val="0083255D"/>
    <w:rsid w:val="0083409D"/>
    <w:rsid w:val="00836069"/>
    <w:rsid w:val="00840CBE"/>
    <w:rsid w:val="008429C3"/>
    <w:rsid w:val="0084397A"/>
    <w:rsid w:val="00844B47"/>
    <w:rsid w:val="008461C5"/>
    <w:rsid w:val="008523D3"/>
    <w:rsid w:val="00853664"/>
    <w:rsid w:val="0085723E"/>
    <w:rsid w:val="008574F6"/>
    <w:rsid w:val="00860677"/>
    <w:rsid w:val="00860A06"/>
    <w:rsid w:val="00861D9C"/>
    <w:rsid w:val="008641B1"/>
    <w:rsid w:val="0086568C"/>
    <w:rsid w:val="00865A7B"/>
    <w:rsid w:val="008677B0"/>
    <w:rsid w:val="00873F86"/>
    <w:rsid w:val="00874D1B"/>
    <w:rsid w:val="00876D94"/>
    <w:rsid w:val="00876FD3"/>
    <w:rsid w:val="0087750D"/>
    <w:rsid w:val="00882045"/>
    <w:rsid w:val="0088273D"/>
    <w:rsid w:val="00882EEE"/>
    <w:rsid w:val="00884647"/>
    <w:rsid w:val="00887009"/>
    <w:rsid w:val="00890193"/>
    <w:rsid w:val="00890F78"/>
    <w:rsid w:val="008925C7"/>
    <w:rsid w:val="008926C9"/>
    <w:rsid w:val="008930FA"/>
    <w:rsid w:val="008A0168"/>
    <w:rsid w:val="008A120B"/>
    <w:rsid w:val="008A3D26"/>
    <w:rsid w:val="008A5275"/>
    <w:rsid w:val="008B0E79"/>
    <w:rsid w:val="008B2F68"/>
    <w:rsid w:val="008B3773"/>
    <w:rsid w:val="008B6724"/>
    <w:rsid w:val="008C00D3"/>
    <w:rsid w:val="008C0DE7"/>
    <w:rsid w:val="008C1EBF"/>
    <w:rsid w:val="008C2F50"/>
    <w:rsid w:val="008C48B0"/>
    <w:rsid w:val="008C58CD"/>
    <w:rsid w:val="008C59F7"/>
    <w:rsid w:val="008C6410"/>
    <w:rsid w:val="008D1376"/>
    <w:rsid w:val="008D2C66"/>
    <w:rsid w:val="008D479D"/>
    <w:rsid w:val="008D4DE9"/>
    <w:rsid w:val="008D55DF"/>
    <w:rsid w:val="008D5863"/>
    <w:rsid w:val="008E2C37"/>
    <w:rsid w:val="008E3F76"/>
    <w:rsid w:val="008E4ABD"/>
    <w:rsid w:val="008E649F"/>
    <w:rsid w:val="008F02E6"/>
    <w:rsid w:val="00900F44"/>
    <w:rsid w:val="00904843"/>
    <w:rsid w:val="00906203"/>
    <w:rsid w:val="00912261"/>
    <w:rsid w:val="0091471C"/>
    <w:rsid w:val="00914771"/>
    <w:rsid w:val="00920369"/>
    <w:rsid w:val="009266B8"/>
    <w:rsid w:val="00934A6B"/>
    <w:rsid w:val="00936925"/>
    <w:rsid w:val="00943D53"/>
    <w:rsid w:val="00946737"/>
    <w:rsid w:val="00946A5E"/>
    <w:rsid w:val="00947BA6"/>
    <w:rsid w:val="009510A1"/>
    <w:rsid w:val="00957278"/>
    <w:rsid w:val="00957ECB"/>
    <w:rsid w:val="009616A6"/>
    <w:rsid w:val="00964A2F"/>
    <w:rsid w:val="00965750"/>
    <w:rsid w:val="00965D71"/>
    <w:rsid w:val="00966039"/>
    <w:rsid w:val="009660A3"/>
    <w:rsid w:val="00966349"/>
    <w:rsid w:val="00970403"/>
    <w:rsid w:val="00970694"/>
    <w:rsid w:val="009739CF"/>
    <w:rsid w:val="009875C6"/>
    <w:rsid w:val="00993AB5"/>
    <w:rsid w:val="009962D5"/>
    <w:rsid w:val="009A1CBF"/>
    <w:rsid w:val="009A2041"/>
    <w:rsid w:val="009A2373"/>
    <w:rsid w:val="009A3DD0"/>
    <w:rsid w:val="009A5C37"/>
    <w:rsid w:val="009A7801"/>
    <w:rsid w:val="009B02FB"/>
    <w:rsid w:val="009B1ED4"/>
    <w:rsid w:val="009B2250"/>
    <w:rsid w:val="009B234C"/>
    <w:rsid w:val="009B6A94"/>
    <w:rsid w:val="009B71C6"/>
    <w:rsid w:val="009B7D71"/>
    <w:rsid w:val="009C4BC1"/>
    <w:rsid w:val="009D0695"/>
    <w:rsid w:val="009D1687"/>
    <w:rsid w:val="009D2041"/>
    <w:rsid w:val="009D694C"/>
    <w:rsid w:val="009E02D1"/>
    <w:rsid w:val="009E07B5"/>
    <w:rsid w:val="009E0FA7"/>
    <w:rsid w:val="009E3E14"/>
    <w:rsid w:val="009E4582"/>
    <w:rsid w:val="009F0A80"/>
    <w:rsid w:val="009F1423"/>
    <w:rsid w:val="009F4268"/>
    <w:rsid w:val="00A02D2A"/>
    <w:rsid w:val="00A041BE"/>
    <w:rsid w:val="00A06AA8"/>
    <w:rsid w:val="00A079A0"/>
    <w:rsid w:val="00A1028B"/>
    <w:rsid w:val="00A13B0D"/>
    <w:rsid w:val="00A13E87"/>
    <w:rsid w:val="00A14F2D"/>
    <w:rsid w:val="00A17436"/>
    <w:rsid w:val="00A17F9A"/>
    <w:rsid w:val="00A204E1"/>
    <w:rsid w:val="00A2233E"/>
    <w:rsid w:val="00A312DE"/>
    <w:rsid w:val="00A3165A"/>
    <w:rsid w:val="00A31B8C"/>
    <w:rsid w:val="00A33AAD"/>
    <w:rsid w:val="00A368E3"/>
    <w:rsid w:val="00A36E31"/>
    <w:rsid w:val="00A37D66"/>
    <w:rsid w:val="00A41F69"/>
    <w:rsid w:val="00A43F71"/>
    <w:rsid w:val="00A45734"/>
    <w:rsid w:val="00A4692A"/>
    <w:rsid w:val="00A46EEA"/>
    <w:rsid w:val="00A500C8"/>
    <w:rsid w:val="00A53011"/>
    <w:rsid w:val="00A534DE"/>
    <w:rsid w:val="00A53C4A"/>
    <w:rsid w:val="00A55538"/>
    <w:rsid w:val="00A55A2D"/>
    <w:rsid w:val="00A579CA"/>
    <w:rsid w:val="00A61D12"/>
    <w:rsid w:val="00A6481D"/>
    <w:rsid w:val="00A64830"/>
    <w:rsid w:val="00A64C73"/>
    <w:rsid w:val="00A660AF"/>
    <w:rsid w:val="00A71F9C"/>
    <w:rsid w:val="00A730CD"/>
    <w:rsid w:val="00A74093"/>
    <w:rsid w:val="00A75C67"/>
    <w:rsid w:val="00A77DE5"/>
    <w:rsid w:val="00A81A64"/>
    <w:rsid w:val="00A81E42"/>
    <w:rsid w:val="00A863FF"/>
    <w:rsid w:val="00A8651A"/>
    <w:rsid w:val="00A871A5"/>
    <w:rsid w:val="00A90429"/>
    <w:rsid w:val="00A92BE9"/>
    <w:rsid w:val="00A93546"/>
    <w:rsid w:val="00A95EB9"/>
    <w:rsid w:val="00A9787D"/>
    <w:rsid w:val="00AA5B14"/>
    <w:rsid w:val="00AB02EA"/>
    <w:rsid w:val="00AB0F8D"/>
    <w:rsid w:val="00AB1B88"/>
    <w:rsid w:val="00AB53DA"/>
    <w:rsid w:val="00AB68F3"/>
    <w:rsid w:val="00AC592E"/>
    <w:rsid w:val="00AC6DA0"/>
    <w:rsid w:val="00AC7AC7"/>
    <w:rsid w:val="00AC7AEA"/>
    <w:rsid w:val="00AC7F2B"/>
    <w:rsid w:val="00AD2BDB"/>
    <w:rsid w:val="00AD4B73"/>
    <w:rsid w:val="00AE0054"/>
    <w:rsid w:val="00AE52FA"/>
    <w:rsid w:val="00AE6649"/>
    <w:rsid w:val="00AE66D1"/>
    <w:rsid w:val="00AE72C0"/>
    <w:rsid w:val="00AF1372"/>
    <w:rsid w:val="00AF1723"/>
    <w:rsid w:val="00AF3100"/>
    <w:rsid w:val="00AF68B4"/>
    <w:rsid w:val="00B00426"/>
    <w:rsid w:val="00B007BE"/>
    <w:rsid w:val="00B02B5D"/>
    <w:rsid w:val="00B03E8E"/>
    <w:rsid w:val="00B04C9E"/>
    <w:rsid w:val="00B079D5"/>
    <w:rsid w:val="00B116D5"/>
    <w:rsid w:val="00B14989"/>
    <w:rsid w:val="00B20B06"/>
    <w:rsid w:val="00B220B2"/>
    <w:rsid w:val="00B25997"/>
    <w:rsid w:val="00B2708F"/>
    <w:rsid w:val="00B306C3"/>
    <w:rsid w:val="00B31651"/>
    <w:rsid w:val="00B3188E"/>
    <w:rsid w:val="00B33E79"/>
    <w:rsid w:val="00B34040"/>
    <w:rsid w:val="00B3597D"/>
    <w:rsid w:val="00B3601C"/>
    <w:rsid w:val="00B36562"/>
    <w:rsid w:val="00B37BE1"/>
    <w:rsid w:val="00B4005B"/>
    <w:rsid w:val="00B427EF"/>
    <w:rsid w:val="00B5160D"/>
    <w:rsid w:val="00B51B1C"/>
    <w:rsid w:val="00B52683"/>
    <w:rsid w:val="00B55BA1"/>
    <w:rsid w:val="00B614BA"/>
    <w:rsid w:val="00B6342A"/>
    <w:rsid w:val="00B650B1"/>
    <w:rsid w:val="00B65172"/>
    <w:rsid w:val="00B654FD"/>
    <w:rsid w:val="00B735EB"/>
    <w:rsid w:val="00B76BB7"/>
    <w:rsid w:val="00B76CBA"/>
    <w:rsid w:val="00B77772"/>
    <w:rsid w:val="00B80D3E"/>
    <w:rsid w:val="00B84800"/>
    <w:rsid w:val="00B875AF"/>
    <w:rsid w:val="00B87B27"/>
    <w:rsid w:val="00BA19CC"/>
    <w:rsid w:val="00BA255F"/>
    <w:rsid w:val="00BA5237"/>
    <w:rsid w:val="00BA5C57"/>
    <w:rsid w:val="00BB133A"/>
    <w:rsid w:val="00BB198F"/>
    <w:rsid w:val="00BB4401"/>
    <w:rsid w:val="00BB4B6D"/>
    <w:rsid w:val="00BB7BD0"/>
    <w:rsid w:val="00BC1076"/>
    <w:rsid w:val="00BC11BA"/>
    <w:rsid w:val="00BC16EF"/>
    <w:rsid w:val="00BC21FA"/>
    <w:rsid w:val="00BC425A"/>
    <w:rsid w:val="00BC5784"/>
    <w:rsid w:val="00BC66A4"/>
    <w:rsid w:val="00BC69EB"/>
    <w:rsid w:val="00BC7C51"/>
    <w:rsid w:val="00BC7C67"/>
    <w:rsid w:val="00BC7FA6"/>
    <w:rsid w:val="00BD2015"/>
    <w:rsid w:val="00BD5B1C"/>
    <w:rsid w:val="00BD5FE3"/>
    <w:rsid w:val="00BD787E"/>
    <w:rsid w:val="00BE029E"/>
    <w:rsid w:val="00BE06AA"/>
    <w:rsid w:val="00BE1040"/>
    <w:rsid w:val="00BE13CF"/>
    <w:rsid w:val="00BE417B"/>
    <w:rsid w:val="00BF338F"/>
    <w:rsid w:val="00BF3625"/>
    <w:rsid w:val="00BF5450"/>
    <w:rsid w:val="00BF5B39"/>
    <w:rsid w:val="00BF6C28"/>
    <w:rsid w:val="00C01547"/>
    <w:rsid w:val="00C03215"/>
    <w:rsid w:val="00C03D7A"/>
    <w:rsid w:val="00C06538"/>
    <w:rsid w:val="00C06F73"/>
    <w:rsid w:val="00C101CC"/>
    <w:rsid w:val="00C130A8"/>
    <w:rsid w:val="00C130D6"/>
    <w:rsid w:val="00C23633"/>
    <w:rsid w:val="00C23B7B"/>
    <w:rsid w:val="00C26A52"/>
    <w:rsid w:val="00C32C47"/>
    <w:rsid w:val="00C339D2"/>
    <w:rsid w:val="00C3560C"/>
    <w:rsid w:val="00C35DA2"/>
    <w:rsid w:val="00C36F27"/>
    <w:rsid w:val="00C37723"/>
    <w:rsid w:val="00C40AF4"/>
    <w:rsid w:val="00C41B58"/>
    <w:rsid w:val="00C470E7"/>
    <w:rsid w:val="00C52D92"/>
    <w:rsid w:val="00C5557C"/>
    <w:rsid w:val="00C5567F"/>
    <w:rsid w:val="00C60956"/>
    <w:rsid w:val="00C626C4"/>
    <w:rsid w:val="00C67168"/>
    <w:rsid w:val="00C671CD"/>
    <w:rsid w:val="00C71762"/>
    <w:rsid w:val="00C80758"/>
    <w:rsid w:val="00C808F7"/>
    <w:rsid w:val="00C81163"/>
    <w:rsid w:val="00C81C7B"/>
    <w:rsid w:val="00C82B9C"/>
    <w:rsid w:val="00C8364D"/>
    <w:rsid w:val="00C86577"/>
    <w:rsid w:val="00C86D30"/>
    <w:rsid w:val="00C873BA"/>
    <w:rsid w:val="00C902C0"/>
    <w:rsid w:val="00C90FA8"/>
    <w:rsid w:val="00C931D6"/>
    <w:rsid w:val="00C93B2E"/>
    <w:rsid w:val="00C96DC7"/>
    <w:rsid w:val="00CA0EB7"/>
    <w:rsid w:val="00CA4465"/>
    <w:rsid w:val="00CA44A2"/>
    <w:rsid w:val="00CA4AC6"/>
    <w:rsid w:val="00CA5EC6"/>
    <w:rsid w:val="00CA7A0C"/>
    <w:rsid w:val="00CB0BDE"/>
    <w:rsid w:val="00CB36A9"/>
    <w:rsid w:val="00CB4366"/>
    <w:rsid w:val="00CB5AEB"/>
    <w:rsid w:val="00CB5B6F"/>
    <w:rsid w:val="00CB5E2D"/>
    <w:rsid w:val="00CB6129"/>
    <w:rsid w:val="00CB7CED"/>
    <w:rsid w:val="00CB7F8C"/>
    <w:rsid w:val="00CC0A97"/>
    <w:rsid w:val="00CC4207"/>
    <w:rsid w:val="00CD0102"/>
    <w:rsid w:val="00CD28E2"/>
    <w:rsid w:val="00CD40C1"/>
    <w:rsid w:val="00CD6C60"/>
    <w:rsid w:val="00CD79F2"/>
    <w:rsid w:val="00CD7AEA"/>
    <w:rsid w:val="00CE1338"/>
    <w:rsid w:val="00CE3EA1"/>
    <w:rsid w:val="00CE51D9"/>
    <w:rsid w:val="00CE695E"/>
    <w:rsid w:val="00CF2F0D"/>
    <w:rsid w:val="00CF3BAB"/>
    <w:rsid w:val="00CF5D53"/>
    <w:rsid w:val="00CF6465"/>
    <w:rsid w:val="00CF67E9"/>
    <w:rsid w:val="00D01348"/>
    <w:rsid w:val="00D01BFC"/>
    <w:rsid w:val="00D0295C"/>
    <w:rsid w:val="00D03DA8"/>
    <w:rsid w:val="00D05653"/>
    <w:rsid w:val="00D064F2"/>
    <w:rsid w:val="00D115E2"/>
    <w:rsid w:val="00D11F68"/>
    <w:rsid w:val="00D1284A"/>
    <w:rsid w:val="00D134DB"/>
    <w:rsid w:val="00D14BE7"/>
    <w:rsid w:val="00D15068"/>
    <w:rsid w:val="00D20BD8"/>
    <w:rsid w:val="00D21EFA"/>
    <w:rsid w:val="00D24C48"/>
    <w:rsid w:val="00D258C1"/>
    <w:rsid w:val="00D25D46"/>
    <w:rsid w:val="00D35B29"/>
    <w:rsid w:val="00D3629C"/>
    <w:rsid w:val="00D42ACE"/>
    <w:rsid w:val="00D436BB"/>
    <w:rsid w:val="00D46AF7"/>
    <w:rsid w:val="00D46F79"/>
    <w:rsid w:val="00D470E5"/>
    <w:rsid w:val="00D47689"/>
    <w:rsid w:val="00D527AC"/>
    <w:rsid w:val="00D61A8B"/>
    <w:rsid w:val="00D63A8C"/>
    <w:rsid w:val="00D648A2"/>
    <w:rsid w:val="00D64E19"/>
    <w:rsid w:val="00D65448"/>
    <w:rsid w:val="00D67249"/>
    <w:rsid w:val="00D71946"/>
    <w:rsid w:val="00D73BE0"/>
    <w:rsid w:val="00D7506B"/>
    <w:rsid w:val="00D770C3"/>
    <w:rsid w:val="00D8252F"/>
    <w:rsid w:val="00D828A6"/>
    <w:rsid w:val="00D83BAD"/>
    <w:rsid w:val="00D87419"/>
    <w:rsid w:val="00D9156C"/>
    <w:rsid w:val="00D9684D"/>
    <w:rsid w:val="00D9751A"/>
    <w:rsid w:val="00D97D33"/>
    <w:rsid w:val="00DA0FEF"/>
    <w:rsid w:val="00DA1DEA"/>
    <w:rsid w:val="00DA2DDB"/>
    <w:rsid w:val="00DA368E"/>
    <w:rsid w:val="00DA3C8A"/>
    <w:rsid w:val="00DA4CE7"/>
    <w:rsid w:val="00DB0C1B"/>
    <w:rsid w:val="00DB1792"/>
    <w:rsid w:val="00DB2F5B"/>
    <w:rsid w:val="00DB3DA7"/>
    <w:rsid w:val="00DB5CD1"/>
    <w:rsid w:val="00DB66EA"/>
    <w:rsid w:val="00DC3889"/>
    <w:rsid w:val="00DC3E2D"/>
    <w:rsid w:val="00DC4D3C"/>
    <w:rsid w:val="00DC584C"/>
    <w:rsid w:val="00DC5EA7"/>
    <w:rsid w:val="00DC7053"/>
    <w:rsid w:val="00DC75CC"/>
    <w:rsid w:val="00DC7EC2"/>
    <w:rsid w:val="00DD1658"/>
    <w:rsid w:val="00DD2BA8"/>
    <w:rsid w:val="00DD3018"/>
    <w:rsid w:val="00DD53A4"/>
    <w:rsid w:val="00DD5CE8"/>
    <w:rsid w:val="00DD7C1E"/>
    <w:rsid w:val="00DE0431"/>
    <w:rsid w:val="00DE2236"/>
    <w:rsid w:val="00DE408F"/>
    <w:rsid w:val="00DE64BC"/>
    <w:rsid w:val="00DE734C"/>
    <w:rsid w:val="00DF23DA"/>
    <w:rsid w:val="00DF6EA4"/>
    <w:rsid w:val="00E01388"/>
    <w:rsid w:val="00E01C5F"/>
    <w:rsid w:val="00E01F8F"/>
    <w:rsid w:val="00E023B2"/>
    <w:rsid w:val="00E04726"/>
    <w:rsid w:val="00E04A71"/>
    <w:rsid w:val="00E04C56"/>
    <w:rsid w:val="00E051EE"/>
    <w:rsid w:val="00E055D2"/>
    <w:rsid w:val="00E129B0"/>
    <w:rsid w:val="00E146CA"/>
    <w:rsid w:val="00E15174"/>
    <w:rsid w:val="00E17A10"/>
    <w:rsid w:val="00E24B2B"/>
    <w:rsid w:val="00E31237"/>
    <w:rsid w:val="00E31CB1"/>
    <w:rsid w:val="00E333E3"/>
    <w:rsid w:val="00E41E50"/>
    <w:rsid w:val="00E430E1"/>
    <w:rsid w:val="00E468E0"/>
    <w:rsid w:val="00E46CC9"/>
    <w:rsid w:val="00E55613"/>
    <w:rsid w:val="00E56CFB"/>
    <w:rsid w:val="00E60979"/>
    <w:rsid w:val="00E6207D"/>
    <w:rsid w:val="00E632C7"/>
    <w:rsid w:val="00E64731"/>
    <w:rsid w:val="00E65F4B"/>
    <w:rsid w:val="00E66E0F"/>
    <w:rsid w:val="00E67804"/>
    <w:rsid w:val="00E7245B"/>
    <w:rsid w:val="00E77857"/>
    <w:rsid w:val="00E77C22"/>
    <w:rsid w:val="00E82595"/>
    <w:rsid w:val="00E84C89"/>
    <w:rsid w:val="00E855B2"/>
    <w:rsid w:val="00E87199"/>
    <w:rsid w:val="00E87E45"/>
    <w:rsid w:val="00E926AC"/>
    <w:rsid w:val="00E92CD6"/>
    <w:rsid w:val="00E93605"/>
    <w:rsid w:val="00E96DDA"/>
    <w:rsid w:val="00E97A9E"/>
    <w:rsid w:val="00EA02F1"/>
    <w:rsid w:val="00EA0526"/>
    <w:rsid w:val="00EA0CA5"/>
    <w:rsid w:val="00EA14B4"/>
    <w:rsid w:val="00EA1AA1"/>
    <w:rsid w:val="00EA205E"/>
    <w:rsid w:val="00EA232C"/>
    <w:rsid w:val="00EA3D43"/>
    <w:rsid w:val="00EB2A98"/>
    <w:rsid w:val="00EC1091"/>
    <w:rsid w:val="00EC1842"/>
    <w:rsid w:val="00EC34AF"/>
    <w:rsid w:val="00EC5175"/>
    <w:rsid w:val="00EC6098"/>
    <w:rsid w:val="00EC685D"/>
    <w:rsid w:val="00EC6E3A"/>
    <w:rsid w:val="00ED0022"/>
    <w:rsid w:val="00ED118A"/>
    <w:rsid w:val="00ED14B8"/>
    <w:rsid w:val="00ED16BD"/>
    <w:rsid w:val="00ED27B3"/>
    <w:rsid w:val="00ED5783"/>
    <w:rsid w:val="00ED6BEB"/>
    <w:rsid w:val="00EE0805"/>
    <w:rsid w:val="00EE1C95"/>
    <w:rsid w:val="00EE338B"/>
    <w:rsid w:val="00EE3548"/>
    <w:rsid w:val="00EE3BCA"/>
    <w:rsid w:val="00EE3F4E"/>
    <w:rsid w:val="00EE5B37"/>
    <w:rsid w:val="00EE79DE"/>
    <w:rsid w:val="00EE7C44"/>
    <w:rsid w:val="00EF2B19"/>
    <w:rsid w:val="00EF2CA2"/>
    <w:rsid w:val="00EF4CA4"/>
    <w:rsid w:val="00EF74B7"/>
    <w:rsid w:val="00F0114D"/>
    <w:rsid w:val="00F0141F"/>
    <w:rsid w:val="00F04219"/>
    <w:rsid w:val="00F04459"/>
    <w:rsid w:val="00F062E4"/>
    <w:rsid w:val="00F07D89"/>
    <w:rsid w:val="00F104FB"/>
    <w:rsid w:val="00F121BB"/>
    <w:rsid w:val="00F1474C"/>
    <w:rsid w:val="00F157EE"/>
    <w:rsid w:val="00F211CE"/>
    <w:rsid w:val="00F259AA"/>
    <w:rsid w:val="00F3112D"/>
    <w:rsid w:val="00F32E30"/>
    <w:rsid w:val="00F33A1F"/>
    <w:rsid w:val="00F37324"/>
    <w:rsid w:val="00F4252E"/>
    <w:rsid w:val="00F44897"/>
    <w:rsid w:val="00F4534E"/>
    <w:rsid w:val="00F51866"/>
    <w:rsid w:val="00F51BB9"/>
    <w:rsid w:val="00F52135"/>
    <w:rsid w:val="00F549CE"/>
    <w:rsid w:val="00F54ADE"/>
    <w:rsid w:val="00F55BBD"/>
    <w:rsid w:val="00F55C0F"/>
    <w:rsid w:val="00F55C8A"/>
    <w:rsid w:val="00F56A15"/>
    <w:rsid w:val="00F5752A"/>
    <w:rsid w:val="00F63033"/>
    <w:rsid w:val="00F63744"/>
    <w:rsid w:val="00F665BC"/>
    <w:rsid w:val="00F70C17"/>
    <w:rsid w:val="00F739EB"/>
    <w:rsid w:val="00F73CA9"/>
    <w:rsid w:val="00F743F2"/>
    <w:rsid w:val="00F74A15"/>
    <w:rsid w:val="00F75154"/>
    <w:rsid w:val="00F75CDD"/>
    <w:rsid w:val="00F810DF"/>
    <w:rsid w:val="00F81F18"/>
    <w:rsid w:val="00F83A7D"/>
    <w:rsid w:val="00F979F0"/>
    <w:rsid w:val="00FA6BBD"/>
    <w:rsid w:val="00FA7BD0"/>
    <w:rsid w:val="00FB17BD"/>
    <w:rsid w:val="00FB2305"/>
    <w:rsid w:val="00FB5204"/>
    <w:rsid w:val="00FB6171"/>
    <w:rsid w:val="00FB7B4E"/>
    <w:rsid w:val="00FC0D49"/>
    <w:rsid w:val="00FC654F"/>
    <w:rsid w:val="00FC7904"/>
    <w:rsid w:val="00FD714A"/>
    <w:rsid w:val="00FE1641"/>
    <w:rsid w:val="00FE2FE4"/>
    <w:rsid w:val="00FE4371"/>
    <w:rsid w:val="00FE4927"/>
    <w:rsid w:val="00FE551D"/>
    <w:rsid w:val="00FE5CEF"/>
    <w:rsid w:val="00FE6314"/>
    <w:rsid w:val="00FF42F3"/>
    <w:rsid w:val="00FF5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10A3"/>
    <w:pPr>
      <w:jc w:val="both"/>
    </w:pPr>
    <w:rPr>
      <w:sz w:val="24"/>
      <w:szCs w:val="24"/>
    </w:rPr>
  </w:style>
  <w:style w:type="paragraph" w:styleId="Heading1">
    <w:name w:val="heading 1"/>
    <w:basedOn w:val="Normal"/>
    <w:next w:val="Normal"/>
    <w:link w:val="Heading1Char"/>
    <w:autoRedefine/>
    <w:qFormat/>
    <w:rsid w:val="008429C3"/>
    <w:pPr>
      <w:keepNext/>
      <w:keepLines/>
      <w:spacing w:before="480" w:after="240"/>
      <w:ind w:left="720"/>
      <w:jc w:val="center"/>
      <w:outlineLvl w:val="0"/>
    </w:pPr>
    <w:rPr>
      <w:rFonts w:eastAsiaTheme="majorEastAsia" w:cstheme="majorBidi"/>
      <w:b/>
      <w:bCs/>
      <w:caps/>
      <w:sz w:val="28"/>
      <w:szCs w:val="28"/>
    </w:rPr>
  </w:style>
  <w:style w:type="paragraph" w:styleId="Heading2">
    <w:name w:val="heading 2"/>
    <w:basedOn w:val="Normal"/>
    <w:next w:val="Normal"/>
    <w:link w:val="Heading2Char"/>
    <w:autoRedefine/>
    <w:unhideWhenUsed/>
    <w:qFormat/>
    <w:rsid w:val="00604DD4"/>
    <w:pPr>
      <w:keepNext/>
      <w:keepLines/>
      <w:spacing w:before="200" w:after="240"/>
      <w:ind w:left="720" w:hanging="720"/>
      <w:outlineLvl w:val="1"/>
    </w:pPr>
    <w:rPr>
      <w:rFonts w:eastAsiaTheme="majorEastAsia" w:cstheme="majorBidi"/>
      <w:b/>
      <w:bCs/>
      <w:caps/>
      <w:szCs w:val="26"/>
    </w:rPr>
  </w:style>
  <w:style w:type="paragraph" w:styleId="Heading3">
    <w:name w:val="heading 3"/>
    <w:basedOn w:val="Normal"/>
    <w:next w:val="Normal"/>
    <w:link w:val="Heading3Char"/>
    <w:autoRedefine/>
    <w:unhideWhenUsed/>
    <w:qFormat/>
    <w:rsid w:val="00337FFA"/>
    <w:pPr>
      <w:keepNext/>
      <w:keepLines/>
      <w:spacing w:before="240" w:after="240"/>
      <w:ind w:left="1440" w:hanging="720"/>
      <w:outlineLvl w:val="2"/>
    </w:pPr>
    <w:rPr>
      <w:b/>
    </w:rPr>
  </w:style>
  <w:style w:type="paragraph" w:styleId="Heading4">
    <w:name w:val="heading 4"/>
    <w:basedOn w:val="Normal"/>
    <w:next w:val="Normal"/>
    <w:link w:val="Heading4Char"/>
    <w:autoRedefine/>
    <w:unhideWhenUsed/>
    <w:qFormat/>
    <w:rsid w:val="000605DE"/>
    <w:pPr>
      <w:keepNext/>
      <w:spacing w:before="240" w:after="240"/>
      <w:ind w:left="2160" w:hanging="720"/>
      <w:outlineLvl w:val="3"/>
    </w:pPr>
    <w:rPr>
      <w:rFonts w:eastAsiaTheme="majorEastAsia" w:cstheme="majorBidi"/>
      <w:b/>
      <w:bCs/>
      <w:i/>
      <w:iCs/>
    </w:rPr>
  </w:style>
  <w:style w:type="paragraph" w:styleId="Heading5">
    <w:name w:val="heading 5"/>
    <w:basedOn w:val="Normal"/>
    <w:next w:val="Normal"/>
    <w:link w:val="Heading5Char"/>
    <w:autoRedefine/>
    <w:unhideWhenUsed/>
    <w:qFormat/>
    <w:rsid w:val="006921A4"/>
    <w:pPr>
      <w:keepNext/>
      <w:keepLines/>
      <w:spacing w:before="240" w:after="240"/>
      <w:ind w:left="2160"/>
      <w:outlineLvl w:val="4"/>
    </w:pPr>
    <w:rPr>
      <w:rFonts w:eastAsiaTheme="majorEastAsia" w:cstheme="majorBidi"/>
      <w:b/>
    </w:rPr>
  </w:style>
  <w:style w:type="paragraph" w:styleId="Heading6">
    <w:name w:val="heading 6"/>
    <w:basedOn w:val="Normal"/>
    <w:next w:val="Normal"/>
    <w:link w:val="Heading6Char"/>
    <w:autoRedefine/>
    <w:unhideWhenUsed/>
    <w:qFormat/>
    <w:rsid w:val="008E2C37"/>
    <w:pPr>
      <w:keepNext/>
      <w:keepLines/>
      <w:spacing w:before="240" w:after="240"/>
      <w:ind w:left="2880"/>
      <w:outlineLvl w:val="5"/>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29C3"/>
    <w:rPr>
      <w:rFonts w:eastAsiaTheme="majorEastAsia" w:cstheme="majorBidi"/>
      <w:b/>
      <w:bCs/>
      <w:caps/>
      <w:sz w:val="28"/>
      <w:szCs w:val="28"/>
    </w:rPr>
  </w:style>
  <w:style w:type="character" w:customStyle="1" w:styleId="Heading2Char">
    <w:name w:val="Heading 2 Char"/>
    <w:basedOn w:val="DefaultParagraphFont"/>
    <w:link w:val="Heading2"/>
    <w:rsid w:val="00604DD4"/>
    <w:rPr>
      <w:rFonts w:eastAsiaTheme="majorEastAsia" w:cstheme="majorBidi"/>
      <w:b/>
      <w:bCs/>
      <w:caps/>
      <w:sz w:val="24"/>
      <w:szCs w:val="26"/>
    </w:rPr>
  </w:style>
  <w:style w:type="character" w:customStyle="1" w:styleId="Heading3Char">
    <w:name w:val="Heading 3 Char"/>
    <w:basedOn w:val="DefaultParagraphFont"/>
    <w:link w:val="Heading3"/>
    <w:rsid w:val="00337FFA"/>
    <w:rPr>
      <w:b/>
      <w:sz w:val="24"/>
      <w:szCs w:val="24"/>
    </w:rPr>
  </w:style>
  <w:style w:type="character" w:customStyle="1" w:styleId="Heading4Char">
    <w:name w:val="Heading 4 Char"/>
    <w:basedOn w:val="DefaultParagraphFont"/>
    <w:link w:val="Heading4"/>
    <w:rsid w:val="000605DE"/>
    <w:rPr>
      <w:rFonts w:eastAsiaTheme="majorEastAsia" w:cstheme="majorBidi"/>
      <w:b/>
      <w:bCs/>
      <w:i/>
      <w:iCs/>
      <w:sz w:val="24"/>
      <w:szCs w:val="24"/>
    </w:rPr>
  </w:style>
  <w:style w:type="character" w:customStyle="1" w:styleId="Heading5Char">
    <w:name w:val="Heading 5 Char"/>
    <w:basedOn w:val="DefaultParagraphFont"/>
    <w:link w:val="Heading5"/>
    <w:rsid w:val="006921A4"/>
    <w:rPr>
      <w:rFonts w:eastAsiaTheme="majorEastAsia" w:cstheme="majorBidi"/>
      <w:b/>
      <w:sz w:val="24"/>
      <w:szCs w:val="24"/>
    </w:rPr>
  </w:style>
  <w:style w:type="character" w:customStyle="1" w:styleId="Heading6Char">
    <w:name w:val="Heading 6 Char"/>
    <w:basedOn w:val="DefaultParagraphFont"/>
    <w:link w:val="Heading6"/>
    <w:rsid w:val="008E2C37"/>
    <w:rPr>
      <w:rFonts w:eastAsiaTheme="majorEastAsia" w:cstheme="majorBidi"/>
      <w:b/>
      <w:i/>
      <w:iCs/>
      <w:sz w:val="24"/>
      <w:szCs w:val="24"/>
    </w:rPr>
  </w:style>
  <w:style w:type="paragraph" w:styleId="FootnoteText">
    <w:name w:val="footnote text"/>
    <w:basedOn w:val="Normal"/>
    <w:link w:val="FootnoteTextChar"/>
    <w:semiHidden/>
    <w:rsid w:val="00094E16"/>
  </w:style>
  <w:style w:type="character" w:customStyle="1" w:styleId="FootnoteTextChar">
    <w:name w:val="Footnote Text Char"/>
    <w:basedOn w:val="DefaultParagraphFont"/>
    <w:link w:val="FootnoteText"/>
    <w:semiHidden/>
    <w:rsid w:val="00ED27B3"/>
    <w:rPr>
      <w:sz w:val="24"/>
      <w:szCs w:val="24"/>
    </w:rPr>
  </w:style>
  <w:style w:type="character" w:styleId="PageNumber">
    <w:name w:val="page number"/>
    <w:basedOn w:val="DefaultParagraphFont"/>
    <w:rsid w:val="00094E16"/>
    <w:rPr>
      <w:rFonts w:ascii="Times New Roman" w:hAnsi="Times New Roman"/>
      <w:sz w:val="26"/>
    </w:rPr>
  </w:style>
  <w:style w:type="paragraph" w:styleId="EnvelopeAddress">
    <w:name w:val="envelope address"/>
    <w:basedOn w:val="Normal"/>
    <w:rsid w:val="00094E16"/>
    <w:pPr>
      <w:framePr w:w="7920" w:h="1980" w:hRule="exact" w:hSpace="180" w:wrap="auto" w:hAnchor="page" w:xAlign="center" w:yAlign="bottom"/>
      <w:ind w:left="2880"/>
    </w:pPr>
    <w:rPr>
      <w:rFonts w:cs="Arial"/>
      <w:caps/>
      <w:snapToGrid w:val="0"/>
    </w:rPr>
  </w:style>
  <w:style w:type="paragraph" w:styleId="EnvelopeReturn">
    <w:name w:val="envelope return"/>
    <w:basedOn w:val="Normal"/>
    <w:rsid w:val="00094E16"/>
    <w:rPr>
      <w:caps/>
      <w:sz w:val="20"/>
    </w:rPr>
  </w:style>
  <w:style w:type="paragraph" w:styleId="Header">
    <w:name w:val="header"/>
    <w:basedOn w:val="Normal"/>
    <w:rsid w:val="004F10A3"/>
    <w:pPr>
      <w:tabs>
        <w:tab w:val="center" w:pos="4320"/>
        <w:tab w:val="right" w:pos="8640"/>
      </w:tabs>
    </w:pPr>
  </w:style>
  <w:style w:type="paragraph" w:styleId="Footer">
    <w:name w:val="footer"/>
    <w:basedOn w:val="Normal"/>
    <w:rsid w:val="004F10A3"/>
    <w:pPr>
      <w:tabs>
        <w:tab w:val="center" w:pos="4320"/>
        <w:tab w:val="right" w:pos="8640"/>
      </w:tabs>
    </w:pPr>
  </w:style>
  <w:style w:type="character" w:customStyle="1" w:styleId="searchterm">
    <w:name w:val="searchterm"/>
    <w:basedOn w:val="DefaultParagraphFont"/>
    <w:rsid w:val="004F10A3"/>
  </w:style>
  <w:style w:type="paragraph" w:styleId="BodyText">
    <w:name w:val="Body Text"/>
    <w:basedOn w:val="Normal"/>
    <w:rsid w:val="004F10A3"/>
    <w:pPr>
      <w:tabs>
        <w:tab w:val="left" w:pos="1800"/>
      </w:tabs>
      <w:spacing w:before="60" w:after="200"/>
      <w:ind w:left="1440"/>
    </w:pPr>
  </w:style>
  <w:style w:type="paragraph" w:styleId="BalloonText">
    <w:name w:val="Balloon Text"/>
    <w:basedOn w:val="Normal"/>
    <w:link w:val="BalloonTextChar"/>
    <w:rsid w:val="00BD5B1C"/>
    <w:rPr>
      <w:rFonts w:ascii="Tahoma" w:hAnsi="Tahoma" w:cs="Tahoma"/>
      <w:sz w:val="16"/>
      <w:szCs w:val="16"/>
    </w:rPr>
  </w:style>
  <w:style w:type="character" w:customStyle="1" w:styleId="BalloonTextChar">
    <w:name w:val="Balloon Text Char"/>
    <w:basedOn w:val="DefaultParagraphFont"/>
    <w:link w:val="BalloonText"/>
    <w:rsid w:val="00BD5B1C"/>
    <w:rPr>
      <w:rFonts w:ascii="Tahoma" w:hAnsi="Tahoma" w:cs="Tahoma"/>
      <w:sz w:val="16"/>
      <w:szCs w:val="16"/>
    </w:rPr>
  </w:style>
  <w:style w:type="paragraph" w:customStyle="1" w:styleId="Romans">
    <w:name w:val="Romans"/>
    <w:basedOn w:val="Normal"/>
    <w:next w:val="TOAHeading"/>
    <w:qFormat/>
    <w:rsid w:val="004333EC"/>
    <w:pPr>
      <w:tabs>
        <w:tab w:val="left" w:pos="720"/>
        <w:tab w:val="left" w:pos="1080"/>
        <w:tab w:val="left" w:pos="1440"/>
      </w:tabs>
      <w:ind w:left="1440" w:hanging="1440"/>
      <w:jc w:val="center"/>
    </w:pPr>
    <w:rPr>
      <w:b/>
      <w:sz w:val="28"/>
      <w:szCs w:val="28"/>
    </w:rPr>
  </w:style>
  <w:style w:type="paragraph" w:styleId="TOAHeading">
    <w:name w:val="toa heading"/>
    <w:basedOn w:val="Normal"/>
    <w:next w:val="Normal"/>
    <w:rsid w:val="004333EC"/>
    <w:pPr>
      <w:spacing w:before="120"/>
    </w:pPr>
    <w:rPr>
      <w:rFonts w:asciiTheme="majorHAnsi" w:eastAsiaTheme="majorEastAsia" w:hAnsiTheme="majorHAnsi" w:cstheme="majorBidi"/>
      <w:b/>
      <w:bCs/>
    </w:rPr>
  </w:style>
  <w:style w:type="paragraph" w:customStyle="1" w:styleId="Style1">
    <w:name w:val="Style1"/>
    <w:basedOn w:val="Normal"/>
    <w:next w:val="TOC1"/>
    <w:qFormat/>
    <w:rsid w:val="004E5B31"/>
    <w:pPr>
      <w:tabs>
        <w:tab w:val="left" w:pos="720"/>
        <w:tab w:val="left" w:pos="1080"/>
        <w:tab w:val="left" w:pos="1440"/>
      </w:tabs>
      <w:ind w:left="1440" w:hanging="1440"/>
    </w:pPr>
    <w:rPr>
      <w:b/>
    </w:rPr>
  </w:style>
  <w:style w:type="paragraph" w:styleId="TOC1">
    <w:name w:val="toc 1"/>
    <w:basedOn w:val="Normal"/>
    <w:next w:val="Normal"/>
    <w:autoRedefine/>
    <w:uiPriority w:val="39"/>
    <w:rsid w:val="00353B0F"/>
    <w:pPr>
      <w:tabs>
        <w:tab w:val="left" w:pos="480"/>
        <w:tab w:val="right" w:leader="dot" w:pos="9350"/>
      </w:tabs>
    </w:pPr>
  </w:style>
  <w:style w:type="paragraph" w:customStyle="1" w:styleId="Style2">
    <w:name w:val="Style2"/>
    <w:basedOn w:val="Normal"/>
    <w:next w:val="TOC2"/>
    <w:qFormat/>
    <w:rsid w:val="004E5B31"/>
    <w:pPr>
      <w:tabs>
        <w:tab w:val="left" w:pos="720"/>
        <w:tab w:val="left" w:pos="1080"/>
        <w:tab w:val="left" w:pos="1440"/>
      </w:tabs>
      <w:ind w:left="1440" w:hanging="1440"/>
    </w:pPr>
    <w:rPr>
      <w:b/>
    </w:rPr>
  </w:style>
  <w:style w:type="paragraph" w:styleId="TOC2">
    <w:name w:val="toc 2"/>
    <w:basedOn w:val="Normal"/>
    <w:next w:val="Normal"/>
    <w:autoRedefine/>
    <w:uiPriority w:val="39"/>
    <w:rsid w:val="00EC6E3A"/>
    <w:pPr>
      <w:tabs>
        <w:tab w:val="left" w:pos="900"/>
        <w:tab w:val="right" w:leader="dot" w:pos="9350"/>
      </w:tabs>
      <w:ind w:left="900" w:hanging="660"/>
    </w:pPr>
  </w:style>
  <w:style w:type="paragraph" w:styleId="TOCHeading">
    <w:name w:val="TOC Heading"/>
    <w:basedOn w:val="Heading1"/>
    <w:next w:val="Normal"/>
    <w:uiPriority w:val="39"/>
    <w:unhideWhenUsed/>
    <w:qFormat/>
    <w:rsid w:val="004E5B31"/>
    <w:pPr>
      <w:spacing w:line="276" w:lineRule="auto"/>
      <w:jc w:val="left"/>
      <w:outlineLvl w:val="9"/>
    </w:pPr>
    <w:rPr>
      <w:lang w:eastAsia="ja-JP"/>
    </w:rPr>
  </w:style>
  <w:style w:type="paragraph" w:styleId="TOC3">
    <w:name w:val="toc 3"/>
    <w:basedOn w:val="Normal"/>
    <w:next w:val="Normal"/>
    <w:autoRedefine/>
    <w:uiPriority w:val="39"/>
    <w:rsid w:val="00353B0F"/>
    <w:pPr>
      <w:tabs>
        <w:tab w:val="left" w:pos="960"/>
        <w:tab w:val="right" w:leader="dot" w:pos="9350"/>
      </w:tabs>
      <w:ind w:left="900" w:hanging="420"/>
    </w:pPr>
  </w:style>
  <w:style w:type="character" w:styleId="Hyperlink">
    <w:name w:val="Hyperlink"/>
    <w:basedOn w:val="DefaultParagraphFont"/>
    <w:uiPriority w:val="99"/>
    <w:unhideWhenUsed/>
    <w:rsid w:val="00DB66EA"/>
    <w:rPr>
      <w:color w:val="0000FF" w:themeColor="hyperlink"/>
      <w:u w:val="single"/>
    </w:rPr>
  </w:style>
  <w:style w:type="paragraph" w:styleId="TOC4">
    <w:name w:val="toc 4"/>
    <w:basedOn w:val="Normal"/>
    <w:next w:val="Normal"/>
    <w:autoRedefine/>
    <w:uiPriority w:val="39"/>
    <w:rsid w:val="00D11F68"/>
    <w:pPr>
      <w:spacing w:after="100"/>
      <w:ind w:left="720"/>
    </w:pPr>
  </w:style>
  <w:style w:type="paragraph" w:styleId="TOC5">
    <w:name w:val="toc 5"/>
    <w:basedOn w:val="Normal"/>
    <w:next w:val="Normal"/>
    <w:autoRedefine/>
    <w:uiPriority w:val="39"/>
    <w:rsid w:val="00D11F68"/>
    <w:pPr>
      <w:spacing w:after="100"/>
      <w:ind w:left="960"/>
    </w:pPr>
  </w:style>
  <w:style w:type="paragraph" w:styleId="TOC6">
    <w:name w:val="toc 6"/>
    <w:basedOn w:val="Normal"/>
    <w:next w:val="Normal"/>
    <w:autoRedefine/>
    <w:uiPriority w:val="39"/>
    <w:rsid w:val="00D11F68"/>
    <w:pPr>
      <w:spacing w:after="100"/>
      <w:ind w:left="1200"/>
    </w:pPr>
  </w:style>
  <w:style w:type="paragraph" w:styleId="TOC7">
    <w:name w:val="toc 7"/>
    <w:basedOn w:val="Normal"/>
    <w:next w:val="Normal"/>
    <w:autoRedefine/>
    <w:uiPriority w:val="39"/>
    <w:unhideWhenUsed/>
    <w:rsid w:val="00496F65"/>
    <w:pPr>
      <w:spacing w:after="100" w:line="276"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496F65"/>
    <w:pPr>
      <w:spacing w:after="100" w:line="276"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496F65"/>
    <w:pPr>
      <w:spacing w:after="100" w:line="276" w:lineRule="auto"/>
      <w:ind w:left="1760"/>
      <w:jc w:val="left"/>
    </w:pPr>
    <w:rPr>
      <w:rFonts w:asciiTheme="minorHAnsi" w:eastAsiaTheme="minorEastAsia" w:hAnsiTheme="minorHAnsi" w:cstheme="minorBidi"/>
      <w:sz w:val="22"/>
      <w:szCs w:val="22"/>
    </w:rPr>
  </w:style>
  <w:style w:type="character" w:styleId="FootnoteReference">
    <w:name w:val="footnote reference"/>
    <w:basedOn w:val="DefaultParagraphFont"/>
    <w:rsid w:val="00E6207D"/>
    <w:rPr>
      <w:vertAlign w:val="superscript"/>
    </w:rPr>
  </w:style>
  <w:style w:type="character" w:styleId="Emphasis">
    <w:name w:val="Emphasis"/>
    <w:basedOn w:val="DefaultParagraphFont"/>
    <w:uiPriority w:val="20"/>
    <w:qFormat/>
    <w:rsid w:val="0097040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10A3"/>
    <w:pPr>
      <w:jc w:val="both"/>
    </w:pPr>
    <w:rPr>
      <w:sz w:val="24"/>
      <w:szCs w:val="24"/>
    </w:rPr>
  </w:style>
  <w:style w:type="paragraph" w:styleId="Heading1">
    <w:name w:val="heading 1"/>
    <w:basedOn w:val="Normal"/>
    <w:next w:val="Normal"/>
    <w:link w:val="Heading1Char"/>
    <w:autoRedefine/>
    <w:qFormat/>
    <w:rsid w:val="008429C3"/>
    <w:pPr>
      <w:keepNext/>
      <w:keepLines/>
      <w:spacing w:before="480" w:after="240"/>
      <w:ind w:left="720"/>
      <w:jc w:val="center"/>
      <w:outlineLvl w:val="0"/>
    </w:pPr>
    <w:rPr>
      <w:rFonts w:eastAsiaTheme="majorEastAsia" w:cstheme="majorBidi"/>
      <w:b/>
      <w:bCs/>
      <w:caps/>
      <w:sz w:val="28"/>
      <w:szCs w:val="28"/>
    </w:rPr>
  </w:style>
  <w:style w:type="paragraph" w:styleId="Heading2">
    <w:name w:val="heading 2"/>
    <w:basedOn w:val="Normal"/>
    <w:next w:val="Normal"/>
    <w:link w:val="Heading2Char"/>
    <w:autoRedefine/>
    <w:unhideWhenUsed/>
    <w:qFormat/>
    <w:rsid w:val="00604DD4"/>
    <w:pPr>
      <w:keepNext/>
      <w:keepLines/>
      <w:spacing w:before="200" w:after="240"/>
      <w:ind w:left="720" w:hanging="720"/>
      <w:outlineLvl w:val="1"/>
    </w:pPr>
    <w:rPr>
      <w:rFonts w:eastAsiaTheme="majorEastAsia" w:cstheme="majorBidi"/>
      <w:b/>
      <w:bCs/>
      <w:caps/>
      <w:szCs w:val="26"/>
    </w:rPr>
  </w:style>
  <w:style w:type="paragraph" w:styleId="Heading3">
    <w:name w:val="heading 3"/>
    <w:basedOn w:val="Normal"/>
    <w:next w:val="Normal"/>
    <w:link w:val="Heading3Char"/>
    <w:autoRedefine/>
    <w:unhideWhenUsed/>
    <w:qFormat/>
    <w:rsid w:val="00337FFA"/>
    <w:pPr>
      <w:keepNext/>
      <w:keepLines/>
      <w:spacing w:before="240" w:after="240"/>
      <w:ind w:left="1440" w:hanging="720"/>
      <w:outlineLvl w:val="2"/>
    </w:pPr>
    <w:rPr>
      <w:b/>
    </w:rPr>
  </w:style>
  <w:style w:type="paragraph" w:styleId="Heading4">
    <w:name w:val="heading 4"/>
    <w:basedOn w:val="Normal"/>
    <w:next w:val="Normal"/>
    <w:link w:val="Heading4Char"/>
    <w:autoRedefine/>
    <w:unhideWhenUsed/>
    <w:qFormat/>
    <w:rsid w:val="000605DE"/>
    <w:pPr>
      <w:keepNext/>
      <w:spacing w:before="240" w:after="240"/>
      <w:ind w:left="2160" w:hanging="720"/>
      <w:outlineLvl w:val="3"/>
    </w:pPr>
    <w:rPr>
      <w:rFonts w:eastAsiaTheme="majorEastAsia" w:cstheme="majorBidi"/>
      <w:b/>
      <w:bCs/>
      <w:i/>
      <w:iCs/>
    </w:rPr>
  </w:style>
  <w:style w:type="paragraph" w:styleId="Heading5">
    <w:name w:val="heading 5"/>
    <w:basedOn w:val="Normal"/>
    <w:next w:val="Normal"/>
    <w:link w:val="Heading5Char"/>
    <w:autoRedefine/>
    <w:unhideWhenUsed/>
    <w:qFormat/>
    <w:rsid w:val="006921A4"/>
    <w:pPr>
      <w:keepNext/>
      <w:keepLines/>
      <w:spacing w:before="240" w:after="240"/>
      <w:ind w:left="2160"/>
      <w:outlineLvl w:val="4"/>
    </w:pPr>
    <w:rPr>
      <w:rFonts w:eastAsiaTheme="majorEastAsia" w:cstheme="majorBidi"/>
      <w:b/>
    </w:rPr>
  </w:style>
  <w:style w:type="paragraph" w:styleId="Heading6">
    <w:name w:val="heading 6"/>
    <w:basedOn w:val="Normal"/>
    <w:next w:val="Normal"/>
    <w:link w:val="Heading6Char"/>
    <w:autoRedefine/>
    <w:unhideWhenUsed/>
    <w:qFormat/>
    <w:rsid w:val="008E2C37"/>
    <w:pPr>
      <w:keepNext/>
      <w:keepLines/>
      <w:spacing w:before="240" w:after="240"/>
      <w:ind w:left="2880"/>
      <w:outlineLvl w:val="5"/>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29C3"/>
    <w:rPr>
      <w:rFonts w:eastAsiaTheme="majorEastAsia" w:cstheme="majorBidi"/>
      <w:b/>
      <w:bCs/>
      <w:caps/>
      <w:sz w:val="28"/>
      <w:szCs w:val="28"/>
    </w:rPr>
  </w:style>
  <w:style w:type="character" w:customStyle="1" w:styleId="Heading2Char">
    <w:name w:val="Heading 2 Char"/>
    <w:basedOn w:val="DefaultParagraphFont"/>
    <w:link w:val="Heading2"/>
    <w:rsid w:val="00604DD4"/>
    <w:rPr>
      <w:rFonts w:eastAsiaTheme="majorEastAsia" w:cstheme="majorBidi"/>
      <w:b/>
      <w:bCs/>
      <w:caps/>
      <w:sz w:val="24"/>
      <w:szCs w:val="26"/>
    </w:rPr>
  </w:style>
  <w:style w:type="character" w:customStyle="1" w:styleId="Heading3Char">
    <w:name w:val="Heading 3 Char"/>
    <w:basedOn w:val="DefaultParagraphFont"/>
    <w:link w:val="Heading3"/>
    <w:rsid w:val="00337FFA"/>
    <w:rPr>
      <w:b/>
      <w:sz w:val="24"/>
      <w:szCs w:val="24"/>
    </w:rPr>
  </w:style>
  <w:style w:type="character" w:customStyle="1" w:styleId="Heading4Char">
    <w:name w:val="Heading 4 Char"/>
    <w:basedOn w:val="DefaultParagraphFont"/>
    <w:link w:val="Heading4"/>
    <w:rsid w:val="000605DE"/>
    <w:rPr>
      <w:rFonts w:eastAsiaTheme="majorEastAsia" w:cstheme="majorBidi"/>
      <w:b/>
      <w:bCs/>
      <w:i/>
      <w:iCs/>
      <w:sz w:val="24"/>
      <w:szCs w:val="24"/>
    </w:rPr>
  </w:style>
  <w:style w:type="character" w:customStyle="1" w:styleId="Heading5Char">
    <w:name w:val="Heading 5 Char"/>
    <w:basedOn w:val="DefaultParagraphFont"/>
    <w:link w:val="Heading5"/>
    <w:rsid w:val="006921A4"/>
    <w:rPr>
      <w:rFonts w:eastAsiaTheme="majorEastAsia" w:cstheme="majorBidi"/>
      <w:b/>
      <w:sz w:val="24"/>
      <w:szCs w:val="24"/>
    </w:rPr>
  </w:style>
  <w:style w:type="character" w:customStyle="1" w:styleId="Heading6Char">
    <w:name w:val="Heading 6 Char"/>
    <w:basedOn w:val="DefaultParagraphFont"/>
    <w:link w:val="Heading6"/>
    <w:rsid w:val="008E2C37"/>
    <w:rPr>
      <w:rFonts w:eastAsiaTheme="majorEastAsia" w:cstheme="majorBidi"/>
      <w:b/>
      <w:i/>
      <w:iCs/>
      <w:sz w:val="24"/>
      <w:szCs w:val="24"/>
    </w:rPr>
  </w:style>
  <w:style w:type="paragraph" w:styleId="FootnoteText">
    <w:name w:val="footnote text"/>
    <w:basedOn w:val="Normal"/>
    <w:link w:val="FootnoteTextChar"/>
    <w:semiHidden/>
    <w:rsid w:val="00094E16"/>
  </w:style>
  <w:style w:type="character" w:customStyle="1" w:styleId="FootnoteTextChar">
    <w:name w:val="Footnote Text Char"/>
    <w:basedOn w:val="DefaultParagraphFont"/>
    <w:link w:val="FootnoteText"/>
    <w:semiHidden/>
    <w:rsid w:val="00ED27B3"/>
    <w:rPr>
      <w:sz w:val="24"/>
      <w:szCs w:val="24"/>
    </w:rPr>
  </w:style>
  <w:style w:type="character" w:styleId="PageNumber">
    <w:name w:val="page number"/>
    <w:basedOn w:val="DefaultParagraphFont"/>
    <w:rsid w:val="00094E16"/>
    <w:rPr>
      <w:rFonts w:ascii="Times New Roman" w:hAnsi="Times New Roman"/>
      <w:sz w:val="26"/>
    </w:rPr>
  </w:style>
  <w:style w:type="paragraph" w:styleId="EnvelopeAddress">
    <w:name w:val="envelope address"/>
    <w:basedOn w:val="Normal"/>
    <w:rsid w:val="00094E16"/>
    <w:pPr>
      <w:framePr w:w="7920" w:h="1980" w:hRule="exact" w:hSpace="180" w:wrap="auto" w:hAnchor="page" w:xAlign="center" w:yAlign="bottom"/>
      <w:ind w:left="2880"/>
    </w:pPr>
    <w:rPr>
      <w:rFonts w:cs="Arial"/>
      <w:caps/>
      <w:snapToGrid w:val="0"/>
    </w:rPr>
  </w:style>
  <w:style w:type="paragraph" w:styleId="EnvelopeReturn">
    <w:name w:val="envelope return"/>
    <w:basedOn w:val="Normal"/>
    <w:rsid w:val="00094E16"/>
    <w:rPr>
      <w:caps/>
      <w:sz w:val="20"/>
    </w:rPr>
  </w:style>
  <w:style w:type="paragraph" w:styleId="Header">
    <w:name w:val="header"/>
    <w:basedOn w:val="Normal"/>
    <w:rsid w:val="004F10A3"/>
    <w:pPr>
      <w:tabs>
        <w:tab w:val="center" w:pos="4320"/>
        <w:tab w:val="right" w:pos="8640"/>
      </w:tabs>
    </w:pPr>
  </w:style>
  <w:style w:type="paragraph" w:styleId="Footer">
    <w:name w:val="footer"/>
    <w:basedOn w:val="Normal"/>
    <w:rsid w:val="004F10A3"/>
    <w:pPr>
      <w:tabs>
        <w:tab w:val="center" w:pos="4320"/>
        <w:tab w:val="right" w:pos="8640"/>
      </w:tabs>
    </w:pPr>
  </w:style>
  <w:style w:type="character" w:customStyle="1" w:styleId="searchterm">
    <w:name w:val="searchterm"/>
    <w:basedOn w:val="DefaultParagraphFont"/>
    <w:rsid w:val="004F10A3"/>
  </w:style>
  <w:style w:type="paragraph" w:styleId="BodyText">
    <w:name w:val="Body Text"/>
    <w:basedOn w:val="Normal"/>
    <w:rsid w:val="004F10A3"/>
    <w:pPr>
      <w:tabs>
        <w:tab w:val="left" w:pos="1800"/>
      </w:tabs>
      <w:spacing w:before="60" w:after="200"/>
      <w:ind w:left="1440"/>
    </w:pPr>
  </w:style>
  <w:style w:type="paragraph" w:styleId="BalloonText">
    <w:name w:val="Balloon Text"/>
    <w:basedOn w:val="Normal"/>
    <w:link w:val="BalloonTextChar"/>
    <w:rsid w:val="00BD5B1C"/>
    <w:rPr>
      <w:rFonts w:ascii="Tahoma" w:hAnsi="Tahoma" w:cs="Tahoma"/>
      <w:sz w:val="16"/>
      <w:szCs w:val="16"/>
    </w:rPr>
  </w:style>
  <w:style w:type="character" w:customStyle="1" w:styleId="BalloonTextChar">
    <w:name w:val="Balloon Text Char"/>
    <w:basedOn w:val="DefaultParagraphFont"/>
    <w:link w:val="BalloonText"/>
    <w:rsid w:val="00BD5B1C"/>
    <w:rPr>
      <w:rFonts w:ascii="Tahoma" w:hAnsi="Tahoma" w:cs="Tahoma"/>
      <w:sz w:val="16"/>
      <w:szCs w:val="16"/>
    </w:rPr>
  </w:style>
  <w:style w:type="paragraph" w:customStyle="1" w:styleId="Romans">
    <w:name w:val="Romans"/>
    <w:basedOn w:val="Normal"/>
    <w:next w:val="TOAHeading"/>
    <w:qFormat/>
    <w:rsid w:val="004333EC"/>
    <w:pPr>
      <w:tabs>
        <w:tab w:val="left" w:pos="720"/>
        <w:tab w:val="left" w:pos="1080"/>
        <w:tab w:val="left" w:pos="1440"/>
      </w:tabs>
      <w:ind w:left="1440" w:hanging="1440"/>
      <w:jc w:val="center"/>
    </w:pPr>
    <w:rPr>
      <w:b/>
      <w:sz w:val="28"/>
      <w:szCs w:val="28"/>
    </w:rPr>
  </w:style>
  <w:style w:type="paragraph" w:styleId="TOAHeading">
    <w:name w:val="toa heading"/>
    <w:basedOn w:val="Normal"/>
    <w:next w:val="Normal"/>
    <w:rsid w:val="004333EC"/>
    <w:pPr>
      <w:spacing w:before="120"/>
    </w:pPr>
    <w:rPr>
      <w:rFonts w:asciiTheme="majorHAnsi" w:eastAsiaTheme="majorEastAsia" w:hAnsiTheme="majorHAnsi" w:cstheme="majorBidi"/>
      <w:b/>
      <w:bCs/>
    </w:rPr>
  </w:style>
  <w:style w:type="paragraph" w:customStyle="1" w:styleId="Style1">
    <w:name w:val="Style1"/>
    <w:basedOn w:val="Normal"/>
    <w:next w:val="TOC1"/>
    <w:qFormat/>
    <w:rsid w:val="004E5B31"/>
    <w:pPr>
      <w:tabs>
        <w:tab w:val="left" w:pos="720"/>
        <w:tab w:val="left" w:pos="1080"/>
        <w:tab w:val="left" w:pos="1440"/>
      </w:tabs>
      <w:ind w:left="1440" w:hanging="1440"/>
    </w:pPr>
    <w:rPr>
      <w:b/>
    </w:rPr>
  </w:style>
  <w:style w:type="paragraph" w:styleId="TOC1">
    <w:name w:val="toc 1"/>
    <w:basedOn w:val="Normal"/>
    <w:next w:val="Normal"/>
    <w:autoRedefine/>
    <w:uiPriority w:val="39"/>
    <w:rsid w:val="00353B0F"/>
    <w:pPr>
      <w:tabs>
        <w:tab w:val="left" w:pos="480"/>
        <w:tab w:val="right" w:leader="dot" w:pos="9350"/>
      </w:tabs>
    </w:pPr>
  </w:style>
  <w:style w:type="paragraph" w:customStyle="1" w:styleId="Style2">
    <w:name w:val="Style2"/>
    <w:basedOn w:val="Normal"/>
    <w:next w:val="TOC2"/>
    <w:qFormat/>
    <w:rsid w:val="004E5B31"/>
    <w:pPr>
      <w:tabs>
        <w:tab w:val="left" w:pos="720"/>
        <w:tab w:val="left" w:pos="1080"/>
        <w:tab w:val="left" w:pos="1440"/>
      </w:tabs>
      <w:ind w:left="1440" w:hanging="1440"/>
    </w:pPr>
    <w:rPr>
      <w:b/>
    </w:rPr>
  </w:style>
  <w:style w:type="paragraph" w:styleId="TOC2">
    <w:name w:val="toc 2"/>
    <w:basedOn w:val="Normal"/>
    <w:next w:val="Normal"/>
    <w:autoRedefine/>
    <w:uiPriority w:val="39"/>
    <w:rsid w:val="00EC6E3A"/>
    <w:pPr>
      <w:tabs>
        <w:tab w:val="left" w:pos="900"/>
        <w:tab w:val="right" w:leader="dot" w:pos="9350"/>
      </w:tabs>
      <w:ind w:left="900" w:hanging="660"/>
    </w:pPr>
  </w:style>
  <w:style w:type="paragraph" w:styleId="TOCHeading">
    <w:name w:val="TOC Heading"/>
    <w:basedOn w:val="Heading1"/>
    <w:next w:val="Normal"/>
    <w:uiPriority w:val="39"/>
    <w:unhideWhenUsed/>
    <w:qFormat/>
    <w:rsid w:val="004E5B31"/>
    <w:pPr>
      <w:spacing w:line="276" w:lineRule="auto"/>
      <w:jc w:val="left"/>
      <w:outlineLvl w:val="9"/>
    </w:pPr>
    <w:rPr>
      <w:lang w:eastAsia="ja-JP"/>
    </w:rPr>
  </w:style>
  <w:style w:type="paragraph" w:styleId="TOC3">
    <w:name w:val="toc 3"/>
    <w:basedOn w:val="Normal"/>
    <w:next w:val="Normal"/>
    <w:autoRedefine/>
    <w:uiPriority w:val="39"/>
    <w:rsid w:val="00353B0F"/>
    <w:pPr>
      <w:tabs>
        <w:tab w:val="left" w:pos="960"/>
        <w:tab w:val="right" w:leader="dot" w:pos="9350"/>
      </w:tabs>
      <w:ind w:left="900" w:hanging="420"/>
    </w:pPr>
  </w:style>
  <w:style w:type="character" w:styleId="Hyperlink">
    <w:name w:val="Hyperlink"/>
    <w:basedOn w:val="DefaultParagraphFont"/>
    <w:uiPriority w:val="99"/>
    <w:unhideWhenUsed/>
    <w:rsid w:val="00DB66EA"/>
    <w:rPr>
      <w:color w:val="0000FF" w:themeColor="hyperlink"/>
      <w:u w:val="single"/>
    </w:rPr>
  </w:style>
  <w:style w:type="paragraph" w:styleId="TOC4">
    <w:name w:val="toc 4"/>
    <w:basedOn w:val="Normal"/>
    <w:next w:val="Normal"/>
    <w:autoRedefine/>
    <w:uiPriority w:val="39"/>
    <w:rsid w:val="00D11F68"/>
    <w:pPr>
      <w:spacing w:after="100"/>
      <w:ind w:left="720"/>
    </w:pPr>
  </w:style>
  <w:style w:type="paragraph" w:styleId="TOC5">
    <w:name w:val="toc 5"/>
    <w:basedOn w:val="Normal"/>
    <w:next w:val="Normal"/>
    <w:autoRedefine/>
    <w:uiPriority w:val="39"/>
    <w:rsid w:val="00D11F68"/>
    <w:pPr>
      <w:spacing w:after="100"/>
      <w:ind w:left="960"/>
    </w:pPr>
  </w:style>
  <w:style w:type="paragraph" w:styleId="TOC6">
    <w:name w:val="toc 6"/>
    <w:basedOn w:val="Normal"/>
    <w:next w:val="Normal"/>
    <w:autoRedefine/>
    <w:uiPriority w:val="39"/>
    <w:rsid w:val="00D11F68"/>
    <w:pPr>
      <w:spacing w:after="100"/>
      <w:ind w:left="1200"/>
    </w:pPr>
  </w:style>
  <w:style w:type="paragraph" w:styleId="TOC7">
    <w:name w:val="toc 7"/>
    <w:basedOn w:val="Normal"/>
    <w:next w:val="Normal"/>
    <w:autoRedefine/>
    <w:uiPriority w:val="39"/>
    <w:unhideWhenUsed/>
    <w:rsid w:val="00496F65"/>
    <w:pPr>
      <w:spacing w:after="100" w:line="276"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496F65"/>
    <w:pPr>
      <w:spacing w:after="100" w:line="276"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496F65"/>
    <w:pPr>
      <w:spacing w:after="100" w:line="276" w:lineRule="auto"/>
      <w:ind w:left="1760"/>
      <w:jc w:val="left"/>
    </w:pPr>
    <w:rPr>
      <w:rFonts w:asciiTheme="minorHAnsi" w:eastAsiaTheme="minorEastAsia" w:hAnsiTheme="minorHAnsi" w:cstheme="minorBidi"/>
      <w:sz w:val="22"/>
      <w:szCs w:val="22"/>
    </w:rPr>
  </w:style>
  <w:style w:type="character" w:styleId="FootnoteReference">
    <w:name w:val="footnote reference"/>
    <w:basedOn w:val="DefaultParagraphFont"/>
    <w:rsid w:val="00E6207D"/>
    <w:rPr>
      <w:vertAlign w:val="superscript"/>
    </w:rPr>
  </w:style>
  <w:style w:type="character" w:styleId="Emphasis">
    <w:name w:val="Emphasis"/>
    <w:basedOn w:val="DefaultParagraphFont"/>
    <w:uiPriority w:val="20"/>
    <w:qFormat/>
    <w:rsid w:val="009704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164630">
      <w:bodyDiv w:val="1"/>
      <w:marLeft w:val="0"/>
      <w:marRight w:val="0"/>
      <w:marTop w:val="0"/>
      <w:marBottom w:val="0"/>
      <w:divBdr>
        <w:top w:val="none" w:sz="0" w:space="0" w:color="auto"/>
        <w:left w:val="none" w:sz="0" w:space="0" w:color="auto"/>
        <w:bottom w:val="none" w:sz="0" w:space="0" w:color="auto"/>
        <w:right w:val="none" w:sz="0" w:space="0" w:color="auto"/>
      </w:divBdr>
      <w:divsChild>
        <w:div w:id="1757289074">
          <w:marLeft w:val="0"/>
          <w:marRight w:val="0"/>
          <w:marTop w:val="0"/>
          <w:marBottom w:val="0"/>
          <w:divBdr>
            <w:top w:val="none" w:sz="0" w:space="0" w:color="auto"/>
            <w:left w:val="none" w:sz="0" w:space="0" w:color="auto"/>
            <w:bottom w:val="none" w:sz="0" w:space="0" w:color="auto"/>
            <w:right w:val="none" w:sz="0" w:space="0" w:color="auto"/>
          </w:divBdr>
          <w:divsChild>
            <w:div w:id="21851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80874">
      <w:bodyDiv w:val="1"/>
      <w:marLeft w:val="0"/>
      <w:marRight w:val="0"/>
      <w:marTop w:val="0"/>
      <w:marBottom w:val="0"/>
      <w:divBdr>
        <w:top w:val="none" w:sz="0" w:space="0" w:color="auto"/>
        <w:left w:val="none" w:sz="0" w:space="0" w:color="auto"/>
        <w:bottom w:val="none" w:sz="0" w:space="0" w:color="auto"/>
        <w:right w:val="none" w:sz="0" w:space="0" w:color="auto"/>
      </w:divBdr>
    </w:div>
    <w:div w:id="449589805">
      <w:bodyDiv w:val="1"/>
      <w:marLeft w:val="0"/>
      <w:marRight w:val="0"/>
      <w:marTop w:val="0"/>
      <w:marBottom w:val="0"/>
      <w:divBdr>
        <w:top w:val="none" w:sz="0" w:space="0" w:color="auto"/>
        <w:left w:val="none" w:sz="0" w:space="0" w:color="auto"/>
        <w:bottom w:val="none" w:sz="0" w:space="0" w:color="auto"/>
        <w:right w:val="none" w:sz="0" w:space="0" w:color="auto"/>
      </w:divBdr>
      <w:divsChild>
        <w:div w:id="246354686">
          <w:marLeft w:val="0"/>
          <w:marRight w:val="0"/>
          <w:marTop w:val="0"/>
          <w:marBottom w:val="0"/>
          <w:divBdr>
            <w:top w:val="none" w:sz="0" w:space="0" w:color="auto"/>
            <w:left w:val="none" w:sz="0" w:space="0" w:color="auto"/>
            <w:bottom w:val="none" w:sz="0" w:space="0" w:color="auto"/>
            <w:right w:val="none" w:sz="0" w:space="0" w:color="auto"/>
          </w:divBdr>
          <w:divsChild>
            <w:div w:id="1877036248">
              <w:marLeft w:val="0"/>
              <w:marRight w:val="0"/>
              <w:marTop w:val="0"/>
              <w:marBottom w:val="0"/>
              <w:divBdr>
                <w:top w:val="none" w:sz="0" w:space="0" w:color="auto"/>
                <w:left w:val="none" w:sz="0" w:space="0" w:color="auto"/>
                <w:bottom w:val="none" w:sz="0" w:space="0" w:color="auto"/>
                <w:right w:val="none" w:sz="0" w:space="0" w:color="auto"/>
              </w:divBdr>
              <w:divsChild>
                <w:div w:id="155539502">
                  <w:marLeft w:val="0"/>
                  <w:marRight w:val="0"/>
                  <w:marTop w:val="0"/>
                  <w:marBottom w:val="0"/>
                  <w:divBdr>
                    <w:top w:val="none" w:sz="0" w:space="0" w:color="auto"/>
                    <w:left w:val="none" w:sz="0" w:space="0" w:color="auto"/>
                    <w:bottom w:val="none" w:sz="0" w:space="0" w:color="auto"/>
                    <w:right w:val="none" w:sz="0" w:space="0" w:color="auto"/>
                  </w:divBdr>
                  <w:divsChild>
                    <w:div w:id="200227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6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331380">
      <w:bodyDiv w:val="1"/>
      <w:marLeft w:val="0"/>
      <w:marRight w:val="0"/>
      <w:marTop w:val="0"/>
      <w:marBottom w:val="0"/>
      <w:divBdr>
        <w:top w:val="none" w:sz="0" w:space="0" w:color="auto"/>
        <w:left w:val="none" w:sz="0" w:space="0" w:color="auto"/>
        <w:bottom w:val="none" w:sz="0" w:space="0" w:color="auto"/>
        <w:right w:val="none" w:sz="0" w:space="0" w:color="auto"/>
      </w:divBdr>
      <w:divsChild>
        <w:div w:id="21444163">
          <w:marLeft w:val="0"/>
          <w:marRight w:val="0"/>
          <w:marTop w:val="0"/>
          <w:marBottom w:val="0"/>
          <w:divBdr>
            <w:top w:val="none" w:sz="0" w:space="0" w:color="auto"/>
            <w:left w:val="none" w:sz="0" w:space="0" w:color="auto"/>
            <w:bottom w:val="none" w:sz="0" w:space="0" w:color="auto"/>
            <w:right w:val="none" w:sz="0" w:space="0" w:color="auto"/>
          </w:divBdr>
          <w:divsChild>
            <w:div w:id="82026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373088">
      <w:bodyDiv w:val="1"/>
      <w:marLeft w:val="0"/>
      <w:marRight w:val="0"/>
      <w:marTop w:val="0"/>
      <w:marBottom w:val="0"/>
      <w:divBdr>
        <w:top w:val="none" w:sz="0" w:space="0" w:color="auto"/>
        <w:left w:val="none" w:sz="0" w:space="0" w:color="auto"/>
        <w:bottom w:val="none" w:sz="0" w:space="0" w:color="auto"/>
        <w:right w:val="none" w:sz="0" w:space="0" w:color="auto"/>
      </w:divBdr>
      <w:divsChild>
        <w:div w:id="1686785815">
          <w:marLeft w:val="0"/>
          <w:marRight w:val="0"/>
          <w:marTop w:val="0"/>
          <w:marBottom w:val="0"/>
          <w:divBdr>
            <w:top w:val="none" w:sz="0" w:space="0" w:color="auto"/>
            <w:left w:val="none" w:sz="0" w:space="0" w:color="auto"/>
            <w:bottom w:val="none" w:sz="0" w:space="0" w:color="auto"/>
            <w:right w:val="none" w:sz="0" w:space="0" w:color="auto"/>
          </w:divBdr>
          <w:divsChild>
            <w:div w:id="19130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06744">
      <w:bodyDiv w:val="1"/>
      <w:marLeft w:val="0"/>
      <w:marRight w:val="0"/>
      <w:marTop w:val="0"/>
      <w:marBottom w:val="0"/>
      <w:divBdr>
        <w:top w:val="none" w:sz="0" w:space="0" w:color="auto"/>
        <w:left w:val="none" w:sz="0" w:space="0" w:color="auto"/>
        <w:bottom w:val="none" w:sz="0" w:space="0" w:color="auto"/>
        <w:right w:val="none" w:sz="0" w:space="0" w:color="auto"/>
      </w:divBdr>
      <w:divsChild>
        <w:div w:id="1399398571">
          <w:marLeft w:val="0"/>
          <w:marRight w:val="0"/>
          <w:marTop w:val="0"/>
          <w:marBottom w:val="0"/>
          <w:divBdr>
            <w:top w:val="none" w:sz="0" w:space="0" w:color="auto"/>
            <w:left w:val="none" w:sz="0" w:space="0" w:color="auto"/>
            <w:bottom w:val="none" w:sz="0" w:space="0" w:color="auto"/>
            <w:right w:val="none" w:sz="0" w:space="0" w:color="auto"/>
          </w:divBdr>
          <w:divsChild>
            <w:div w:id="61232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150562">
      <w:bodyDiv w:val="1"/>
      <w:marLeft w:val="0"/>
      <w:marRight w:val="0"/>
      <w:marTop w:val="0"/>
      <w:marBottom w:val="0"/>
      <w:divBdr>
        <w:top w:val="none" w:sz="0" w:space="0" w:color="auto"/>
        <w:left w:val="none" w:sz="0" w:space="0" w:color="auto"/>
        <w:bottom w:val="none" w:sz="0" w:space="0" w:color="auto"/>
        <w:right w:val="none" w:sz="0" w:space="0" w:color="auto"/>
      </w:divBdr>
    </w:div>
    <w:div w:id="1868980971">
      <w:bodyDiv w:val="1"/>
      <w:marLeft w:val="0"/>
      <w:marRight w:val="0"/>
      <w:marTop w:val="0"/>
      <w:marBottom w:val="0"/>
      <w:divBdr>
        <w:top w:val="none" w:sz="0" w:space="0" w:color="auto"/>
        <w:left w:val="none" w:sz="0" w:space="0" w:color="auto"/>
        <w:bottom w:val="none" w:sz="0" w:space="0" w:color="auto"/>
        <w:right w:val="none" w:sz="0" w:space="0" w:color="auto"/>
      </w:divBdr>
      <w:divsChild>
        <w:div w:id="1818187401">
          <w:marLeft w:val="0"/>
          <w:marRight w:val="0"/>
          <w:marTop w:val="0"/>
          <w:marBottom w:val="0"/>
          <w:divBdr>
            <w:top w:val="none" w:sz="0" w:space="0" w:color="auto"/>
            <w:left w:val="none" w:sz="0" w:space="0" w:color="auto"/>
            <w:bottom w:val="none" w:sz="0" w:space="0" w:color="auto"/>
            <w:right w:val="none" w:sz="0" w:space="0" w:color="auto"/>
          </w:divBdr>
          <w:divsChild>
            <w:div w:id="9040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4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A6D5B-9341-4478-B3B1-5BAFC9C55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929BEC70.dotm</Template>
  <TotalTime>1</TotalTime>
  <Pages>126</Pages>
  <Words>48217</Words>
  <Characters>275949</Characters>
  <Application>Microsoft Office Word</Application>
  <DocSecurity>2</DocSecurity>
  <Lines>2299</Lines>
  <Paragraphs>647</Paragraphs>
  <ScaleCrop>false</ScaleCrop>
  <HeadingPairs>
    <vt:vector size="2" baseType="variant">
      <vt:variant>
        <vt:lpstr>Title</vt:lpstr>
      </vt:variant>
      <vt:variant>
        <vt:i4>1</vt:i4>
      </vt:variant>
    </vt:vector>
  </HeadingPairs>
  <TitlesOfParts>
    <vt:vector size="1" baseType="lpstr">
      <vt:lpstr>THE MINNESOTA</vt:lpstr>
    </vt:vector>
  </TitlesOfParts>
  <Company>MSC</Company>
  <LinksUpToDate>false</LinksUpToDate>
  <CharactersWithSpaces>323519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MINNESOTA</dc:title>
  <dc:creator>LeegardL</dc:creator>
  <cp:lastModifiedBy>Bender, Terianne</cp:lastModifiedBy>
  <cp:revision>2</cp:revision>
  <cp:lastPrinted>2014-08-12T16:00:00Z</cp:lastPrinted>
  <dcterms:created xsi:type="dcterms:W3CDTF">2014-08-12T16:26:00Z</dcterms:created>
  <dcterms:modified xsi:type="dcterms:W3CDTF">2014-08-12T16:26:00Z</dcterms:modified>
</cp:coreProperties>
</file>