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5" w:rsidRPr="007050D0" w:rsidRDefault="00841329" w:rsidP="00841329">
      <w:pPr>
        <w:jc w:val="center"/>
        <w:rPr>
          <w:b/>
        </w:rPr>
      </w:pPr>
      <w:bookmarkStart w:id="0" w:name="_GoBack"/>
      <w:bookmarkEnd w:id="0"/>
      <w:r w:rsidRPr="007050D0">
        <w:rPr>
          <w:b/>
        </w:rPr>
        <w:t xml:space="preserve">TECHNOLOGY FEE </w:t>
      </w:r>
    </w:p>
    <w:p w:rsidR="00841329" w:rsidRDefault="00841329" w:rsidP="00841329">
      <w:pPr>
        <w:jc w:val="center"/>
        <w:rPr>
          <w:b/>
        </w:rPr>
      </w:pPr>
      <w:r w:rsidRPr="007050D0">
        <w:rPr>
          <w:b/>
        </w:rPr>
        <w:t>FREQUENTLY ASKED QUESTIONS</w:t>
      </w:r>
    </w:p>
    <w:p w:rsidR="00C01ED0" w:rsidRDefault="00C01ED0" w:rsidP="00C01ED0">
      <w:pPr>
        <w:rPr>
          <w:b/>
        </w:rPr>
      </w:pPr>
    </w:p>
    <w:p w:rsidR="00687245" w:rsidRDefault="00687245" w:rsidP="00687245">
      <w:r>
        <w:t xml:space="preserve">The 2013 Legislature has established a new $2 Technology Fee to be applied to all fees collected under M.S. 357.021, subdivision 2, clauses (1) to (13), effective July 1, 2013.  </w:t>
      </w:r>
      <w:hyperlink r:id="rId9" w:history="1">
        <w:r>
          <w:rPr>
            <w:rStyle w:val="Hyperlink"/>
          </w:rPr>
          <w:t>2013 Minn. Laws, Chap. 86, Article 3, section 6.  Minn. Stat. § 357.021, subd. 2b.</w:t>
        </w:r>
      </w:hyperlink>
      <w:r>
        <w:t xml:space="preserve">   The answers to the following questions are intended to help parties, attorneys, and the general public understand when this new technology fee applies.</w:t>
      </w:r>
    </w:p>
    <w:p w:rsidR="00DC66EA" w:rsidRPr="007050D0" w:rsidRDefault="00DC66EA" w:rsidP="00841329">
      <w:pPr>
        <w:jc w:val="center"/>
        <w:rPr>
          <w:b/>
        </w:rPr>
      </w:pPr>
    </w:p>
    <w:p w:rsidR="007050D0" w:rsidRPr="00A90C8C" w:rsidRDefault="007050D0" w:rsidP="00841329">
      <w:pPr>
        <w:rPr>
          <w:b/>
        </w:rPr>
      </w:pPr>
      <w:r w:rsidRPr="00A90C8C">
        <w:rPr>
          <w:b/>
        </w:rPr>
        <w:t xml:space="preserve">FAQs </w:t>
      </w:r>
      <w:r w:rsidR="002439B7">
        <w:rPr>
          <w:b/>
        </w:rPr>
        <w:t>–</w:t>
      </w:r>
      <w:r w:rsidR="00DC66EA">
        <w:rPr>
          <w:b/>
        </w:rPr>
        <w:t xml:space="preserve"> General</w:t>
      </w:r>
      <w:r w:rsidR="002439B7">
        <w:rPr>
          <w:b/>
        </w:rPr>
        <w:t xml:space="preserve"> Application</w:t>
      </w:r>
    </w:p>
    <w:p w:rsidR="007050D0" w:rsidRDefault="007050D0" w:rsidP="00841329"/>
    <w:p w:rsidR="00841329" w:rsidRDefault="00AC2316" w:rsidP="00841329">
      <w:r>
        <w:t xml:space="preserve">1.  </w:t>
      </w:r>
      <w:r w:rsidR="00841329">
        <w:t>When does the technology fee apply?</w:t>
      </w:r>
    </w:p>
    <w:p w:rsidR="0091112F" w:rsidRDefault="0091112F" w:rsidP="00841329"/>
    <w:p w:rsidR="001B196C" w:rsidRDefault="0091112F" w:rsidP="00687245">
      <w:pPr>
        <w:ind w:left="720"/>
      </w:pPr>
      <w:r>
        <w:t xml:space="preserve">The $2 </w:t>
      </w:r>
      <w:r w:rsidR="00AC2316">
        <w:t>t</w:t>
      </w:r>
      <w:r>
        <w:t xml:space="preserve">echnology </w:t>
      </w:r>
      <w:r w:rsidR="00AC2316">
        <w:t>f</w:t>
      </w:r>
      <w:r>
        <w:t xml:space="preserve">ee applies whenever a fee is charged under Minn. Stat. § </w:t>
      </w:r>
      <w:hyperlink r:id="rId10" w:history="1">
        <w:r w:rsidRPr="00F325F3">
          <w:rPr>
            <w:rStyle w:val="Hyperlink"/>
          </w:rPr>
          <w:t>357.021</w:t>
        </w:r>
      </w:hyperlink>
      <w:r>
        <w:t xml:space="preserve"> subdivision 2, clauses (1) to (13). </w:t>
      </w:r>
      <w:r w:rsidR="003F4584">
        <w:t xml:space="preserve"> </w:t>
      </w:r>
      <w:r w:rsidR="00F75423">
        <w:t xml:space="preserve">(Click on the hyper link </w:t>
      </w:r>
      <w:r w:rsidR="008A59CA">
        <w:t>to see</w:t>
      </w:r>
      <w:r w:rsidR="00F75423">
        <w:t xml:space="preserve"> the fees</w:t>
      </w:r>
      <w:r w:rsidR="008A59CA">
        <w:t xml:space="preserve"> </w:t>
      </w:r>
      <w:r w:rsidR="00F75423">
        <w:t xml:space="preserve">in subdivision 2, clauses (1) to (13).)  </w:t>
      </w:r>
      <w:r w:rsidR="008A59CA">
        <w:t xml:space="preserve">  </w:t>
      </w:r>
    </w:p>
    <w:p w:rsidR="001B196C" w:rsidRDefault="001B196C" w:rsidP="00687245">
      <w:pPr>
        <w:ind w:left="720"/>
      </w:pPr>
    </w:p>
    <w:p w:rsidR="00687245" w:rsidRDefault="003F4584" w:rsidP="00687245">
      <w:pPr>
        <w:ind w:left="720"/>
      </w:pPr>
      <w:r>
        <w:t>For example, if you are a party filing your first paper in the case, the technology fee will apply when</w:t>
      </w:r>
      <w:r w:rsidR="008A59CA">
        <w:t xml:space="preserve"> you are required to pay</w:t>
      </w:r>
      <w:r>
        <w:t xml:space="preserve"> the filing fee under Minn. Stat.  § </w:t>
      </w:r>
      <w:r w:rsidRPr="00DC66EA">
        <w:t>357.021</w:t>
      </w:r>
      <w:r>
        <w:t xml:space="preserve"> subd.  2 </w:t>
      </w:r>
      <w:r w:rsidR="008A59CA">
        <w:t>(1)</w:t>
      </w:r>
      <w:r>
        <w:t>.</w:t>
      </w:r>
      <w:r w:rsidR="00AE3278">
        <w:t xml:space="preserve">  If you are a party requesting a writ of execution, the technology fee will apply when </w:t>
      </w:r>
      <w:r w:rsidR="001B196C">
        <w:t xml:space="preserve">you are required to pay </w:t>
      </w:r>
      <w:r w:rsidR="00AE3278">
        <w:t xml:space="preserve">the </w:t>
      </w:r>
      <w:r w:rsidR="00F325F3">
        <w:t xml:space="preserve">$55 writ fee </w:t>
      </w:r>
      <w:r w:rsidR="008A59CA">
        <w:t xml:space="preserve">under Minn. Stat.  § </w:t>
      </w:r>
      <w:r w:rsidR="008A59CA" w:rsidRPr="00DC66EA">
        <w:t>357.021</w:t>
      </w:r>
      <w:r w:rsidR="008A59CA">
        <w:t xml:space="preserve"> subd.  2 (5)</w:t>
      </w:r>
      <w:r w:rsidR="00F325F3">
        <w:t>.</w:t>
      </w:r>
      <w:r w:rsidR="00687245">
        <w:t xml:space="preserve">  </w:t>
      </w:r>
    </w:p>
    <w:p w:rsidR="008A59CA" w:rsidRDefault="008A59CA" w:rsidP="00687245">
      <w:pPr>
        <w:ind w:left="720"/>
      </w:pPr>
    </w:p>
    <w:p w:rsidR="00E86C93" w:rsidRDefault="001B196C" w:rsidP="00687245">
      <w:pPr>
        <w:ind w:left="720"/>
      </w:pPr>
      <w:r>
        <w:t xml:space="preserve">Note:  </w:t>
      </w:r>
      <w:r w:rsidR="008A59CA">
        <w:t xml:space="preserve">If a party </w:t>
      </w:r>
      <w:r>
        <w:t xml:space="preserve">is does not have to pay </w:t>
      </w:r>
      <w:r w:rsidR="008A59CA">
        <w:t xml:space="preserve">the fees in Minn. Stat. § </w:t>
      </w:r>
      <w:hyperlink r:id="rId11" w:history="1">
        <w:r w:rsidR="008A59CA" w:rsidRPr="00F325F3">
          <w:rPr>
            <w:rStyle w:val="Hyperlink"/>
          </w:rPr>
          <w:t>357.021</w:t>
        </w:r>
      </w:hyperlink>
      <w:r w:rsidR="008A59CA">
        <w:t xml:space="preserve"> subdivision 2, clauses (1) to (13)</w:t>
      </w:r>
      <w:r>
        <w:t>,</w:t>
      </w:r>
      <w:r w:rsidR="008A59CA">
        <w:t xml:space="preserve"> the party also </w:t>
      </w:r>
      <w:r>
        <w:t xml:space="preserve">does not have to pay </w:t>
      </w:r>
      <w:r w:rsidR="008A59CA">
        <w:t xml:space="preserve">the technology fee.  See the answers to Questions 3 and 4.  </w:t>
      </w:r>
    </w:p>
    <w:p w:rsidR="001B196C" w:rsidRDefault="001B196C" w:rsidP="00687245">
      <w:pPr>
        <w:ind w:left="720"/>
      </w:pPr>
    </w:p>
    <w:p w:rsidR="00E86C93" w:rsidRDefault="00E86C93" w:rsidP="00E86C93">
      <w:pPr>
        <w:ind w:left="720"/>
      </w:pPr>
      <w:r>
        <w:t xml:space="preserve">If you are not certain whether the technology fee applies, please ask.  See the answer to Question 7.  </w:t>
      </w:r>
    </w:p>
    <w:p w:rsidR="00E86C93" w:rsidRDefault="00E86C93" w:rsidP="00687245">
      <w:pPr>
        <w:ind w:left="720"/>
      </w:pPr>
    </w:p>
    <w:p w:rsidR="00F325F3" w:rsidRDefault="00A045BA" w:rsidP="00F325F3">
      <w:r>
        <w:t xml:space="preserve">2.  </w:t>
      </w:r>
      <w:r w:rsidR="00F325F3">
        <w:t>When does the technology fee go into effect?</w:t>
      </w:r>
    </w:p>
    <w:p w:rsidR="00F325F3" w:rsidRDefault="00F325F3" w:rsidP="00F325F3"/>
    <w:p w:rsidR="00F325F3" w:rsidRDefault="00F325F3" w:rsidP="00F325F3">
      <w:pPr>
        <w:ind w:left="720"/>
      </w:pPr>
      <w:r>
        <w:t xml:space="preserve">The $2 technology fee is effective on and after July 1, 2013, at 12:01 a.m.  </w:t>
      </w:r>
      <w:hyperlink r:id="rId12" w:history="1">
        <w:r w:rsidR="002439B7" w:rsidRPr="002439B7">
          <w:rPr>
            <w:rStyle w:val="Hyperlink"/>
          </w:rPr>
          <w:t>2013 Minn. Laws, Chap. 86, Article 3, section 6</w:t>
        </w:r>
      </w:hyperlink>
      <w:r w:rsidR="002439B7" w:rsidRPr="002439B7">
        <w:rPr>
          <w:rStyle w:val="Hyperlink"/>
        </w:rPr>
        <w:t xml:space="preserve">; </w:t>
      </w:r>
      <w:r w:rsidRPr="00F325F3">
        <w:t xml:space="preserve">Minn. Stat. § </w:t>
      </w:r>
      <w:hyperlink r:id="rId13" w:history="1">
        <w:r w:rsidRPr="00822DB2">
          <w:rPr>
            <w:rStyle w:val="Hyperlink"/>
          </w:rPr>
          <w:t>645.02</w:t>
        </w:r>
      </w:hyperlink>
      <w:r w:rsidR="00822DB2">
        <w:t>.</w:t>
      </w:r>
    </w:p>
    <w:p w:rsidR="00F325F3" w:rsidRDefault="00F325F3" w:rsidP="00AE3278"/>
    <w:p w:rsidR="00AE3278" w:rsidRDefault="00A045BA" w:rsidP="00AE3278">
      <w:r>
        <w:t xml:space="preserve">3.  </w:t>
      </w:r>
      <w:r w:rsidR="00AE3278">
        <w:t>Do I have to pay the technology fee if I</w:t>
      </w:r>
      <w:r>
        <w:t>’</w:t>
      </w:r>
      <w:r w:rsidR="00AE3278">
        <w:t xml:space="preserve">m </w:t>
      </w:r>
      <w:r w:rsidR="00AE3278" w:rsidRPr="00DC66EA">
        <w:rPr>
          <w:i/>
        </w:rPr>
        <w:t>in forma pauperis</w:t>
      </w:r>
      <w:r w:rsidR="00AE3278">
        <w:t>?</w:t>
      </w:r>
    </w:p>
    <w:p w:rsidR="00AE3278" w:rsidRDefault="00AE3278" w:rsidP="00AE3278"/>
    <w:p w:rsidR="00AE3278" w:rsidRPr="002C44A2" w:rsidRDefault="00AE3278" w:rsidP="00AE3278">
      <w:pPr>
        <w:ind w:left="720"/>
      </w:pPr>
      <w:r>
        <w:t xml:space="preserve">No.  If you have a current order to proceed </w:t>
      </w:r>
      <w:r w:rsidRPr="003F4584">
        <w:rPr>
          <w:i/>
        </w:rPr>
        <w:t>in forma pauperis</w:t>
      </w:r>
      <w:r>
        <w:t xml:space="preserve">, you </w:t>
      </w:r>
      <w:r w:rsidR="001B196C">
        <w:t xml:space="preserve">will not have to pay </w:t>
      </w:r>
      <w:r>
        <w:t xml:space="preserve">the technology fee in the case in which the order was granted.  The case </w:t>
      </w:r>
      <w:r w:rsidR="002C44A2">
        <w:t>in which the order w</w:t>
      </w:r>
      <w:r w:rsidR="001B196C">
        <w:t>a</w:t>
      </w:r>
      <w:r w:rsidR="002C44A2">
        <w:t>s</w:t>
      </w:r>
      <w:r w:rsidR="001B196C">
        <w:t xml:space="preserve"> granted </w:t>
      </w:r>
      <w:r>
        <w:t xml:space="preserve">must be active and the order must not </w:t>
      </w:r>
      <w:r w:rsidR="002C44A2">
        <w:t>be</w:t>
      </w:r>
      <w:r>
        <w:t xml:space="preserve"> expired.</w:t>
      </w:r>
      <w:r w:rsidR="002C44A2">
        <w:t xml:space="preserve">  </w:t>
      </w:r>
    </w:p>
    <w:p w:rsidR="00AE3278" w:rsidRDefault="00AE3278" w:rsidP="00841329"/>
    <w:p w:rsidR="002452E3" w:rsidRDefault="00A045BA" w:rsidP="00841329">
      <w:r>
        <w:t xml:space="preserve">4.  </w:t>
      </w:r>
      <w:r w:rsidR="00AE3278">
        <w:t>Do I have to pay the technology fee if I am exempt from paying fees because I am a public authority</w:t>
      </w:r>
    </w:p>
    <w:p w:rsidR="00AE3278" w:rsidRDefault="002452E3" w:rsidP="00841329">
      <w:r>
        <w:t xml:space="preserve">    </w:t>
      </w:r>
      <w:r w:rsidR="00AE3278">
        <w:t xml:space="preserve"> or a party the public authority represents in a case?</w:t>
      </w:r>
    </w:p>
    <w:p w:rsidR="00AE3278" w:rsidRDefault="00AE3278" w:rsidP="00841329"/>
    <w:p w:rsidR="00AE3278" w:rsidRDefault="00AE3278" w:rsidP="00AE3278">
      <w:pPr>
        <w:ind w:left="720"/>
      </w:pPr>
      <w:r>
        <w:t>If you are exempt from paying a fee under Minn. Stat. § 357.021, subd. 1a(c), you are exempt from paying the technology fee, too.  Minn. Stat. § 357.021, subd. 1a(c) states:</w:t>
      </w:r>
    </w:p>
    <w:p w:rsidR="00AE3278" w:rsidRDefault="00AE3278" w:rsidP="00AE3278">
      <w:pPr>
        <w:ind w:left="720"/>
      </w:pPr>
    </w:p>
    <w:p w:rsidR="00F325F3" w:rsidRDefault="00AE3278" w:rsidP="002452E3">
      <w:pPr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>(c) No fee is required under this section from the public authority or the party the public authority represents in an action for:</w:t>
      </w:r>
    </w:p>
    <w:p w:rsidR="00AE3278" w:rsidRPr="00AE3278" w:rsidRDefault="00AE3278" w:rsidP="002452E3">
      <w:pPr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lastRenderedPageBreak/>
        <w:t xml:space="preserve">(1) child support enforcement or modification, medical assistance enforcement, or establishment of parentage in the district court, or in a proceeding under section </w:t>
      </w:r>
      <w:hyperlink r:id="rId14" w:anchor="stat.484.702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484.702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; 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>(2) civil commitment under chapter 253B;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>(3) the appointment of a public conservator or public guardian or any other action under chapters 252A and 525;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(4) wrongfully obtaining public assistance under section </w:t>
      </w:r>
      <w:hyperlink r:id="rId15" w:anchor="stat.256.98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256.98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 or </w:t>
      </w:r>
      <w:hyperlink r:id="rId16" w:anchor="stat.256D.07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256D.07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or recovery of overpayments of public assistance; 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>(5) court relief under chapters 260, 260A, 260B, and 260C;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(6) forfeiture of property under sections </w:t>
      </w:r>
      <w:hyperlink r:id="rId17" w:anchor="stat.169A.63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169A.63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 and </w:t>
      </w:r>
      <w:hyperlink r:id="rId18" w:anchor="stat.609.531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609.531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 to </w:t>
      </w:r>
      <w:hyperlink r:id="rId19" w:anchor="stat.609.5317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609.5317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; 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(7) recovery of amounts issued by political subdivisions or public institutions under sections </w:t>
      </w:r>
      <w:hyperlink r:id="rId20" w:anchor="stat.246.52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246.52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1" w:anchor="stat.252.27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252.27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2" w:anchor="stat.256.045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256.045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3" w:anchor="stat.256.25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256.25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4" w:anchor="stat.256.87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256.87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5" w:anchor="stat.256B.042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256B.042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6" w:anchor="stat.256B.14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256B.14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7" w:anchor="stat.256B.15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256B.15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8" w:anchor="stat.256B.37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256B.37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</w:t>
      </w:r>
      <w:hyperlink r:id="rId29" w:anchor="stat.260B.331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260B.331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and </w:t>
      </w:r>
      <w:hyperlink r:id="rId30" w:anchor="stat.260C.331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260C.331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, or other sections referring to other forms of public assistance; 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(8) restitution under section </w:t>
      </w:r>
      <w:hyperlink r:id="rId31" w:anchor="stat.611A.04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611A.04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; or </w:t>
      </w:r>
    </w:p>
    <w:p w:rsidR="00AE3278" w:rsidRPr="00AE3278" w:rsidRDefault="00AE3278" w:rsidP="002452E3">
      <w:pPr>
        <w:spacing w:before="48"/>
        <w:ind w:left="720" w:firstLine="480"/>
        <w:rPr>
          <w:rFonts w:eastAsia="Times New Roman" w:cs="Times New Roman"/>
          <w:color w:val="333333"/>
          <w:sz w:val="20"/>
          <w:szCs w:val="20"/>
          <w:lang w:val="en"/>
        </w:rPr>
      </w:pPr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 xml:space="preserve">(9) actions seeking monetary relief in favor of the state pursuant to section </w:t>
      </w:r>
      <w:hyperlink r:id="rId32" w:anchor="stat.16D.14.5" w:history="1">
        <w:r w:rsidRPr="00AE3278">
          <w:rPr>
            <w:rFonts w:eastAsia="Times New Roman" w:cs="Times New Roman"/>
            <w:color w:val="811005"/>
            <w:sz w:val="20"/>
            <w:szCs w:val="20"/>
            <w:u w:val="single"/>
            <w:lang w:val="en"/>
          </w:rPr>
          <w:t>16D.14, subdivision 5</w:t>
        </w:r>
      </w:hyperlink>
      <w:r w:rsidRPr="00AE3278">
        <w:rPr>
          <w:rFonts w:eastAsia="Times New Roman" w:cs="Times New Roman"/>
          <w:color w:val="333333"/>
          <w:sz w:val="20"/>
          <w:szCs w:val="20"/>
          <w:lang w:val="en"/>
        </w:rPr>
        <w:t>.</w:t>
      </w:r>
    </w:p>
    <w:p w:rsidR="00AE3278" w:rsidRDefault="00AE3278" w:rsidP="002452E3">
      <w:pPr>
        <w:ind w:left="960"/>
      </w:pPr>
    </w:p>
    <w:p w:rsidR="00841329" w:rsidRDefault="00A045BA" w:rsidP="00841329">
      <w:r>
        <w:t xml:space="preserve">5.  </w:t>
      </w:r>
      <w:r w:rsidR="00841329">
        <w:t xml:space="preserve">Does the technology fee apply to all </w:t>
      </w:r>
      <w:r w:rsidR="00AC2316">
        <w:t xml:space="preserve">court </w:t>
      </w:r>
      <w:r w:rsidR="00841329">
        <w:t>fees charged?</w:t>
      </w:r>
    </w:p>
    <w:p w:rsidR="00AC2316" w:rsidRDefault="00AC2316" w:rsidP="00841329"/>
    <w:p w:rsidR="00A045BA" w:rsidRDefault="00AC2316" w:rsidP="00711E49">
      <w:pPr>
        <w:ind w:left="720"/>
      </w:pPr>
      <w:r>
        <w:t xml:space="preserve">No.  The technology fee only applies when a fee is charged under Minn. Stat. § </w:t>
      </w:r>
      <w:hyperlink r:id="rId33" w:history="1">
        <w:r w:rsidRPr="00F325F3">
          <w:rPr>
            <w:rStyle w:val="Hyperlink"/>
          </w:rPr>
          <w:t>357.021</w:t>
        </w:r>
      </w:hyperlink>
      <w:r>
        <w:t xml:space="preserve"> subd.  2, clauses (1) to (13).   </w:t>
      </w:r>
      <w:r w:rsidR="00A045BA">
        <w:t>The technology fee</w:t>
      </w:r>
      <w:r>
        <w:t xml:space="preserve"> does not apply to a fee charged under Minn. Stat. </w:t>
      </w:r>
      <w:r w:rsidR="00A045BA">
        <w:t xml:space="preserve">          </w:t>
      </w:r>
      <w:r>
        <w:t xml:space="preserve">§ </w:t>
      </w:r>
      <w:hyperlink r:id="rId34" w:history="1">
        <w:r w:rsidRPr="00F325F3">
          <w:rPr>
            <w:rStyle w:val="Hyperlink"/>
          </w:rPr>
          <w:t>357.021</w:t>
        </w:r>
      </w:hyperlink>
      <w:r>
        <w:t xml:space="preserve"> subd.  2, clause (1</w:t>
      </w:r>
      <w:r w:rsidR="00711E49">
        <w:t>4</w:t>
      </w:r>
      <w:r>
        <w:t>)</w:t>
      </w:r>
      <w:r w:rsidR="00711E49">
        <w:t xml:space="preserve"> or (15); or to fees charged under a different statute or</w:t>
      </w:r>
      <w:r w:rsidR="00A045BA">
        <w:t xml:space="preserve"> </w:t>
      </w:r>
      <w:r w:rsidR="00B91EDC">
        <w:t xml:space="preserve">court </w:t>
      </w:r>
      <w:r w:rsidR="00711E49">
        <w:t>rule.  For example, the technology fee does not apply when</w:t>
      </w:r>
      <w:r w:rsidR="00A045BA">
        <w:t>:</w:t>
      </w:r>
    </w:p>
    <w:p w:rsidR="00A045BA" w:rsidRDefault="00711E49" w:rsidP="00A045BA">
      <w:pPr>
        <w:pStyle w:val="ListParagraph"/>
        <w:numPr>
          <w:ilvl w:val="0"/>
          <w:numId w:val="4"/>
        </w:numPr>
      </w:pPr>
      <w:r>
        <w:t>the conciliation court filing fee in Minn. Stat. § 357.022 is charged</w:t>
      </w:r>
      <w:r w:rsidR="00A045BA">
        <w:t xml:space="preserve">; </w:t>
      </w:r>
    </w:p>
    <w:p w:rsidR="00A045BA" w:rsidRDefault="00711E49" w:rsidP="00A045BA">
      <w:pPr>
        <w:pStyle w:val="ListParagraph"/>
        <w:numPr>
          <w:ilvl w:val="0"/>
          <w:numId w:val="4"/>
        </w:numPr>
      </w:pPr>
      <w:r>
        <w:t xml:space="preserve">the facsimile transmission fee in </w:t>
      </w:r>
      <w:r w:rsidR="00A045BA">
        <w:t xml:space="preserve">Rule 5.05 of the </w:t>
      </w:r>
      <w:r>
        <w:t>Minnesota Rule</w:t>
      </w:r>
      <w:r w:rsidR="00A045BA">
        <w:t>s</w:t>
      </w:r>
      <w:r>
        <w:t xml:space="preserve"> of Civil Procedure </w:t>
      </w:r>
      <w:r w:rsidR="00967BED">
        <w:t xml:space="preserve">is </w:t>
      </w:r>
      <w:r>
        <w:t>to be paid</w:t>
      </w:r>
      <w:r w:rsidR="00A045BA">
        <w:t xml:space="preserve">; or </w:t>
      </w:r>
    </w:p>
    <w:p w:rsidR="00841329" w:rsidRDefault="00A045BA" w:rsidP="00A045BA">
      <w:pPr>
        <w:pStyle w:val="ListParagraph"/>
        <w:numPr>
          <w:ilvl w:val="0"/>
          <w:numId w:val="4"/>
        </w:numPr>
      </w:pPr>
      <w:r>
        <w:t>paying for a copy of a court form</w:t>
      </w:r>
      <w:r w:rsidR="00967BED">
        <w:t xml:space="preserve"> as that fee is charged under Minn. Stat. § 357.021, subd. 2(14)</w:t>
      </w:r>
      <w:r>
        <w:t>.</w:t>
      </w:r>
      <w:r w:rsidR="00711E49">
        <w:t xml:space="preserve"> </w:t>
      </w:r>
    </w:p>
    <w:p w:rsidR="00B91EDC" w:rsidRDefault="00967BED" w:rsidP="00967BED">
      <w:pPr>
        <w:ind w:left="720"/>
      </w:pPr>
      <w:r>
        <w:t>If you are not certain whether the technology fee applies, please ask.</w:t>
      </w:r>
      <w:r w:rsidR="00B91EDC">
        <w:t xml:space="preserve">  </w:t>
      </w:r>
      <w:r w:rsidR="002452E3">
        <w:t xml:space="preserve">See the answer to Question 7.  </w:t>
      </w:r>
    </w:p>
    <w:p w:rsidR="00B91EDC" w:rsidRDefault="00B91EDC" w:rsidP="00967BED">
      <w:pPr>
        <w:ind w:left="720"/>
      </w:pPr>
    </w:p>
    <w:p w:rsidR="00841329" w:rsidRDefault="00A045BA" w:rsidP="00841329">
      <w:r>
        <w:t xml:space="preserve">6.  </w:t>
      </w:r>
      <w:r w:rsidR="00841329">
        <w:t xml:space="preserve">If I’m paying multiple fees, do I need to </w:t>
      </w:r>
      <w:r w:rsidR="007C2E7F">
        <w:t>pay multiple</w:t>
      </w:r>
      <w:r w:rsidR="00841329">
        <w:t xml:space="preserve"> technology fee</w:t>
      </w:r>
      <w:r w:rsidR="007C2E7F">
        <w:t>s</w:t>
      </w:r>
      <w:r w:rsidR="00841329">
        <w:t xml:space="preserve">?  </w:t>
      </w:r>
    </w:p>
    <w:p w:rsidR="00841329" w:rsidRDefault="00841329" w:rsidP="00841329"/>
    <w:p w:rsidR="00822DB2" w:rsidRDefault="00711E49" w:rsidP="00711E49">
      <w:pPr>
        <w:autoSpaceDE w:val="0"/>
        <w:autoSpaceDN w:val="0"/>
        <w:ind w:left="720"/>
      </w:pPr>
      <w:r>
        <w:t xml:space="preserve">That depends on the fees being paid.  </w:t>
      </w:r>
      <w:r w:rsidR="00822DB2">
        <w:t xml:space="preserve">If multiple fees are </w:t>
      </w:r>
      <w:r w:rsidR="00F75423">
        <w:t>charged</w:t>
      </w:r>
      <w:r w:rsidR="00822DB2">
        <w:t xml:space="preserve"> at the same time, the technology fee will apply to each applicable fee </w:t>
      </w:r>
      <w:r w:rsidR="00F75423">
        <w:t>charge</w:t>
      </w:r>
      <w:r w:rsidR="00822DB2">
        <w:t xml:space="preserve">d.    </w:t>
      </w:r>
      <w:r w:rsidR="00A045BA">
        <w:t xml:space="preserve">See the answer to Question 5.  </w:t>
      </w:r>
      <w:r w:rsidR="00822DB2">
        <w:t>For example:</w:t>
      </w:r>
    </w:p>
    <w:p w:rsidR="00822DB2" w:rsidRDefault="00AC2316" w:rsidP="00711E49">
      <w:pPr>
        <w:pStyle w:val="ListParagraph"/>
        <w:numPr>
          <w:ilvl w:val="0"/>
          <w:numId w:val="2"/>
        </w:numPr>
        <w:autoSpaceDE w:val="0"/>
        <w:autoSpaceDN w:val="0"/>
        <w:ind w:left="1440"/>
      </w:pPr>
      <w:r>
        <w:t>If a party is charged both a civil filing fee and a jury fee</w:t>
      </w:r>
      <w:r w:rsidR="00822DB2">
        <w:t xml:space="preserve">, </w:t>
      </w:r>
      <w:r>
        <w:t>the $2 t</w:t>
      </w:r>
      <w:r w:rsidR="00822DB2">
        <w:t xml:space="preserve">echnology </w:t>
      </w:r>
      <w:r>
        <w:t>f</w:t>
      </w:r>
      <w:r w:rsidR="00822DB2">
        <w:t xml:space="preserve">ee </w:t>
      </w:r>
      <w:r>
        <w:t>will apply to both the filing fee and the jury fee</w:t>
      </w:r>
      <w:r w:rsidR="00F75423">
        <w:t xml:space="preserve"> because both fees are charged under Minn. Stat. § 357.021, subd. 2(1)</w:t>
      </w:r>
      <w:r>
        <w:t xml:space="preserve">.  </w:t>
      </w:r>
      <w:r w:rsidR="00822DB2">
        <w:t xml:space="preserve"> The party</w:t>
      </w:r>
      <w:r w:rsidR="00E86C93">
        <w:t xml:space="preserve"> in this situation</w:t>
      </w:r>
      <w:r w:rsidR="00822DB2">
        <w:t xml:space="preserve"> will be paying </w:t>
      </w:r>
      <w:r>
        <w:t xml:space="preserve">two </w:t>
      </w:r>
      <w:r w:rsidR="00822DB2">
        <w:t>technology fees</w:t>
      </w:r>
      <w:r w:rsidR="002439B7">
        <w:t xml:space="preserve"> – one for each fee charged</w:t>
      </w:r>
      <w:r w:rsidR="00822DB2">
        <w:t>.</w:t>
      </w:r>
    </w:p>
    <w:p w:rsidR="002439B7" w:rsidRDefault="002439B7" w:rsidP="00711E49">
      <w:pPr>
        <w:pStyle w:val="ListParagraph"/>
        <w:numPr>
          <w:ilvl w:val="0"/>
          <w:numId w:val="2"/>
        </w:numPr>
        <w:autoSpaceDE w:val="0"/>
        <w:autoSpaceDN w:val="0"/>
        <w:ind w:left="1440"/>
      </w:pPr>
      <w:r>
        <w:t>If a person requests copies of three documents f</w:t>
      </w:r>
      <w:r w:rsidR="00E86C93">
        <w:t>iled in</w:t>
      </w:r>
      <w:r>
        <w:t xml:space="preserve"> a court </w:t>
      </w:r>
      <w:r w:rsidR="00E86C93">
        <w:t>case</w:t>
      </w:r>
      <w:r>
        <w:t>, the $2 technology fee will apply to each copy fee charged</w:t>
      </w:r>
      <w:r w:rsidR="00F75423">
        <w:t xml:space="preserve"> because the copy fee </w:t>
      </w:r>
      <w:r w:rsidR="00E86C93">
        <w:t xml:space="preserve">for these documents </w:t>
      </w:r>
      <w:r w:rsidR="00F75423">
        <w:t>is charged under Minn. Stat. § 357.021, subd. 2(</w:t>
      </w:r>
      <w:r w:rsidR="00E86C93">
        <w:t>2)</w:t>
      </w:r>
      <w:r>
        <w:t>.  The person</w:t>
      </w:r>
      <w:r w:rsidR="00E86C93">
        <w:t xml:space="preserve"> in this situation</w:t>
      </w:r>
      <w:r>
        <w:t xml:space="preserve"> will be paying three technology fees – one for each copy fee charged.</w:t>
      </w:r>
    </w:p>
    <w:p w:rsidR="002452E3" w:rsidRDefault="00822DB2" w:rsidP="00711E49">
      <w:pPr>
        <w:pStyle w:val="ListParagraph"/>
        <w:numPr>
          <w:ilvl w:val="0"/>
          <w:numId w:val="2"/>
        </w:numPr>
        <w:autoSpaceDE w:val="0"/>
        <w:autoSpaceDN w:val="0"/>
        <w:ind w:left="1440"/>
      </w:pPr>
      <w:r>
        <w:t xml:space="preserve">If a party is </w:t>
      </w:r>
      <w:r w:rsidR="00AC2316">
        <w:t>charged the conciliation court filing fee and a copy fee</w:t>
      </w:r>
      <w:r w:rsidR="00E86C93">
        <w:t xml:space="preserve"> for a copy of document filed in a court case</w:t>
      </w:r>
      <w:r w:rsidR="00AC2316">
        <w:t xml:space="preserve">, </w:t>
      </w:r>
      <w:r>
        <w:t xml:space="preserve">the technology fee will not apply to the conciliation </w:t>
      </w:r>
      <w:r>
        <w:lastRenderedPageBreak/>
        <w:t xml:space="preserve">court filing fee </w:t>
      </w:r>
      <w:r w:rsidR="00E86C93">
        <w:t xml:space="preserve">because that fee is charged under Minn. Stat. § 357.022, </w:t>
      </w:r>
      <w:r>
        <w:t>but</w:t>
      </w:r>
      <w:r w:rsidR="00E86C93">
        <w:t xml:space="preserve"> it</w:t>
      </w:r>
      <w:r>
        <w:t xml:space="preserve"> will apply to the copy fee</w:t>
      </w:r>
      <w:r w:rsidR="00E86C93">
        <w:t xml:space="preserve"> because that fee is charged under Minn. Stat. § 357.021, subd. 2(2)</w:t>
      </w:r>
      <w:r>
        <w:t>.</w:t>
      </w:r>
      <w:r w:rsidR="00AC2316">
        <w:t xml:space="preserve">  The party </w:t>
      </w:r>
      <w:r w:rsidR="00E86C93">
        <w:t xml:space="preserve">in this situation </w:t>
      </w:r>
      <w:r w:rsidR="00AC2316">
        <w:t>will be paying one technology fee.</w:t>
      </w:r>
    </w:p>
    <w:p w:rsidR="00E86C93" w:rsidRDefault="00E86C93" w:rsidP="00E86C93">
      <w:pPr>
        <w:pStyle w:val="ListParagraph"/>
      </w:pPr>
    </w:p>
    <w:p w:rsidR="00E86C93" w:rsidRDefault="00E86C93" w:rsidP="00E86C93">
      <w:pPr>
        <w:pStyle w:val="ListParagraph"/>
      </w:pPr>
      <w:r>
        <w:t xml:space="preserve">If you are not certain whether the technology fee applies, please ask.  See the answer to Question 7.  </w:t>
      </w:r>
    </w:p>
    <w:p w:rsidR="002452E3" w:rsidRDefault="002452E3" w:rsidP="002452E3">
      <w:pPr>
        <w:autoSpaceDE w:val="0"/>
        <w:autoSpaceDN w:val="0"/>
      </w:pPr>
      <w:r>
        <w:t>7.  Who do I contact if I have questions about whether the technology fee applies?</w:t>
      </w:r>
    </w:p>
    <w:p w:rsidR="00822DB2" w:rsidRDefault="00AC2316" w:rsidP="002452E3">
      <w:pPr>
        <w:autoSpaceDE w:val="0"/>
        <w:autoSpaceDN w:val="0"/>
      </w:pPr>
      <w:r>
        <w:t xml:space="preserve">  </w:t>
      </w:r>
    </w:p>
    <w:p w:rsidR="002452E3" w:rsidRDefault="002452E3" w:rsidP="002452E3">
      <w:pPr>
        <w:ind w:left="720"/>
      </w:pPr>
      <w:r>
        <w:t>If you are using the eFile &amp; eServe Program contact the eFile Support Center:</w:t>
      </w:r>
    </w:p>
    <w:p w:rsidR="002452E3" w:rsidRDefault="002452E3" w:rsidP="002452E3">
      <w:pPr>
        <w:ind w:left="360"/>
      </w:pPr>
    </w:p>
    <w:p w:rsidR="002452E3" w:rsidRPr="002452E3" w:rsidRDefault="002452E3" w:rsidP="002452E3">
      <w:pPr>
        <w:ind w:left="1440"/>
        <w:rPr>
          <w:color w:val="000000"/>
        </w:rPr>
      </w:pPr>
      <w:r w:rsidRPr="002452E3">
        <w:rPr>
          <w:sz w:val="24"/>
          <w:szCs w:val="24"/>
        </w:rPr>
        <w:t>T</w:t>
      </w:r>
      <w:r w:rsidRPr="002452E3">
        <w:rPr>
          <w:color w:val="000000"/>
        </w:rPr>
        <w:t>he Minnesota eFile and eServe Support Team</w:t>
      </w:r>
    </w:p>
    <w:p w:rsidR="002452E3" w:rsidRPr="002452E3" w:rsidRDefault="002452E3" w:rsidP="002452E3">
      <w:pPr>
        <w:ind w:left="1440"/>
        <w:rPr>
          <w:color w:val="000000"/>
        </w:rPr>
      </w:pPr>
      <w:r w:rsidRPr="002452E3">
        <w:rPr>
          <w:color w:val="000000"/>
        </w:rPr>
        <w:t>Minnesota Judicial Branch</w:t>
      </w:r>
    </w:p>
    <w:p w:rsidR="002452E3" w:rsidRPr="002452E3" w:rsidRDefault="002452E3" w:rsidP="002452E3">
      <w:pPr>
        <w:ind w:left="1440"/>
        <w:rPr>
          <w:color w:val="000000"/>
        </w:rPr>
      </w:pPr>
      <w:r w:rsidRPr="002452E3">
        <w:rPr>
          <w:color w:val="000000"/>
        </w:rPr>
        <w:t>State Court Administration</w:t>
      </w:r>
    </w:p>
    <w:p w:rsidR="002452E3" w:rsidRPr="002452E3" w:rsidRDefault="002452E3" w:rsidP="002452E3">
      <w:pPr>
        <w:ind w:left="1440"/>
        <w:rPr>
          <w:color w:val="000000"/>
        </w:rPr>
      </w:pPr>
      <w:r w:rsidRPr="002452E3">
        <w:rPr>
          <w:color w:val="000000"/>
        </w:rPr>
        <w:t>25 Rev. Dr. Martin Luther King, Jr. Blvd.</w:t>
      </w:r>
    </w:p>
    <w:p w:rsidR="002452E3" w:rsidRDefault="002452E3" w:rsidP="002452E3">
      <w:pPr>
        <w:ind w:left="1440"/>
      </w:pPr>
      <w:r w:rsidRPr="002452E3">
        <w:rPr>
          <w:color w:val="000000"/>
        </w:rPr>
        <w:t>Saint Paul, MN  55155</w:t>
      </w:r>
    </w:p>
    <w:p w:rsidR="002452E3" w:rsidRDefault="002452E3" w:rsidP="002452E3">
      <w:pPr>
        <w:ind w:left="1440"/>
      </w:pPr>
    </w:p>
    <w:p w:rsidR="002452E3" w:rsidRPr="002452E3" w:rsidRDefault="002452E3" w:rsidP="002452E3">
      <w:pPr>
        <w:ind w:left="14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265AE5E" wp14:editId="61DF0864">
            <wp:extent cx="1876425" cy="447675"/>
            <wp:effectExtent l="0" t="0" r="9525" b="9525"/>
            <wp:docPr id="1" name="Picture 1" descr="cid:image001.jpg@01CE3B42.BCABF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3B42.BCABF770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E3" w:rsidRPr="002452E3" w:rsidRDefault="002452E3" w:rsidP="002452E3">
      <w:pPr>
        <w:pStyle w:val="ListParagraph"/>
        <w:ind w:left="1800"/>
        <w:rPr>
          <w:rFonts w:ascii="Calibri" w:hAnsi="Calibri" w:cs="MS PGothic"/>
          <w:i/>
          <w:iCs/>
          <w:color w:val="000000"/>
          <w:sz w:val="16"/>
          <w:szCs w:val="16"/>
        </w:rPr>
      </w:pPr>
      <w:r w:rsidRPr="002452E3">
        <w:rPr>
          <w:i/>
          <w:iCs/>
          <w:color w:val="000000"/>
          <w:sz w:val="16"/>
          <w:szCs w:val="16"/>
        </w:rPr>
        <w:t>● Business Hours:  Monday – Friday from 8:30 am – 4:30 pm (CST).  Closed state government holidays except Columbus Day.</w:t>
      </w:r>
    </w:p>
    <w:p w:rsidR="002452E3" w:rsidRPr="002452E3" w:rsidRDefault="002452E3" w:rsidP="002452E3">
      <w:pPr>
        <w:pStyle w:val="ListParagraph"/>
        <w:ind w:left="1800"/>
        <w:rPr>
          <w:i/>
          <w:iCs/>
          <w:color w:val="000000"/>
          <w:sz w:val="16"/>
          <w:szCs w:val="16"/>
        </w:rPr>
      </w:pPr>
      <w:r w:rsidRPr="002452E3">
        <w:rPr>
          <w:i/>
          <w:iCs/>
          <w:color w:val="000000"/>
          <w:sz w:val="16"/>
          <w:szCs w:val="16"/>
        </w:rPr>
        <w:t xml:space="preserve">● Email via mncourts.gov website: </w:t>
      </w:r>
      <w:hyperlink r:id="rId37" w:history="1">
        <w:r w:rsidRPr="002452E3">
          <w:rPr>
            <w:rStyle w:val="Hyperlink"/>
            <w:i/>
            <w:iCs/>
            <w:sz w:val="16"/>
            <w:szCs w:val="16"/>
          </w:rPr>
          <w:t>http://www.mncourts.gov/?page=4696</w:t>
        </w:r>
      </w:hyperlink>
    </w:p>
    <w:p w:rsidR="002452E3" w:rsidRPr="002452E3" w:rsidRDefault="002452E3" w:rsidP="002452E3">
      <w:pPr>
        <w:pStyle w:val="ListParagraph"/>
        <w:ind w:left="1800"/>
        <w:rPr>
          <w:i/>
          <w:iCs/>
          <w:color w:val="000000"/>
          <w:sz w:val="16"/>
          <w:szCs w:val="16"/>
        </w:rPr>
      </w:pPr>
      <w:r w:rsidRPr="002452E3">
        <w:rPr>
          <w:i/>
          <w:iCs/>
          <w:color w:val="000000"/>
          <w:sz w:val="16"/>
          <w:szCs w:val="16"/>
        </w:rPr>
        <w:t>● Phone:  651-227-2002 (if calling from 612, 651, 763, or 952) or 855-291-8246 (if calling from all other area codes)</w:t>
      </w:r>
    </w:p>
    <w:p w:rsidR="002452E3" w:rsidRDefault="002452E3" w:rsidP="002452E3">
      <w:pPr>
        <w:ind w:left="1080"/>
      </w:pPr>
    </w:p>
    <w:p w:rsidR="002452E3" w:rsidRDefault="002452E3" w:rsidP="002452E3">
      <w:pPr>
        <w:ind w:left="720"/>
      </w:pPr>
      <w:r>
        <w:t xml:space="preserve">If you not filing or making a request using the eFile &amp; eServe Program, </w:t>
      </w:r>
      <w:r w:rsidRPr="0084723E">
        <w:t>contact the court administrator’s office in the county in</w:t>
      </w:r>
      <w:r>
        <w:t xml:space="preserve"> which you are filing a document or requesting a copy.</w:t>
      </w:r>
    </w:p>
    <w:p w:rsidR="002452E3" w:rsidRDefault="002452E3" w:rsidP="002452E3">
      <w:pPr>
        <w:ind w:left="720"/>
      </w:pPr>
    </w:p>
    <w:p w:rsidR="002452E3" w:rsidRDefault="002452E3" w:rsidP="002452E3">
      <w:pPr>
        <w:autoSpaceDE w:val="0"/>
        <w:autoSpaceDN w:val="0"/>
      </w:pPr>
    </w:p>
    <w:p w:rsidR="007050D0" w:rsidRDefault="007050D0" w:rsidP="00841329">
      <w:r>
        <w:rPr>
          <w:b/>
          <w:color w:val="000000"/>
          <w:sz w:val="24"/>
          <w:szCs w:val="24"/>
        </w:rPr>
        <w:t xml:space="preserve">FAQs </w:t>
      </w:r>
      <w:r w:rsidR="00DC66EA">
        <w:rPr>
          <w:b/>
          <w:color w:val="000000"/>
          <w:sz w:val="24"/>
          <w:szCs w:val="24"/>
        </w:rPr>
        <w:t xml:space="preserve">-- </w:t>
      </w:r>
      <w:r>
        <w:rPr>
          <w:b/>
          <w:color w:val="000000"/>
          <w:sz w:val="24"/>
          <w:szCs w:val="24"/>
        </w:rPr>
        <w:t xml:space="preserve">Specific to </w:t>
      </w:r>
      <w:r w:rsidRPr="0046095B">
        <w:rPr>
          <w:b/>
          <w:color w:val="000000"/>
          <w:sz w:val="24"/>
          <w:szCs w:val="24"/>
        </w:rPr>
        <w:t>MN eFile and eServe Program</w:t>
      </w:r>
      <w:r>
        <w:rPr>
          <w:b/>
          <w:color w:val="000000"/>
          <w:sz w:val="24"/>
          <w:szCs w:val="24"/>
        </w:rPr>
        <w:t>:</w:t>
      </w:r>
    </w:p>
    <w:p w:rsidR="007050D0" w:rsidRDefault="007050D0" w:rsidP="00841329"/>
    <w:p w:rsidR="003478AF" w:rsidRDefault="003478AF" w:rsidP="003478AF">
      <w:pPr>
        <w:ind w:left="720"/>
      </w:pPr>
      <w:r>
        <w:rPr>
          <w:rStyle w:val="Strong"/>
          <w:rFonts w:ascii="Verdana" w:hAnsi="Verdana"/>
          <w:sz w:val="17"/>
          <w:szCs w:val="17"/>
        </w:rPr>
        <w:t>District Courts Currently Offering eFiling and eService:  Cass. Clay, Cook, Dakota, Faribault, Hennepin, Kandiyohi, Lake, Morrison, Ramsey and Washington.</w:t>
      </w:r>
    </w:p>
    <w:p w:rsidR="003478AF" w:rsidRDefault="003478AF" w:rsidP="00841329"/>
    <w:p w:rsidR="007050D0" w:rsidRPr="00CC71B9" w:rsidRDefault="002452E3" w:rsidP="007C2E7F">
      <w:r>
        <w:t>8</w:t>
      </w:r>
      <w:r w:rsidR="007C2E7F">
        <w:t xml:space="preserve">.  </w:t>
      </w:r>
      <w:r w:rsidR="007050D0">
        <w:t>Is the $2.00 tech</w:t>
      </w:r>
      <w:r w:rsidR="007C2E7F">
        <w:t>nology</w:t>
      </w:r>
      <w:r w:rsidR="007050D0">
        <w:t xml:space="preserve"> fee a flat fee applied to each envelope in eFile &amp; eServe?</w:t>
      </w:r>
      <w:r w:rsidR="007050D0">
        <w:rPr>
          <w:color w:val="1F497D"/>
        </w:rPr>
        <w:t> </w:t>
      </w:r>
    </w:p>
    <w:p w:rsidR="007C2E7F" w:rsidRDefault="007C2E7F" w:rsidP="00872EC6">
      <w:pPr>
        <w:pStyle w:val="ListParagraph"/>
        <w:rPr>
          <w:color w:val="1F497D"/>
        </w:rPr>
      </w:pPr>
    </w:p>
    <w:p w:rsidR="007050D0" w:rsidRPr="007C2E7F" w:rsidRDefault="007050D0" w:rsidP="00872EC6">
      <w:pPr>
        <w:pStyle w:val="ListParagraph"/>
      </w:pPr>
      <w:r w:rsidRPr="007C2E7F">
        <w:t xml:space="preserve">No.  The $2.00 </w:t>
      </w:r>
      <w:r w:rsidR="007C2E7F">
        <w:t xml:space="preserve">technology </w:t>
      </w:r>
      <w:r w:rsidRPr="007C2E7F">
        <w:t>fee is applied to each applicable fee collected within an envelope.</w:t>
      </w:r>
      <w:r w:rsidR="00B91EDC">
        <w:t xml:space="preserve">  See the answer to Questions 1</w:t>
      </w:r>
      <w:r w:rsidR="002452E3">
        <w:t xml:space="preserve"> </w:t>
      </w:r>
      <w:r w:rsidR="00B91EDC">
        <w:t>and 6.</w:t>
      </w:r>
    </w:p>
    <w:p w:rsidR="00B91EDC" w:rsidRDefault="002452E3" w:rsidP="00B91EDC">
      <w:r>
        <w:t>9</w:t>
      </w:r>
      <w:r w:rsidR="00B91EDC">
        <w:t>.  Will the technology fee be itemized on the eFile screen?</w:t>
      </w:r>
    </w:p>
    <w:p w:rsidR="009F394B" w:rsidRDefault="009F394B" w:rsidP="00B91EDC"/>
    <w:p w:rsidR="00B91EDC" w:rsidRDefault="00B91EDC" w:rsidP="00B91EDC">
      <w:pPr>
        <w:ind w:left="720"/>
      </w:pPr>
      <w:r>
        <w:t xml:space="preserve">The $2.00 technology fee will be incorporated into the actual fee to which it applies.  You will not see the fee listed separately on the screen.    </w:t>
      </w:r>
      <w:r w:rsidRPr="00CC71B9">
        <w:t>For example</w:t>
      </w:r>
      <w:r>
        <w:t xml:space="preserve">, </w:t>
      </w:r>
      <w:r w:rsidRPr="00CC71B9">
        <w:t>a filing fee prior to July 1</w:t>
      </w:r>
      <w:r>
        <w:t xml:space="preserve"> will display a fee</w:t>
      </w:r>
      <w:r w:rsidRPr="00CC71B9">
        <w:t xml:space="preserve"> amount of $320</w:t>
      </w:r>
      <w:r>
        <w:t xml:space="preserve">.00, After </w:t>
      </w:r>
      <w:r w:rsidRPr="00CC71B9">
        <w:t>July 1</w:t>
      </w:r>
      <w:r>
        <w:t>, the fee amount will be</w:t>
      </w:r>
      <w:r w:rsidRPr="00CC71B9">
        <w:t xml:space="preserve"> $322</w:t>
      </w:r>
      <w:r>
        <w:t>.00</w:t>
      </w:r>
      <w:r w:rsidRPr="00CC71B9">
        <w:t>. </w:t>
      </w:r>
    </w:p>
    <w:p w:rsidR="00092791" w:rsidRDefault="00092791" w:rsidP="00B91EDC">
      <w:pPr>
        <w:ind w:left="720"/>
      </w:pPr>
    </w:p>
    <w:p w:rsidR="007050D0" w:rsidRDefault="002452E3" w:rsidP="00B91EDC">
      <w:r>
        <w:t>10</w:t>
      </w:r>
      <w:r w:rsidR="00B91EDC">
        <w:t xml:space="preserve">.  </w:t>
      </w:r>
      <w:r w:rsidR="007050D0">
        <w:t>When will I be charged the $2.00 technology fee?</w:t>
      </w:r>
    </w:p>
    <w:p w:rsidR="00B91EDC" w:rsidRDefault="00B91EDC" w:rsidP="00B91EDC"/>
    <w:p w:rsidR="007050D0" w:rsidRDefault="00B91EDC" w:rsidP="00872EC6">
      <w:pPr>
        <w:ind w:left="720"/>
      </w:pPr>
      <w:r>
        <w:t xml:space="preserve">The technology fee will be added when you select an applicable fee.  See the answer to Question </w:t>
      </w:r>
      <w:r w:rsidR="00C01ED0">
        <w:t>9</w:t>
      </w:r>
      <w:r>
        <w:t>.   The fee will be charged to your credit card w</w:t>
      </w:r>
      <w:r w:rsidR="007050D0">
        <w:t xml:space="preserve">hen the </w:t>
      </w:r>
      <w:r>
        <w:t>e-filing</w:t>
      </w:r>
      <w:r w:rsidR="007050D0">
        <w:t xml:space="preserve"> has been accepted</w:t>
      </w:r>
      <w:r>
        <w:t xml:space="preserve"> by court administration, just as is done with other fees</w:t>
      </w:r>
      <w:r w:rsidR="007050D0">
        <w:t>.</w:t>
      </w:r>
    </w:p>
    <w:p w:rsidR="00872EC6" w:rsidRDefault="00872EC6" w:rsidP="00872EC6">
      <w:pPr>
        <w:ind w:left="360"/>
      </w:pPr>
    </w:p>
    <w:p w:rsidR="00872EC6" w:rsidRDefault="009F394B" w:rsidP="009F394B">
      <w:r>
        <w:t>1</w:t>
      </w:r>
      <w:r w:rsidR="002452E3">
        <w:t>1</w:t>
      </w:r>
      <w:r w:rsidR="00B91EDC">
        <w:t xml:space="preserve">.  </w:t>
      </w:r>
      <w:r w:rsidR="00C01ED0">
        <w:t>I</w:t>
      </w:r>
      <w:r w:rsidR="00872EC6">
        <w:t>s there any difference in filing on paper instead of using</w:t>
      </w:r>
      <w:r>
        <w:t xml:space="preserve"> </w:t>
      </w:r>
      <w:r w:rsidR="00872EC6">
        <w:t xml:space="preserve">the eFile &amp; eServe system?  </w:t>
      </w:r>
    </w:p>
    <w:p w:rsidR="00B91EDC" w:rsidRDefault="00B91EDC" w:rsidP="00B91EDC">
      <w:pPr>
        <w:pStyle w:val="ListParagraph"/>
        <w:spacing w:after="0" w:line="240" w:lineRule="auto"/>
        <w:ind w:left="360"/>
        <w:contextualSpacing w:val="0"/>
      </w:pPr>
    </w:p>
    <w:p w:rsidR="00872EC6" w:rsidRDefault="00872EC6" w:rsidP="009F394B">
      <w:pPr>
        <w:ind w:left="720"/>
      </w:pPr>
      <w:r>
        <w:t xml:space="preserve">No, the </w:t>
      </w:r>
      <w:r w:rsidR="009F394B">
        <w:t xml:space="preserve">technology </w:t>
      </w:r>
      <w:r>
        <w:t xml:space="preserve">fee will </w:t>
      </w:r>
      <w:r w:rsidR="00092791">
        <w:t xml:space="preserve">apply regardless of the </w:t>
      </w:r>
      <w:r>
        <w:t>method of filing.</w:t>
      </w:r>
    </w:p>
    <w:p w:rsidR="00872EC6" w:rsidRDefault="00872EC6" w:rsidP="00872EC6">
      <w:pPr>
        <w:pStyle w:val="ListParagraph"/>
        <w:spacing w:after="0" w:line="240" w:lineRule="auto"/>
        <w:ind w:left="1080"/>
        <w:contextualSpacing w:val="0"/>
      </w:pPr>
    </w:p>
    <w:p w:rsidR="007050D0" w:rsidRPr="00285040" w:rsidRDefault="007050D0" w:rsidP="002452E3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Will the $2.00 technology fee be charged to documents filed on paper in the pilot counties?  </w:t>
      </w:r>
      <w:r w:rsidRPr="009F394B">
        <w:t xml:space="preserve">  </w:t>
      </w:r>
    </w:p>
    <w:p w:rsidR="009F394B" w:rsidRDefault="009F394B" w:rsidP="009F394B">
      <w:pPr>
        <w:pStyle w:val="ListParagraph"/>
        <w:spacing w:after="0" w:line="240" w:lineRule="auto"/>
        <w:ind w:left="360"/>
        <w:contextualSpacing w:val="0"/>
      </w:pPr>
    </w:p>
    <w:p w:rsidR="007050D0" w:rsidRDefault="007050D0" w:rsidP="009F394B">
      <w:pPr>
        <w:pStyle w:val="ListParagraph"/>
        <w:spacing w:after="0" w:line="240" w:lineRule="auto"/>
        <w:contextualSpacing w:val="0"/>
      </w:pPr>
      <w:r w:rsidRPr="00285040">
        <w:t xml:space="preserve">Yes, the technology fee </w:t>
      </w:r>
      <w:r w:rsidR="009F394B">
        <w:t>will be</w:t>
      </w:r>
      <w:r w:rsidRPr="00285040">
        <w:t xml:space="preserve"> </w:t>
      </w:r>
      <w:r w:rsidR="009F394B">
        <w:t>charged</w:t>
      </w:r>
      <w:r w:rsidR="00092791">
        <w:t xml:space="preserve"> on </w:t>
      </w:r>
      <w:r w:rsidR="00092791" w:rsidRPr="00285040">
        <w:t>all applicable fees</w:t>
      </w:r>
      <w:r w:rsidR="00092791">
        <w:t xml:space="preserve"> in the pilot counties</w:t>
      </w:r>
      <w:r w:rsidR="009F394B">
        <w:t xml:space="preserve"> </w:t>
      </w:r>
      <w:r w:rsidR="00C01ED0">
        <w:t xml:space="preserve">when a </w:t>
      </w:r>
      <w:r w:rsidR="00092791">
        <w:t xml:space="preserve"> document is filed on paper.  The technology fee will apply </w:t>
      </w:r>
      <w:r w:rsidRPr="00285040">
        <w:t>regardless of the method of</w:t>
      </w:r>
      <w:r>
        <w:t xml:space="preserve"> filing.</w:t>
      </w:r>
    </w:p>
    <w:p w:rsidR="009F394B" w:rsidRDefault="009F394B" w:rsidP="009F394B">
      <w:pPr>
        <w:pStyle w:val="ListParagraph"/>
        <w:spacing w:after="0" w:line="240" w:lineRule="auto"/>
        <w:contextualSpacing w:val="0"/>
      </w:pPr>
    </w:p>
    <w:p w:rsidR="009F394B" w:rsidRPr="009F394B" w:rsidRDefault="009F394B" w:rsidP="009F394B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Can an e-filer avoid the $2.00 technology fee by ordering a copy of a court document at the counter instead of ordering in the eFile &amp; eServe System?</w:t>
      </w:r>
      <w:r>
        <w:rPr>
          <w:color w:val="1F497D"/>
        </w:rPr>
        <w:t xml:space="preserve">  </w:t>
      </w:r>
    </w:p>
    <w:p w:rsidR="009F394B" w:rsidRPr="00C312EF" w:rsidRDefault="009F394B" w:rsidP="009F394B">
      <w:pPr>
        <w:pStyle w:val="ListParagraph"/>
        <w:spacing w:after="0" w:line="240" w:lineRule="auto"/>
        <w:ind w:left="360"/>
        <w:contextualSpacing w:val="0"/>
      </w:pPr>
    </w:p>
    <w:p w:rsidR="009F394B" w:rsidRDefault="009F394B" w:rsidP="009F394B">
      <w:pPr>
        <w:pStyle w:val="ListParagraph"/>
        <w:spacing w:after="0" w:line="240" w:lineRule="auto"/>
        <w:contextualSpacing w:val="0"/>
      </w:pPr>
      <w:r w:rsidRPr="00B16407">
        <w:t>No</w:t>
      </w:r>
      <w:r>
        <w:t xml:space="preserve">.  The </w:t>
      </w:r>
      <w:r w:rsidRPr="00B16407">
        <w:t xml:space="preserve">$2 technology fee </w:t>
      </w:r>
      <w:r>
        <w:t xml:space="preserve">applies when a copy fee is charged under Minn. Stat. § 357.021, subd. 2(2).  The technology fee will apply </w:t>
      </w:r>
      <w:r w:rsidR="00092791">
        <w:t xml:space="preserve">regardless of </w:t>
      </w:r>
      <w:r>
        <w:t xml:space="preserve">whether a person requests a copy of a court document at the counter in a court administrator’s office or orders a copy through the </w:t>
      </w:r>
      <w:r w:rsidRPr="00B16407">
        <w:t>eFile &amp; eServe</w:t>
      </w:r>
      <w:r>
        <w:t xml:space="preserve"> System</w:t>
      </w:r>
      <w:r w:rsidRPr="00B16407">
        <w:t>.    </w:t>
      </w:r>
    </w:p>
    <w:p w:rsidR="007050D0" w:rsidRDefault="007050D0" w:rsidP="009F394B">
      <w:pPr>
        <w:pStyle w:val="ListParagraph"/>
        <w:spacing w:after="0" w:line="240" w:lineRule="auto"/>
        <w:ind w:left="360"/>
        <w:contextualSpacing w:val="0"/>
      </w:pPr>
    </w:p>
    <w:p w:rsidR="007050D0" w:rsidRDefault="007050D0" w:rsidP="007050D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Will I be charged the $2.00 technology fee if I select ‘Service Only’ functionality within the eFile &amp; eServe System?  </w:t>
      </w:r>
    </w:p>
    <w:p w:rsidR="002452E3" w:rsidRDefault="002452E3" w:rsidP="002452E3">
      <w:pPr>
        <w:pStyle w:val="ListParagraph"/>
        <w:spacing w:after="0" w:line="240" w:lineRule="auto"/>
        <w:ind w:left="360"/>
        <w:contextualSpacing w:val="0"/>
      </w:pPr>
    </w:p>
    <w:p w:rsidR="002452E3" w:rsidRDefault="002452E3" w:rsidP="00C01ED0">
      <w:pPr>
        <w:pStyle w:val="ListParagraph"/>
        <w:spacing w:after="0" w:line="240" w:lineRule="auto"/>
        <w:contextualSpacing w:val="0"/>
      </w:pPr>
      <w:r>
        <w:t xml:space="preserve">No.  As no </w:t>
      </w:r>
      <w:r w:rsidRPr="00B65252">
        <w:t>fees</w:t>
      </w:r>
      <w:r>
        <w:t xml:space="preserve"> charged under Minn. Stat. § </w:t>
      </w:r>
      <w:hyperlink r:id="rId38" w:history="1">
        <w:r w:rsidRPr="00F325F3">
          <w:rPr>
            <w:rStyle w:val="Hyperlink"/>
          </w:rPr>
          <w:t>357.021</w:t>
        </w:r>
      </w:hyperlink>
      <w:r>
        <w:t xml:space="preserve"> subd.  2, clauses (1) to (13)</w:t>
      </w:r>
      <w:r w:rsidRPr="00B65252">
        <w:t xml:space="preserve"> </w:t>
      </w:r>
      <w:r>
        <w:t xml:space="preserve">will be </w:t>
      </w:r>
      <w:r w:rsidRPr="00B65252">
        <w:t>selected when choosing ‘Service Only’, you will not be charged the technology fee.</w:t>
      </w:r>
      <w:r>
        <w:t xml:space="preserve">   The technology fee does not apply to the convenience fee in Minn. Stat. § </w:t>
      </w:r>
      <w:r w:rsidRPr="00092791">
        <w:t>480.237</w:t>
      </w:r>
      <w:r>
        <w:t xml:space="preserve">.  </w:t>
      </w:r>
    </w:p>
    <w:sectPr w:rsidR="002452E3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85" w:rsidRDefault="00533E85" w:rsidP="00C01ED0">
      <w:r>
        <w:separator/>
      </w:r>
    </w:p>
  </w:endnote>
  <w:endnote w:type="continuationSeparator" w:id="0">
    <w:p w:rsidR="00533E85" w:rsidRDefault="00533E85" w:rsidP="00C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0" w:rsidRDefault="00C01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0" w:rsidRDefault="00C01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0" w:rsidRDefault="00C01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85" w:rsidRDefault="00533E85" w:rsidP="00C01ED0">
      <w:r>
        <w:separator/>
      </w:r>
    </w:p>
  </w:footnote>
  <w:footnote w:type="continuationSeparator" w:id="0">
    <w:p w:rsidR="00533E85" w:rsidRDefault="00533E85" w:rsidP="00C0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0" w:rsidRDefault="00C01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0" w:rsidRDefault="00C01E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0" w:rsidRDefault="00C01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B2E"/>
    <w:multiLevelType w:val="hybridMultilevel"/>
    <w:tmpl w:val="4E2C4DDE"/>
    <w:lvl w:ilvl="0" w:tplc="F74E06E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C52D3"/>
    <w:multiLevelType w:val="hybridMultilevel"/>
    <w:tmpl w:val="7264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045F8"/>
    <w:multiLevelType w:val="hybridMultilevel"/>
    <w:tmpl w:val="1C5E82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29"/>
    <w:rsid w:val="00092791"/>
    <w:rsid w:val="001B196C"/>
    <w:rsid w:val="002439B7"/>
    <w:rsid w:val="002452E3"/>
    <w:rsid w:val="002C44A2"/>
    <w:rsid w:val="003478AF"/>
    <w:rsid w:val="003F4584"/>
    <w:rsid w:val="00533E85"/>
    <w:rsid w:val="00687245"/>
    <w:rsid w:val="007050D0"/>
    <w:rsid w:val="00711E49"/>
    <w:rsid w:val="007C2E7F"/>
    <w:rsid w:val="00822DB2"/>
    <w:rsid w:val="00841329"/>
    <w:rsid w:val="0084723E"/>
    <w:rsid w:val="00872EC6"/>
    <w:rsid w:val="008A59CA"/>
    <w:rsid w:val="0091112F"/>
    <w:rsid w:val="00967BED"/>
    <w:rsid w:val="009F394B"/>
    <w:rsid w:val="00A045BA"/>
    <w:rsid w:val="00A332C6"/>
    <w:rsid w:val="00A90C8C"/>
    <w:rsid w:val="00AC2316"/>
    <w:rsid w:val="00AE3278"/>
    <w:rsid w:val="00B91EDC"/>
    <w:rsid w:val="00C01ED0"/>
    <w:rsid w:val="00DB6EB5"/>
    <w:rsid w:val="00DC66EA"/>
    <w:rsid w:val="00E86C93"/>
    <w:rsid w:val="00F325F3"/>
    <w:rsid w:val="00F75423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D0"/>
  </w:style>
  <w:style w:type="paragraph" w:styleId="Footer">
    <w:name w:val="footer"/>
    <w:basedOn w:val="Normal"/>
    <w:link w:val="FooterChar"/>
    <w:uiPriority w:val="99"/>
    <w:unhideWhenUsed/>
    <w:rsid w:val="00C0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D0"/>
  </w:style>
  <w:style w:type="character" w:styleId="Strong">
    <w:name w:val="Strong"/>
    <w:basedOn w:val="DefaultParagraphFont"/>
    <w:uiPriority w:val="22"/>
    <w:qFormat/>
    <w:rsid w:val="00347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0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D0"/>
  </w:style>
  <w:style w:type="paragraph" w:styleId="Footer">
    <w:name w:val="footer"/>
    <w:basedOn w:val="Normal"/>
    <w:link w:val="FooterChar"/>
    <w:uiPriority w:val="99"/>
    <w:unhideWhenUsed/>
    <w:rsid w:val="00C01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D0"/>
  </w:style>
  <w:style w:type="character" w:styleId="Strong">
    <w:name w:val="Strong"/>
    <w:basedOn w:val="DefaultParagraphFont"/>
    <w:uiPriority w:val="22"/>
    <w:qFormat/>
    <w:rsid w:val="00347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8031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visor.leg.state.mn.us/statutes/?id=645.02" TargetMode="External"/><Relationship Id="rId18" Type="http://schemas.openxmlformats.org/officeDocument/2006/relationships/hyperlink" Target="https://www.revisor.leg.state.mn.us/statutes?id=609.531" TargetMode="External"/><Relationship Id="rId26" Type="http://schemas.openxmlformats.org/officeDocument/2006/relationships/hyperlink" Target="https://www.revisor.leg.state.mn.us/statutes?id=256B.14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revisor.leg.state.mn.us/statutes?id=252.27" TargetMode="External"/><Relationship Id="rId34" Type="http://schemas.openxmlformats.org/officeDocument/2006/relationships/hyperlink" Target="https://www.revisor.leg.state.mn.us/statutes/?id=357.021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revisor.mn.gov/laws/?id=86&amp;doctype=Chapter&amp;year=2013&amp;type=0" TargetMode="External"/><Relationship Id="rId17" Type="http://schemas.openxmlformats.org/officeDocument/2006/relationships/hyperlink" Target="https://www.revisor.leg.state.mn.us/statutes?id=169A.63" TargetMode="External"/><Relationship Id="rId25" Type="http://schemas.openxmlformats.org/officeDocument/2006/relationships/hyperlink" Target="https://www.revisor.leg.state.mn.us/statutes?id=256B.042" TargetMode="External"/><Relationship Id="rId33" Type="http://schemas.openxmlformats.org/officeDocument/2006/relationships/hyperlink" Target="https://www.revisor.leg.state.mn.us/statutes/?id=357.021" TargetMode="External"/><Relationship Id="rId38" Type="http://schemas.openxmlformats.org/officeDocument/2006/relationships/hyperlink" Target="https://www.revisor.leg.state.mn.us/statutes/?id=357.02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visor.leg.state.mn.us/statutes?id=256D.07" TargetMode="External"/><Relationship Id="rId20" Type="http://schemas.openxmlformats.org/officeDocument/2006/relationships/hyperlink" Target="https://www.revisor.leg.state.mn.us/statutes?id=246.52" TargetMode="External"/><Relationship Id="rId29" Type="http://schemas.openxmlformats.org/officeDocument/2006/relationships/hyperlink" Target="https://www.revisor.leg.state.mn.us/statutes?id=260B.33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visor.leg.state.mn.us/statutes/?id=357.021" TargetMode="External"/><Relationship Id="rId24" Type="http://schemas.openxmlformats.org/officeDocument/2006/relationships/hyperlink" Target="https://www.revisor.leg.state.mn.us/statutes?id=256.87" TargetMode="External"/><Relationship Id="rId32" Type="http://schemas.openxmlformats.org/officeDocument/2006/relationships/hyperlink" Target="https://www.revisor.leg.state.mn.us/statutes?id=16D.14" TargetMode="External"/><Relationship Id="rId37" Type="http://schemas.openxmlformats.org/officeDocument/2006/relationships/hyperlink" Target="http://www.mncourts.gov/?page=4696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evisor.leg.state.mn.us/statutes?id=256.98" TargetMode="External"/><Relationship Id="rId23" Type="http://schemas.openxmlformats.org/officeDocument/2006/relationships/hyperlink" Target="https://www.revisor.leg.state.mn.us/statutes?id=256.25" TargetMode="External"/><Relationship Id="rId28" Type="http://schemas.openxmlformats.org/officeDocument/2006/relationships/hyperlink" Target="https://www.revisor.leg.state.mn.us/statutes?id=256B.37" TargetMode="External"/><Relationship Id="rId36" Type="http://schemas.openxmlformats.org/officeDocument/2006/relationships/image" Target="cid:image001.jpg@01CE3B64.E8762BB0" TargetMode="External"/><Relationship Id="rId10" Type="http://schemas.openxmlformats.org/officeDocument/2006/relationships/hyperlink" Target="https://www.revisor.leg.state.mn.us/statutes/?id=357.021" TargetMode="External"/><Relationship Id="rId19" Type="http://schemas.openxmlformats.org/officeDocument/2006/relationships/hyperlink" Target="https://www.revisor.leg.state.mn.us/statutes?id=609.5317" TargetMode="External"/><Relationship Id="rId31" Type="http://schemas.openxmlformats.org/officeDocument/2006/relationships/hyperlink" Target="https://www.revisor.leg.state.mn.us/statutes?id=611A.04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revisor.mn.gov/bills/text.php?number=SF671&amp;session_year=2013&amp;session_number=0&amp;version=latest" TargetMode="External"/><Relationship Id="rId14" Type="http://schemas.openxmlformats.org/officeDocument/2006/relationships/hyperlink" Target="https://www.revisor.leg.state.mn.us/statutes?id=484.702" TargetMode="External"/><Relationship Id="rId22" Type="http://schemas.openxmlformats.org/officeDocument/2006/relationships/hyperlink" Target="https://www.revisor.leg.state.mn.us/statutes?id=256.045" TargetMode="External"/><Relationship Id="rId27" Type="http://schemas.openxmlformats.org/officeDocument/2006/relationships/hyperlink" Target="https://www.revisor.leg.state.mn.us/statutes?id=256B.15" TargetMode="External"/><Relationship Id="rId30" Type="http://schemas.openxmlformats.org/officeDocument/2006/relationships/hyperlink" Target="https://www.revisor.leg.state.mn.us/statutes?id=260C.331" TargetMode="External"/><Relationship Id="rId35" Type="http://schemas.openxmlformats.org/officeDocument/2006/relationships/image" Target="media/image1.jpe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BF54-1FC1-4F22-90DF-7EA814B0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7AE6CC97.dotm</Template>
  <TotalTime>0</TotalTime>
  <Pages>3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Blees, Deborah</dc:creator>
  <cp:lastModifiedBy>Kyle Christopherson</cp:lastModifiedBy>
  <cp:revision>2</cp:revision>
  <cp:lastPrinted>2013-06-26T19:25:00Z</cp:lastPrinted>
  <dcterms:created xsi:type="dcterms:W3CDTF">2013-07-01T21:15:00Z</dcterms:created>
  <dcterms:modified xsi:type="dcterms:W3CDTF">2013-07-01T21:15:00Z</dcterms:modified>
</cp:coreProperties>
</file>