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A2" w:rsidRDefault="00B36CA2" w:rsidP="00B36CA2">
      <w:pPr>
        <w:tabs>
          <w:tab w:val="left" w:pos="720"/>
          <w:tab w:val="left" w:pos="1440"/>
        </w:tabs>
      </w:pPr>
      <w:bookmarkStart w:id="0" w:name="_GoBack"/>
      <w:bookmarkEnd w:id="0"/>
    </w:p>
    <w:p w:rsidR="00B36CA2" w:rsidRDefault="006E52FA" w:rsidP="00B36CA2">
      <w:pPr>
        <w:tabs>
          <w:tab w:val="left" w:pos="720"/>
          <w:tab w:val="left" w:pos="1440"/>
        </w:tabs>
        <w:ind w:left="1440" w:hanging="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pt;margin-top:12.25pt;width:500.1pt;height:583.2pt;z-index:-251658752">
            <v:imagedata r:id="rId9" o:title="" gain="19661f" blacklevel="22938f"/>
          </v:shape>
          <o:OLEObject Type="Embed" ProgID="MS_ClipArt_Gallery.5" ShapeID="_x0000_s1026" DrawAspect="Content" ObjectID="_1385198592" r:id="rId10"/>
        </w:pict>
      </w:r>
    </w:p>
    <w:p w:rsidR="00B36CA2" w:rsidRDefault="00B36CA2" w:rsidP="00B36CA2">
      <w:pPr>
        <w:suppressAutoHyphens w:val="0"/>
        <w:jc w:val="left"/>
      </w:pPr>
    </w:p>
    <w:p w:rsidR="00B36CA2" w:rsidRDefault="00B36CA2" w:rsidP="00B36CA2">
      <w:pPr>
        <w:suppressAutoHyphens w:val="0"/>
        <w:jc w:val="left"/>
      </w:pPr>
    </w:p>
    <w:p w:rsidR="00B36CA2" w:rsidRDefault="00B36CA2" w:rsidP="00B36CA2">
      <w:pPr>
        <w:suppressAutoHyphens w:val="0"/>
        <w:jc w:val="left"/>
      </w:pPr>
    </w:p>
    <w:p w:rsidR="00B36CA2" w:rsidRDefault="00B36CA2" w:rsidP="00B36CA2">
      <w:pPr>
        <w:suppressAutoHyphens w:val="0"/>
        <w:jc w:val="left"/>
      </w:pPr>
    </w:p>
    <w:p w:rsidR="00B36CA2" w:rsidRDefault="00B36CA2" w:rsidP="00B36CA2">
      <w:pPr>
        <w:suppressAutoHyphens w:val="0"/>
        <w:jc w:val="left"/>
      </w:pPr>
    </w:p>
    <w:p w:rsidR="00B36CA2" w:rsidRDefault="00B36CA2" w:rsidP="00B36CA2">
      <w:pPr>
        <w:suppressAutoHyphens w:val="0"/>
        <w:jc w:val="left"/>
      </w:pPr>
    </w:p>
    <w:p w:rsidR="00B36CA2" w:rsidRDefault="00B36CA2" w:rsidP="00B36CA2">
      <w:pPr>
        <w:suppressAutoHyphens w:val="0"/>
        <w:jc w:val="left"/>
      </w:pPr>
    </w:p>
    <w:p w:rsidR="00B36CA2" w:rsidRDefault="00B36CA2" w:rsidP="00B36CA2">
      <w:pPr>
        <w:suppressAutoHyphens w:val="0"/>
        <w:jc w:val="left"/>
      </w:pPr>
    </w:p>
    <w:p w:rsidR="00B36CA2" w:rsidRDefault="00B36CA2" w:rsidP="00B36CA2">
      <w:pPr>
        <w:suppressAutoHyphens w:val="0"/>
        <w:jc w:val="left"/>
      </w:pPr>
    </w:p>
    <w:p w:rsidR="00B36CA2" w:rsidRDefault="00B36CA2" w:rsidP="00B36CA2">
      <w:pPr>
        <w:suppressAutoHyphens w:val="0"/>
        <w:jc w:val="left"/>
      </w:pPr>
    </w:p>
    <w:p w:rsidR="00B36CA2" w:rsidRPr="00D439B6" w:rsidRDefault="00B36CA2" w:rsidP="00B36CA2">
      <w:pPr>
        <w:keepNext/>
        <w:suppressAutoHyphens w:val="0"/>
        <w:jc w:val="center"/>
        <w:outlineLvl w:val="0"/>
        <w:rPr>
          <w:b/>
          <w:sz w:val="72"/>
        </w:rPr>
      </w:pPr>
      <w:smartTag w:uri="urn:schemas-microsoft-com:office:smarttags" w:element="State">
        <w:smartTag w:uri="urn:schemas-microsoft-com:office:smarttags" w:element="place">
          <w:r w:rsidRPr="00D439B6">
            <w:rPr>
              <w:b/>
              <w:sz w:val="72"/>
            </w:rPr>
            <w:t>Minnesota</w:t>
          </w:r>
        </w:smartTag>
      </w:smartTag>
      <w:r w:rsidRPr="00D439B6">
        <w:rPr>
          <w:b/>
          <w:sz w:val="72"/>
        </w:rPr>
        <w:t xml:space="preserve"> Court of Appeals</w:t>
      </w:r>
    </w:p>
    <w:p w:rsidR="00B36CA2" w:rsidRPr="00D439B6" w:rsidRDefault="00B36CA2" w:rsidP="00B36CA2">
      <w:pPr>
        <w:suppressAutoHyphens w:val="0"/>
        <w:jc w:val="center"/>
        <w:rPr>
          <w:b/>
          <w:sz w:val="72"/>
        </w:rPr>
      </w:pPr>
    </w:p>
    <w:p w:rsidR="00B36CA2" w:rsidRPr="00D439B6" w:rsidRDefault="00B36CA2" w:rsidP="00B36CA2">
      <w:pPr>
        <w:suppressAutoHyphens w:val="0"/>
        <w:jc w:val="center"/>
        <w:rPr>
          <w:b/>
          <w:sz w:val="72"/>
        </w:rPr>
      </w:pPr>
      <w:r w:rsidRPr="00D439B6">
        <w:rPr>
          <w:b/>
          <w:sz w:val="72"/>
        </w:rPr>
        <w:t>Significant Decisions</w:t>
      </w:r>
    </w:p>
    <w:p w:rsidR="00B36CA2" w:rsidRPr="00D439B6" w:rsidRDefault="00B36CA2" w:rsidP="00B36CA2">
      <w:pPr>
        <w:suppressAutoHyphens w:val="0"/>
        <w:jc w:val="center"/>
        <w:rPr>
          <w:b/>
          <w:sz w:val="72"/>
        </w:rPr>
      </w:pPr>
    </w:p>
    <w:p w:rsidR="00B36CA2" w:rsidRDefault="00B36CA2" w:rsidP="00B36CA2">
      <w:pPr>
        <w:suppressAutoHyphens w:val="0"/>
        <w:jc w:val="center"/>
        <w:rPr>
          <w:b/>
          <w:sz w:val="72"/>
        </w:rPr>
      </w:pPr>
      <w:r w:rsidRPr="00D439B6">
        <w:rPr>
          <w:b/>
          <w:sz w:val="72"/>
        </w:rPr>
        <w:t>September 20</w:t>
      </w:r>
      <w:r>
        <w:rPr>
          <w:b/>
          <w:sz w:val="72"/>
        </w:rPr>
        <w:t>10</w:t>
      </w:r>
      <w:r w:rsidRPr="00D439B6">
        <w:rPr>
          <w:b/>
          <w:sz w:val="72"/>
        </w:rPr>
        <w:t>-August 20</w:t>
      </w:r>
      <w:r>
        <w:rPr>
          <w:b/>
          <w:sz w:val="72"/>
        </w:rPr>
        <w:t>11</w:t>
      </w:r>
    </w:p>
    <w:p w:rsidR="00B36CA2" w:rsidRDefault="00B36CA2" w:rsidP="00B36CA2">
      <w:pPr>
        <w:suppressAutoHyphens w:val="0"/>
        <w:jc w:val="center"/>
        <w:rPr>
          <w:b/>
          <w:sz w:val="72"/>
        </w:rPr>
      </w:pPr>
    </w:p>
    <w:p w:rsidR="00B36CA2" w:rsidRDefault="00B36CA2" w:rsidP="00B36CA2">
      <w:pPr>
        <w:suppressAutoHyphens w:val="0"/>
        <w:jc w:val="center"/>
        <w:rPr>
          <w:b/>
          <w:sz w:val="72"/>
        </w:rPr>
      </w:pPr>
    </w:p>
    <w:p w:rsidR="00B36CA2" w:rsidRDefault="00B36CA2" w:rsidP="00B36CA2">
      <w:pPr>
        <w:suppressAutoHyphens w:val="0"/>
        <w:jc w:val="center"/>
        <w:rPr>
          <w:b/>
          <w:sz w:val="72"/>
        </w:rPr>
      </w:pPr>
    </w:p>
    <w:p w:rsidR="00B36CA2" w:rsidRDefault="00B36CA2" w:rsidP="00B36CA2">
      <w:pPr>
        <w:suppressAutoHyphens w:val="0"/>
        <w:jc w:val="center"/>
        <w:rPr>
          <w:b/>
          <w:smallCaps/>
          <w:sz w:val="28"/>
          <w:szCs w:val="28"/>
        </w:rPr>
      </w:pPr>
    </w:p>
    <w:p w:rsidR="00B36CA2" w:rsidRDefault="00B36CA2" w:rsidP="00B36CA2">
      <w:pPr>
        <w:suppressAutoHyphens w:val="0"/>
        <w:jc w:val="center"/>
        <w:rPr>
          <w:b/>
          <w:smallCaps/>
          <w:sz w:val="28"/>
          <w:szCs w:val="28"/>
        </w:rPr>
      </w:pPr>
    </w:p>
    <w:p w:rsidR="00B36CA2" w:rsidRDefault="00B36CA2" w:rsidP="00B36CA2">
      <w:pPr>
        <w:suppressAutoHyphens w:val="0"/>
        <w:jc w:val="center"/>
        <w:rPr>
          <w:b/>
          <w:smallCaps/>
          <w:sz w:val="28"/>
          <w:szCs w:val="28"/>
        </w:rPr>
      </w:pPr>
    </w:p>
    <w:p w:rsidR="00B36CA2" w:rsidRDefault="00B36CA2" w:rsidP="00B36CA2">
      <w:pPr>
        <w:suppressAutoHyphens w:val="0"/>
        <w:jc w:val="center"/>
        <w:rPr>
          <w:b/>
          <w:smallCaps/>
          <w:sz w:val="28"/>
          <w:szCs w:val="28"/>
        </w:rPr>
      </w:pPr>
    </w:p>
    <w:p w:rsidR="00B36CA2" w:rsidRDefault="00B36CA2" w:rsidP="00B36CA2">
      <w:pPr>
        <w:suppressAutoHyphens w:val="0"/>
        <w:jc w:val="center"/>
        <w:rPr>
          <w:b/>
          <w:smallCaps/>
          <w:sz w:val="28"/>
          <w:szCs w:val="28"/>
        </w:rPr>
      </w:pPr>
    </w:p>
    <w:p w:rsidR="00C87EA9" w:rsidRDefault="00C87EA9" w:rsidP="00711F5A">
      <w:pPr>
        <w:widowControl w:val="0"/>
        <w:jc w:val="center"/>
        <w:rPr>
          <w:b/>
          <w:sz w:val="32"/>
          <w:szCs w:val="32"/>
        </w:rPr>
      </w:pPr>
    </w:p>
    <w:p w:rsidR="00C87EA9" w:rsidRPr="00C87EA9" w:rsidRDefault="00C87EA9" w:rsidP="00C87EA9">
      <w:pPr>
        <w:rPr>
          <w:sz w:val="32"/>
          <w:szCs w:val="32"/>
        </w:rPr>
      </w:pPr>
    </w:p>
    <w:p w:rsidR="00C87EA9" w:rsidRDefault="00C87EA9" w:rsidP="00C87EA9">
      <w:pPr>
        <w:rPr>
          <w:sz w:val="32"/>
          <w:szCs w:val="32"/>
        </w:rPr>
      </w:pPr>
    </w:p>
    <w:p w:rsidR="00C87EA9" w:rsidRPr="00C87EA9" w:rsidRDefault="00C87EA9" w:rsidP="00C87EA9">
      <w:pPr>
        <w:rPr>
          <w:sz w:val="32"/>
          <w:szCs w:val="32"/>
        </w:rPr>
      </w:pPr>
    </w:p>
    <w:p w:rsidR="00C87EA9" w:rsidRDefault="00C87EA9" w:rsidP="00C87EA9">
      <w:pPr>
        <w:suppressAutoHyphens w:val="0"/>
        <w:jc w:val="center"/>
        <w:rPr>
          <w:b/>
          <w:smallCaps/>
          <w:sz w:val="28"/>
          <w:szCs w:val="28"/>
        </w:rPr>
      </w:pPr>
      <w:r>
        <w:rPr>
          <w:sz w:val="32"/>
          <w:szCs w:val="32"/>
        </w:rPr>
        <w:tab/>
      </w:r>
      <w:r w:rsidRPr="00487B49">
        <w:rPr>
          <w:b/>
          <w:smallCaps/>
          <w:sz w:val="28"/>
          <w:szCs w:val="28"/>
        </w:rPr>
        <w:t xml:space="preserve">This </w:t>
      </w:r>
      <w:r>
        <w:rPr>
          <w:b/>
          <w:smallCaps/>
          <w:sz w:val="28"/>
          <w:szCs w:val="28"/>
        </w:rPr>
        <w:t>D</w:t>
      </w:r>
      <w:r w:rsidRPr="00487B49">
        <w:rPr>
          <w:b/>
          <w:smallCaps/>
          <w:sz w:val="28"/>
          <w:szCs w:val="28"/>
        </w:rPr>
        <w:t xml:space="preserve">ocument is </w:t>
      </w:r>
      <w:r>
        <w:rPr>
          <w:b/>
          <w:smallCaps/>
          <w:sz w:val="28"/>
          <w:szCs w:val="28"/>
        </w:rPr>
        <w:t>A</w:t>
      </w:r>
      <w:r w:rsidRPr="00487B49">
        <w:rPr>
          <w:b/>
          <w:smallCaps/>
          <w:sz w:val="28"/>
          <w:szCs w:val="28"/>
        </w:rPr>
        <w:t xml:space="preserve">vailable </w:t>
      </w:r>
      <w:r>
        <w:rPr>
          <w:b/>
          <w:smallCaps/>
          <w:sz w:val="28"/>
          <w:szCs w:val="28"/>
        </w:rPr>
        <w:t>on the Court Website</w:t>
      </w:r>
    </w:p>
    <w:p w:rsidR="00C87EA9" w:rsidRPr="00487B49" w:rsidRDefault="00C87EA9" w:rsidP="00C87EA9">
      <w:pPr>
        <w:suppressAutoHyphens w:val="0"/>
        <w:jc w:val="center"/>
        <w:rPr>
          <w:b/>
          <w:smallCaps/>
          <w:sz w:val="28"/>
          <w:szCs w:val="28"/>
        </w:rPr>
      </w:pPr>
      <w:r w:rsidRPr="00487B49">
        <w:rPr>
          <w:b/>
          <w:smallCaps/>
          <w:sz w:val="28"/>
          <w:szCs w:val="28"/>
        </w:rPr>
        <w:t>www.</w:t>
      </w:r>
      <w:r>
        <w:rPr>
          <w:b/>
          <w:smallCaps/>
          <w:sz w:val="28"/>
          <w:szCs w:val="28"/>
        </w:rPr>
        <w:t>mncourts.gov</w:t>
      </w:r>
    </w:p>
    <w:p w:rsidR="00C87EA9" w:rsidRDefault="00C87EA9" w:rsidP="00C87EA9">
      <w:pPr>
        <w:tabs>
          <w:tab w:val="left" w:pos="3002"/>
        </w:tabs>
        <w:rPr>
          <w:sz w:val="32"/>
          <w:szCs w:val="32"/>
        </w:rPr>
      </w:pPr>
    </w:p>
    <w:p w:rsidR="00C87EA9" w:rsidRDefault="00C87EA9" w:rsidP="00C87EA9">
      <w:pPr>
        <w:rPr>
          <w:sz w:val="32"/>
          <w:szCs w:val="32"/>
        </w:rPr>
      </w:pPr>
    </w:p>
    <w:p w:rsidR="004616E5" w:rsidRPr="00C87EA9" w:rsidRDefault="004616E5" w:rsidP="00C87EA9">
      <w:pPr>
        <w:rPr>
          <w:sz w:val="32"/>
          <w:szCs w:val="32"/>
        </w:rPr>
        <w:sectPr w:rsidR="004616E5" w:rsidRPr="00C87EA9" w:rsidSect="00DC5AA5">
          <w:pgSz w:w="12240" w:h="15840"/>
          <w:pgMar w:top="576" w:right="1440" w:bottom="576" w:left="1440" w:header="720" w:footer="720" w:gutter="0"/>
          <w:pgNumType w:fmt="lowerRoman" w:start="1"/>
          <w:cols w:space="720"/>
          <w:titlePg/>
          <w:docGrid w:linePitch="360"/>
        </w:sectPr>
      </w:pPr>
    </w:p>
    <w:p w:rsidR="005C1387" w:rsidRDefault="005C1387" w:rsidP="00711F5A">
      <w:pPr>
        <w:widowControl w:val="0"/>
        <w:jc w:val="center"/>
        <w:rPr>
          <w:b/>
          <w:sz w:val="32"/>
          <w:szCs w:val="32"/>
        </w:rPr>
      </w:pPr>
    </w:p>
    <w:p w:rsidR="005C1387" w:rsidRDefault="005C1387" w:rsidP="00711F5A">
      <w:pPr>
        <w:widowControl w:val="0"/>
        <w:jc w:val="center"/>
        <w:rPr>
          <w:b/>
          <w:sz w:val="32"/>
          <w:szCs w:val="32"/>
        </w:rPr>
      </w:pPr>
    </w:p>
    <w:p w:rsidR="00711F5A" w:rsidRPr="00234347" w:rsidRDefault="00711F5A" w:rsidP="00711F5A">
      <w:pPr>
        <w:widowControl w:val="0"/>
        <w:jc w:val="center"/>
        <w:rPr>
          <w:b/>
          <w:sz w:val="32"/>
          <w:szCs w:val="32"/>
        </w:rPr>
      </w:pPr>
      <w:r w:rsidRPr="00234347">
        <w:rPr>
          <w:b/>
          <w:sz w:val="32"/>
          <w:szCs w:val="32"/>
        </w:rPr>
        <w:t>TABLE OF CONTENTS</w:t>
      </w:r>
    </w:p>
    <w:p w:rsidR="00711F5A" w:rsidRDefault="00711F5A" w:rsidP="00711F5A">
      <w:pPr>
        <w:widowControl w:val="0"/>
        <w:jc w:val="center"/>
        <w:rPr>
          <w:sz w:val="28"/>
        </w:rPr>
      </w:pPr>
    </w:p>
    <w:p w:rsidR="00711F5A" w:rsidRPr="00234347" w:rsidRDefault="00711F5A" w:rsidP="00711F5A">
      <w:pPr>
        <w:widowControl w:val="0"/>
        <w:jc w:val="center"/>
        <w:rPr>
          <w:b/>
          <w:sz w:val="28"/>
        </w:rPr>
      </w:pPr>
      <w:r w:rsidRPr="00234347">
        <w:rPr>
          <w:b/>
          <w:sz w:val="28"/>
        </w:rPr>
        <w:t>PART I</w:t>
      </w:r>
      <w:r>
        <w:rPr>
          <w:b/>
          <w:sz w:val="28"/>
        </w:rPr>
        <w:t xml:space="preserve"> – </w:t>
      </w:r>
      <w:r w:rsidRPr="00234347">
        <w:rPr>
          <w:b/>
          <w:sz w:val="28"/>
        </w:rPr>
        <w:t>CIVIL CASES</w:t>
      </w:r>
    </w:p>
    <w:p w:rsidR="00711F5A" w:rsidRPr="00C77D75" w:rsidRDefault="00711F5A" w:rsidP="00711F5A">
      <w:pPr>
        <w:widowControl w:val="0"/>
        <w:rPr>
          <w:sz w:val="28"/>
        </w:rPr>
      </w:pPr>
    </w:p>
    <w:p w:rsidR="00711F5A" w:rsidRPr="00816341" w:rsidRDefault="00711F5A" w:rsidP="00711F5A">
      <w:pPr>
        <w:widowControl w:val="0"/>
        <w:tabs>
          <w:tab w:val="right" w:leader="dot" w:pos="9360"/>
        </w:tabs>
        <w:rPr>
          <w:szCs w:val="26"/>
        </w:rPr>
      </w:pPr>
      <w:r w:rsidRPr="00816341">
        <w:rPr>
          <w:szCs w:val="26"/>
        </w:rPr>
        <w:t>Administrative Law</w:t>
      </w:r>
      <w:r w:rsidRPr="00816341">
        <w:rPr>
          <w:szCs w:val="26"/>
        </w:rPr>
        <w:tab/>
      </w:r>
      <w:r w:rsidR="0097403E">
        <w:rPr>
          <w:szCs w:val="26"/>
        </w:rPr>
        <w:t>1</w:t>
      </w:r>
    </w:p>
    <w:p w:rsidR="00711F5A" w:rsidRPr="00816341" w:rsidRDefault="00711F5A" w:rsidP="00711F5A">
      <w:pPr>
        <w:widowControl w:val="0"/>
        <w:tabs>
          <w:tab w:val="right" w:leader="dot" w:pos="9360"/>
        </w:tabs>
        <w:rPr>
          <w:szCs w:val="26"/>
        </w:rPr>
      </w:pPr>
      <w:r w:rsidRPr="00816341">
        <w:rPr>
          <w:szCs w:val="26"/>
        </w:rPr>
        <w:t>Business Organizations</w:t>
      </w:r>
      <w:r w:rsidRPr="00816341">
        <w:rPr>
          <w:szCs w:val="26"/>
        </w:rPr>
        <w:tab/>
      </w:r>
      <w:r w:rsidR="0097403E">
        <w:rPr>
          <w:szCs w:val="26"/>
        </w:rPr>
        <w:t>2</w:t>
      </w:r>
    </w:p>
    <w:p w:rsidR="00D03610" w:rsidRDefault="00D03610" w:rsidP="00711F5A">
      <w:pPr>
        <w:widowControl w:val="0"/>
        <w:tabs>
          <w:tab w:val="right" w:leader="dot" w:pos="9360"/>
        </w:tabs>
        <w:rPr>
          <w:szCs w:val="26"/>
        </w:rPr>
      </w:pPr>
      <w:r>
        <w:rPr>
          <w:szCs w:val="26"/>
        </w:rPr>
        <w:t>Child Protection</w:t>
      </w:r>
      <w:r>
        <w:rPr>
          <w:szCs w:val="26"/>
        </w:rPr>
        <w:tab/>
      </w:r>
      <w:r w:rsidR="0097403E">
        <w:rPr>
          <w:szCs w:val="26"/>
        </w:rPr>
        <w:t>2</w:t>
      </w:r>
    </w:p>
    <w:p w:rsidR="004616E5" w:rsidRDefault="004616E5" w:rsidP="00711F5A">
      <w:pPr>
        <w:widowControl w:val="0"/>
        <w:tabs>
          <w:tab w:val="right" w:leader="dot" w:pos="9360"/>
        </w:tabs>
        <w:rPr>
          <w:szCs w:val="26"/>
        </w:rPr>
      </w:pPr>
      <w:r>
        <w:rPr>
          <w:szCs w:val="26"/>
        </w:rPr>
        <w:t>Debtor-Creditor</w:t>
      </w:r>
      <w:r>
        <w:rPr>
          <w:szCs w:val="26"/>
        </w:rPr>
        <w:tab/>
      </w:r>
      <w:r w:rsidR="0097403E">
        <w:rPr>
          <w:szCs w:val="26"/>
        </w:rPr>
        <w:t>2</w:t>
      </w:r>
    </w:p>
    <w:p w:rsidR="00A514BE" w:rsidRDefault="00A514BE" w:rsidP="00711F5A">
      <w:pPr>
        <w:widowControl w:val="0"/>
        <w:tabs>
          <w:tab w:val="right" w:leader="dot" w:pos="9360"/>
        </w:tabs>
        <w:rPr>
          <w:szCs w:val="26"/>
        </w:rPr>
      </w:pPr>
      <w:r>
        <w:rPr>
          <w:szCs w:val="26"/>
        </w:rPr>
        <w:t>Environmental Law</w:t>
      </w:r>
      <w:r>
        <w:rPr>
          <w:szCs w:val="26"/>
        </w:rPr>
        <w:tab/>
      </w:r>
      <w:r w:rsidR="0097403E">
        <w:rPr>
          <w:szCs w:val="26"/>
        </w:rPr>
        <w:t>3</w:t>
      </w:r>
    </w:p>
    <w:p w:rsidR="00711F5A" w:rsidRPr="00816341" w:rsidRDefault="00711F5A" w:rsidP="00711F5A">
      <w:pPr>
        <w:widowControl w:val="0"/>
        <w:tabs>
          <w:tab w:val="right" w:leader="dot" w:pos="9360"/>
        </w:tabs>
        <w:rPr>
          <w:szCs w:val="26"/>
        </w:rPr>
      </w:pPr>
      <w:r w:rsidRPr="00816341">
        <w:rPr>
          <w:szCs w:val="26"/>
        </w:rPr>
        <w:t>Family Law</w:t>
      </w:r>
      <w:r w:rsidRPr="00816341">
        <w:rPr>
          <w:szCs w:val="26"/>
        </w:rPr>
        <w:tab/>
      </w:r>
      <w:r w:rsidR="0097403E">
        <w:rPr>
          <w:szCs w:val="26"/>
        </w:rPr>
        <w:t>3</w:t>
      </w:r>
    </w:p>
    <w:p w:rsidR="00711F5A" w:rsidRPr="00816341" w:rsidRDefault="00711F5A" w:rsidP="00711F5A">
      <w:pPr>
        <w:widowControl w:val="0"/>
        <w:tabs>
          <w:tab w:val="right" w:leader="dot" w:pos="9360"/>
        </w:tabs>
        <w:rPr>
          <w:szCs w:val="26"/>
        </w:rPr>
      </w:pPr>
      <w:r>
        <w:rPr>
          <w:szCs w:val="26"/>
        </w:rPr>
        <w:t xml:space="preserve">Governmental </w:t>
      </w:r>
      <w:r w:rsidRPr="00816341">
        <w:rPr>
          <w:szCs w:val="26"/>
        </w:rPr>
        <w:t>Immunit</w:t>
      </w:r>
      <w:r w:rsidR="00024E96">
        <w:rPr>
          <w:szCs w:val="26"/>
        </w:rPr>
        <w:t>ies</w:t>
      </w:r>
      <w:r w:rsidRPr="00816341">
        <w:rPr>
          <w:szCs w:val="26"/>
        </w:rPr>
        <w:tab/>
      </w:r>
      <w:r w:rsidR="0097403E">
        <w:rPr>
          <w:szCs w:val="26"/>
        </w:rPr>
        <w:t>5</w:t>
      </w:r>
    </w:p>
    <w:p w:rsidR="00711F5A" w:rsidRPr="00816341" w:rsidRDefault="00711F5A" w:rsidP="00711F5A">
      <w:pPr>
        <w:widowControl w:val="0"/>
        <w:tabs>
          <w:tab w:val="right" w:leader="dot" w:pos="9360"/>
        </w:tabs>
        <w:rPr>
          <w:szCs w:val="26"/>
        </w:rPr>
      </w:pPr>
      <w:r w:rsidRPr="00816341">
        <w:rPr>
          <w:szCs w:val="26"/>
        </w:rPr>
        <w:t>Insurance</w:t>
      </w:r>
      <w:r>
        <w:rPr>
          <w:szCs w:val="26"/>
        </w:rPr>
        <w:t xml:space="preserve"> Coverage</w:t>
      </w:r>
      <w:r w:rsidRPr="00816341">
        <w:rPr>
          <w:szCs w:val="26"/>
        </w:rPr>
        <w:tab/>
      </w:r>
      <w:r w:rsidR="0097403E">
        <w:rPr>
          <w:szCs w:val="26"/>
        </w:rPr>
        <w:t>5</w:t>
      </w:r>
    </w:p>
    <w:p w:rsidR="00711F5A" w:rsidRPr="00816341" w:rsidRDefault="00711F5A" w:rsidP="00711F5A">
      <w:pPr>
        <w:widowControl w:val="0"/>
        <w:tabs>
          <w:tab w:val="right" w:leader="dot" w:pos="9360"/>
        </w:tabs>
        <w:rPr>
          <w:szCs w:val="26"/>
        </w:rPr>
      </w:pPr>
      <w:r>
        <w:rPr>
          <w:szCs w:val="26"/>
        </w:rPr>
        <w:t>Jurisdiction and Procedure</w:t>
      </w:r>
      <w:r w:rsidRPr="00816341">
        <w:rPr>
          <w:szCs w:val="26"/>
        </w:rPr>
        <w:tab/>
      </w:r>
      <w:r w:rsidR="0095710D">
        <w:rPr>
          <w:szCs w:val="26"/>
        </w:rPr>
        <w:t>6</w:t>
      </w:r>
    </w:p>
    <w:p w:rsidR="00711F5A" w:rsidRPr="00816341" w:rsidRDefault="00711F5A" w:rsidP="00711F5A">
      <w:pPr>
        <w:widowControl w:val="0"/>
        <w:tabs>
          <w:tab w:val="right" w:leader="dot" w:pos="9360"/>
        </w:tabs>
        <w:rPr>
          <w:szCs w:val="26"/>
        </w:rPr>
      </w:pPr>
      <w:r>
        <w:rPr>
          <w:szCs w:val="26"/>
        </w:rPr>
        <w:t>Labor and Employment</w:t>
      </w:r>
      <w:r w:rsidRPr="00816341">
        <w:rPr>
          <w:szCs w:val="26"/>
        </w:rPr>
        <w:tab/>
      </w:r>
      <w:r w:rsidR="0097403E">
        <w:rPr>
          <w:szCs w:val="26"/>
        </w:rPr>
        <w:t>7</w:t>
      </w:r>
    </w:p>
    <w:p w:rsidR="00711F5A" w:rsidRDefault="00711F5A" w:rsidP="00711F5A">
      <w:pPr>
        <w:widowControl w:val="0"/>
        <w:tabs>
          <w:tab w:val="right" w:leader="dot" w:pos="9360"/>
        </w:tabs>
        <w:rPr>
          <w:szCs w:val="26"/>
        </w:rPr>
      </w:pPr>
      <w:r>
        <w:rPr>
          <w:szCs w:val="26"/>
        </w:rPr>
        <w:t>Liens</w:t>
      </w:r>
      <w:r w:rsidR="00D03610">
        <w:rPr>
          <w:szCs w:val="26"/>
        </w:rPr>
        <w:t xml:space="preserve"> and Foreclosures</w:t>
      </w:r>
      <w:r w:rsidRPr="00816341">
        <w:rPr>
          <w:szCs w:val="26"/>
        </w:rPr>
        <w:tab/>
      </w:r>
      <w:r w:rsidR="0097403E">
        <w:rPr>
          <w:szCs w:val="26"/>
        </w:rPr>
        <w:t>8</w:t>
      </w:r>
    </w:p>
    <w:p w:rsidR="00711F5A" w:rsidRPr="00816341" w:rsidRDefault="00711F5A" w:rsidP="00711F5A">
      <w:pPr>
        <w:widowControl w:val="0"/>
        <w:tabs>
          <w:tab w:val="right" w:leader="dot" w:pos="9360"/>
        </w:tabs>
        <w:rPr>
          <w:szCs w:val="26"/>
        </w:rPr>
      </w:pPr>
      <w:r w:rsidRPr="00816341">
        <w:rPr>
          <w:szCs w:val="26"/>
        </w:rPr>
        <w:t>Probate</w:t>
      </w:r>
      <w:r w:rsidRPr="00816341">
        <w:rPr>
          <w:szCs w:val="26"/>
        </w:rPr>
        <w:tab/>
      </w:r>
      <w:r w:rsidR="0097403E">
        <w:rPr>
          <w:szCs w:val="26"/>
        </w:rPr>
        <w:t>8</w:t>
      </w:r>
    </w:p>
    <w:p w:rsidR="00711F5A" w:rsidRPr="00816341" w:rsidRDefault="00D03610" w:rsidP="00711F5A">
      <w:pPr>
        <w:widowControl w:val="0"/>
        <w:tabs>
          <w:tab w:val="right" w:leader="dot" w:pos="9360"/>
        </w:tabs>
        <w:rPr>
          <w:szCs w:val="26"/>
        </w:rPr>
      </w:pPr>
      <w:r>
        <w:rPr>
          <w:szCs w:val="26"/>
        </w:rPr>
        <w:t xml:space="preserve">Real Estate and </w:t>
      </w:r>
      <w:r w:rsidR="00711F5A" w:rsidRPr="00816341">
        <w:rPr>
          <w:szCs w:val="26"/>
        </w:rPr>
        <w:t>Property</w:t>
      </w:r>
      <w:r>
        <w:rPr>
          <w:szCs w:val="26"/>
        </w:rPr>
        <w:t xml:space="preserve"> Rights</w:t>
      </w:r>
      <w:r w:rsidR="00711F5A" w:rsidRPr="00816341">
        <w:rPr>
          <w:szCs w:val="26"/>
        </w:rPr>
        <w:tab/>
      </w:r>
      <w:r w:rsidR="0095710D">
        <w:rPr>
          <w:szCs w:val="26"/>
        </w:rPr>
        <w:t>9</w:t>
      </w:r>
    </w:p>
    <w:p w:rsidR="00711F5A" w:rsidRPr="00816341" w:rsidRDefault="00711F5A" w:rsidP="00711F5A">
      <w:pPr>
        <w:widowControl w:val="0"/>
        <w:tabs>
          <w:tab w:val="right" w:leader="dot" w:pos="9360"/>
        </w:tabs>
        <w:rPr>
          <w:szCs w:val="26"/>
        </w:rPr>
      </w:pPr>
      <w:r w:rsidRPr="00816341">
        <w:rPr>
          <w:szCs w:val="26"/>
        </w:rPr>
        <w:t>School Law</w:t>
      </w:r>
      <w:r w:rsidRPr="00816341">
        <w:rPr>
          <w:szCs w:val="26"/>
        </w:rPr>
        <w:tab/>
      </w:r>
      <w:r w:rsidR="0097403E">
        <w:rPr>
          <w:szCs w:val="26"/>
        </w:rPr>
        <w:t>10</w:t>
      </w:r>
    </w:p>
    <w:p w:rsidR="00711F5A" w:rsidRPr="00816341" w:rsidRDefault="00711F5A" w:rsidP="00711F5A">
      <w:pPr>
        <w:widowControl w:val="0"/>
        <w:tabs>
          <w:tab w:val="right" w:leader="dot" w:pos="9360"/>
        </w:tabs>
        <w:rPr>
          <w:szCs w:val="26"/>
        </w:rPr>
      </w:pPr>
      <w:r w:rsidRPr="00816341">
        <w:rPr>
          <w:szCs w:val="26"/>
        </w:rPr>
        <w:t>Torts</w:t>
      </w:r>
      <w:r w:rsidRPr="00816341">
        <w:rPr>
          <w:szCs w:val="26"/>
        </w:rPr>
        <w:tab/>
      </w:r>
      <w:r w:rsidR="0097403E">
        <w:rPr>
          <w:szCs w:val="26"/>
        </w:rPr>
        <w:t>10</w:t>
      </w:r>
    </w:p>
    <w:p w:rsidR="00711F5A" w:rsidRPr="00816341" w:rsidRDefault="00711F5A" w:rsidP="00711F5A">
      <w:pPr>
        <w:widowControl w:val="0"/>
        <w:tabs>
          <w:tab w:val="right" w:leader="dot" w:pos="9360"/>
        </w:tabs>
        <w:rPr>
          <w:szCs w:val="26"/>
        </w:rPr>
      </w:pPr>
      <w:r w:rsidRPr="003870A5">
        <w:rPr>
          <w:szCs w:val="26"/>
        </w:rPr>
        <w:t>Unemployment Benefits</w:t>
      </w:r>
      <w:r w:rsidRPr="00816341">
        <w:rPr>
          <w:szCs w:val="26"/>
        </w:rPr>
        <w:tab/>
      </w:r>
      <w:r w:rsidR="0097403E">
        <w:rPr>
          <w:szCs w:val="26"/>
        </w:rPr>
        <w:t>11</w:t>
      </w:r>
    </w:p>
    <w:p w:rsidR="00711F5A" w:rsidRDefault="00711F5A" w:rsidP="00711F5A">
      <w:pPr>
        <w:suppressAutoHyphens w:val="0"/>
        <w:jc w:val="left"/>
        <w:rPr>
          <w:b/>
        </w:rPr>
      </w:pPr>
    </w:p>
    <w:p w:rsidR="00711F5A" w:rsidRPr="00861FB8" w:rsidRDefault="00711F5A" w:rsidP="00711F5A">
      <w:pPr>
        <w:jc w:val="center"/>
        <w:rPr>
          <w:b/>
          <w:sz w:val="28"/>
          <w:szCs w:val="28"/>
        </w:rPr>
      </w:pPr>
      <w:r w:rsidRPr="00861FB8">
        <w:rPr>
          <w:b/>
          <w:sz w:val="28"/>
          <w:szCs w:val="28"/>
        </w:rPr>
        <w:t>PART II – CRIMINAL CASES AND</w:t>
      </w:r>
      <w:r>
        <w:rPr>
          <w:b/>
          <w:sz w:val="28"/>
          <w:szCs w:val="28"/>
        </w:rPr>
        <w:t xml:space="preserve"> CASES ON</w:t>
      </w:r>
      <w:r w:rsidRPr="00861FB8">
        <w:rPr>
          <w:b/>
          <w:sz w:val="28"/>
          <w:szCs w:val="28"/>
        </w:rPr>
        <w:t xml:space="preserve"> RELATED SUBJECTS</w:t>
      </w:r>
    </w:p>
    <w:p w:rsidR="00711F5A" w:rsidRDefault="00711F5A" w:rsidP="00711F5A">
      <w:pPr>
        <w:jc w:val="center"/>
        <w:rPr>
          <w:b/>
        </w:rPr>
      </w:pPr>
    </w:p>
    <w:p w:rsidR="00024E96" w:rsidRDefault="00024E96" w:rsidP="00024E96">
      <w:pPr>
        <w:widowControl w:val="0"/>
        <w:tabs>
          <w:tab w:val="right" w:leader="dot" w:pos="9360"/>
        </w:tabs>
        <w:rPr>
          <w:szCs w:val="26"/>
        </w:rPr>
      </w:pPr>
      <w:r>
        <w:rPr>
          <w:szCs w:val="26"/>
        </w:rPr>
        <w:t>Commitment of Sex Offenders</w:t>
      </w:r>
      <w:r>
        <w:rPr>
          <w:szCs w:val="26"/>
        </w:rPr>
        <w:tab/>
      </w:r>
      <w:r w:rsidR="0097403E">
        <w:rPr>
          <w:szCs w:val="26"/>
        </w:rPr>
        <w:t>12</w:t>
      </w:r>
    </w:p>
    <w:p w:rsidR="00B80352" w:rsidRDefault="00B80352" w:rsidP="00711F5A">
      <w:pPr>
        <w:widowControl w:val="0"/>
        <w:tabs>
          <w:tab w:val="right" w:leader="dot" w:pos="9360"/>
        </w:tabs>
        <w:rPr>
          <w:szCs w:val="26"/>
        </w:rPr>
      </w:pPr>
      <w:r>
        <w:rPr>
          <w:szCs w:val="26"/>
        </w:rPr>
        <w:t>Constitutional Law</w:t>
      </w:r>
      <w:r>
        <w:rPr>
          <w:szCs w:val="26"/>
        </w:rPr>
        <w:tab/>
      </w:r>
      <w:r w:rsidR="0097403E">
        <w:rPr>
          <w:szCs w:val="26"/>
        </w:rPr>
        <w:t>12</w:t>
      </w:r>
    </w:p>
    <w:p w:rsidR="00024E96" w:rsidRDefault="00024E96" w:rsidP="00711F5A">
      <w:pPr>
        <w:widowControl w:val="0"/>
        <w:tabs>
          <w:tab w:val="right" w:leader="dot" w:pos="9360"/>
        </w:tabs>
        <w:rPr>
          <w:szCs w:val="26"/>
        </w:rPr>
      </w:pPr>
      <w:r>
        <w:rPr>
          <w:szCs w:val="26"/>
        </w:rPr>
        <w:t>DWI &amp; Implied Consent</w:t>
      </w:r>
      <w:r>
        <w:rPr>
          <w:szCs w:val="26"/>
        </w:rPr>
        <w:tab/>
      </w:r>
      <w:r w:rsidR="0097403E">
        <w:rPr>
          <w:szCs w:val="26"/>
        </w:rPr>
        <w:t>1</w:t>
      </w:r>
      <w:r w:rsidR="0095710D">
        <w:rPr>
          <w:szCs w:val="26"/>
        </w:rPr>
        <w:t>2</w:t>
      </w:r>
    </w:p>
    <w:p w:rsidR="00711F5A" w:rsidRPr="00816341" w:rsidRDefault="00711F5A" w:rsidP="00711F5A">
      <w:pPr>
        <w:widowControl w:val="0"/>
        <w:tabs>
          <w:tab w:val="right" w:leader="dot" w:pos="9360"/>
        </w:tabs>
        <w:rPr>
          <w:szCs w:val="26"/>
        </w:rPr>
      </w:pPr>
      <w:r>
        <w:rPr>
          <w:szCs w:val="26"/>
        </w:rPr>
        <w:t>Evidence</w:t>
      </w:r>
      <w:r w:rsidRPr="00816341">
        <w:rPr>
          <w:szCs w:val="26"/>
        </w:rPr>
        <w:tab/>
      </w:r>
      <w:r w:rsidR="0097403E">
        <w:rPr>
          <w:szCs w:val="26"/>
        </w:rPr>
        <w:t>13</w:t>
      </w:r>
    </w:p>
    <w:p w:rsidR="003076B9" w:rsidRDefault="003076B9" w:rsidP="00711F5A">
      <w:pPr>
        <w:widowControl w:val="0"/>
        <w:tabs>
          <w:tab w:val="right" w:leader="dot" w:pos="9360"/>
        </w:tabs>
        <w:rPr>
          <w:szCs w:val="26"/>
        </w:rPr>
      </w:pPr>
      <w:r>
        <w:rPr>
          <w:szCs w:val="26"/>
        </w:rPr>
        <w:t>Forfeiture</w:t>
      </w:r>
      <w:r>
        <w:rPr>
          <w:szCs w:val="26"/>
        </w:rPr>
        <w:tab/>
      </w:r>
      <w:r w:rsidR="0097403E">
        <w:rPr>
          <w:szCs w:val="26"/>
        </w:rPr>
        <w:t>1</w:t>
      </w:r>
      <w:r w:rsidR="00566666">
        <w:rPr>
          <w:szCs w:val="26"/>
        </w:rPr>
        <w:t>3</w:t>
      </w:r>
    </w:p>
    <w:p w:rsidR="00D03610" w:rsidRDefault="00D03610" w:rsidP="00711F5A">
      <w:pPr>
        <w:widowControl w:val="0"/>
        <w:tabs>
          <w:tab w:val="right" w:leader="dot" w:pos="9360"/>
        </w:tabs>
        <w:rPr>
          <w:szCs w:val="26"/>
        </w:rPr>
      </w:pPr>
      <w:r>
        <w:rPr>
          <w:szCs w:val="26"/>
        </w:rPr>
        <w:t>Guilty Pleas</w:t>
      </w:r>
      <w:r>
        <w:rPr>
          <w:szCs w:val="26"/>
        </w:rPr>
        <w:tab/>
      </w:r>
      <w:r w:rsidR="0097403E">
        <w:rPr>
          <w:szCs w:val="26"/>
        </w:rPr>
        <w:t>14</w:t>
      </w:r>
    </w:p>
    <w:p w:rsidR="00D03610" w:rsidRDefault="00D03610" w:rsidP="00711F5A">
      <w:pPr>
        <w:widowControl w:val="0"/>
        <w:tabs>
          <w:tab w:val="right" w:leader="dot" w:pos="9360"/>
        </w:tabs>
        <w:rPr>
          <w:szCs w:val="26"/>
        </w:rPr>
      </w:pPr>
      <w:r>
        <w:rPr>
          <w:szCs w:val="26"/>
        </w:rPr>
        <w:t>Habeas Corpus</w:t>
      </w:r>
      <w:r>
        <w:rPr>
          <w:szCs w:val="26"/>
        </w:rPr>
        <w:tab/>
      </w:r>
      <w:r w:rsidR="0097403E">
        <w:rPr>
          <w:szCs w:val="26"/>
        </w:rPr>
        <w:t>14</w:t>
      </w:r>
    </w:p>
    <w:p w:rsidR="00711F5A" w:rsidRDefault="00711F5A" w:rsidP="00711F5A">
      <w:pPr>
        <w:widowControl w:val="0"/>
        <w:tabs>
          <w:tab w:val="right" w:leader="dot" w:pos="9360"/>
        </w:tabs>
        <w:rPr>
          <w:szCs w:val="26"/>
        </w:rPr>
      </w:pPr>
      <w:r>
        <w:rPr>
          <w:szCs w:val="26"/>
        </w:rPr>
        <w:t>Pretrial Procedure</w:t>
      </w:r>
      <w:r w:rsidRPr="00816341">
        <w:rPr>
          <w:szCs w:val="26"/>
        </w:rPr>
        <w:tab/>
      </w:r>
      <w:r w:rsidR="0097403E">
        <w:rPr>
          <w:szCs w:val="26"/>
        </w:rPr>
        <w:t>1</w:t>
      </w:r>
      <w:r w:rsidR="00566666">
        <w:rPr>
          <w:szCs w:val="26"/>
        </w:rPr>
        <w:t>4</w:t>
      </w:r>
    </w:p>
    <w:p w:rsidR="004616E5" w:rsidRDefault="004616E5" w:rsidP="00711F5A">
      <w:pPr>
        <w:widowControl w:val="0"/>
        <w:tabs>
          <w:tab w:val="right" w:leader="dot" w:pos="9360"/>
        </w:tabs>
        <w:rPr>
          <w:szCs w:val="26"/>
        </w:rPr>
      </w:pPr>
      <w:r>
        <w:rPr>
          <w:szCs w:val="26"/>
        </w:rPr>
        <w:t>Restitution</w:t>
      </w:r>
      <w:r>
        <w:rPr>
          <w:szCs w:val="26"/>
        </w:rPr>
        <w:tab/>
      </w:r>
      <w:r w:rsidR="0097403E">
        <w:rPr>
          <w:szCs w:val="26"/>
        </w:rPr>
        <w:t>1</w:t>
      </w:r>
      <w:r w:rsidR="00566666">
        <w:rPr>
          <w:szCs w:val="26"/>
        </w:rPr>
        <w:t>4</w:t>
      </w:r>
    </w:p>
    <w:p w:rsidR="002E6326" w:rsidRDefault="002E6326" w:rsidP="00711F5A">
      <w:pPr>
        <w:widowControl w:val="0"/>
        <w:tabs>
          <w:tab w:val="right" w:leader="dot" w:pos="9360"/>
        </w:tabs>
        <w:rPr>
          <w:szCs w:val="26"/>
        </w:rPr>
      </w:pPr>
      <w:r>
        <w:rPr>
          <w:szCs w:val="26"/>
        </w:rPr>
        <w:t>Search and Seizure</w:t>
      </w:r>
      <w:r>
        <w:rPr>
          <w:szCs w:val="26"/>
        </w:rPr>
        <w:tab/>
      </w:r>
      <w:r w:rsidR="0097403E">
        <w:rPr>
          <w:szCs w:val="26"/>
        </w:rPr>
        <w:t>1</w:t>
      </w:r>
      <w:r w:rsidR="0095710D">
        <w:rPr>
          <w:szCs w:val="26"/>
        </w:rPr>
        <w:t>5</w:t>
      </w:r>
    </w:p>
    <w:p w:rsidR="00711F5A" w:rsidRPr="00816341" w:rsidRDefault="00711F5A" w:rsidP="00711F5A">
      <w:pPr>
        <w:widowControl w:val="0"/>
        <w:tabs>
          <w:tab w:val="right" w:leader="dot" w:pos="9360"/>
        </w:tabs>
        <w:rPr>
          <w:szCs w:val="26"/>
        </w:rPr>
      </w:pPr>
      <w:r>
        <w:rPr>
          <w:szCs w:val="26"/>
        </w:rPr>
        <w:t>Sentencing</w:t>
      </w:r>
      <w:r w:rsidRPr="00816341">
        <w:rPr>
          <w:szCs w:val="26"/>
        </w:rPr>
        <w:tab/>
      </w:r>
      <w:r w:rsidR="0097403E">
        <w:rPr>
          <w:szCs w:val="26"/>
        </w:rPr>
        <w:t>1</w:t>
      </w:r>
      <w:r w:rsidR="00566666">
        <w:rPr>
          <w:szCs w:val="26"/>
        </w:rPr>
        <w:t>5</w:t>
      </w:r>
    </w:p>
    <w:p w:rsidR="00711F5A" w:rsidRPr="00816341" w:rsidRDefault="00711F5A" w:rsidP="00711F5A">
      <w:pPr>
        <w:widowControl w:val="0"/>
        <w:tabs>
          <w:tab w:val="right" w:leader="dot" w:pos="9360"/>
        </w:tabs>
        <w:rPr>
          <w:szCs w:val="26"/>
        </w:rPr>
      </w:pPr>
      <w:r>
        <w:rPr>
          <w:szCs w:val="26"/>
        </w:rPr>
        <w:t>Substantive Criminal Law</w:t>
      </w:r>
      <w:r w:rsidRPr="00816341">
        <w:rPr>
          <w:szCs w:val="26"/>
        </w:rPr>
        <w:tab/>
      </w:r>
      <w:r w:rsidR="0097403E">
        <w:rPr>
          <w:szCs w:val="26"/>
        </w:rPr>
        <w:t>1</w:t>
      </w:r>
      <w:r w:rsidR="0095710D">
        <w:rPr>
          <w:szCs w:val="26"/>
        </w:rPr>
        <w:t>6</w:t>
      </w:r>
    </w:p>
    <w:p w:rsidR="00711F5A" w:rsidRPr="00816341" w:rsidRDefault="00711F5A" w:rsidP="00711F5A">
      <w:pPr>
        <w:widowControl w:val="0"/>
        <w:tabs>
          <w:tab w:val="right" w:leader="dot" w:pos="9360"/>
        </w:tabs>
        <w:rPr>
          <w:szCs w:val="26"/>
        </w:rPr>
      </w:pPr>
      <w:r>
        <w:rPr>
          <w:szCs w:val="26"/>
        </w:rPr>
        <w:t>Trial Procedure</w:t>
      </w:r>
      <w:r w:rsidRPr="00816341">
        <w:rPr>
          <w:szCs w:val="26"/>
        </w:rPr>
        <w:tab/>
      </w:r>
      <w:r w:rsidR="0097403E">
        <w:rPr>
          <w:szCs w:val="26"/>
        </w:rPr>
        <w:t>1</w:t>
      </w:r>
      <w:r w:rsidR="00566666">
        <w:rPr>
          <w:szCs w:val="26"/>
        </w:rPr>
        <w:t>7</w:t>
      </w:r>
    </w:p>
    <w:p w:rsidR="00711F5A" w:rsidRPr="00816341" w:rsidRDefault="00711F5A" w:rsidP="00711F5A">
      <w:pPr>
        <w:widowControl w:val="0"/>
        <w:tabs>
          <w:tab w:val="right" w:leader="dot" w:pos="9360"/>
        </w:tabs>
        <w:rPr>
          <w:szCs w:val="26"/>
        </w:rPr>
      </w:pPr>
    </w:p>
    <w:p w:rsidR="00A21731" w:rsidRDefault="00A21731">
      <w:pPr>
        <w:suppressAutoHyphens w:val="0"/>
        <w:jc w:val="left"/>
        <w:sectPr w:rsidR="00A21731" w:rsidSect="00DC5AA5">
          <w:footerReference w:type="first" r:id="rId11"/>
          <w:pgSz w:w="12240" w:h="15840"/>
          <w:pgMar w:top="576" w:right="1440" w:bottom="576" w:left="1440" w:header="720" w:footer="720" w:gutter="0"/>
          <w:pgNumType w:fmt="lowerRoman" w:start="1"/>
          <w:cols w:space="720"/>
          <w:titlePg/>
          <w:docGrid w:linePitch="360"/>
        </w:sectPr>
      </w:pPr>
    </w:p>
    <w:p w:rsidR="00711F5A" w:rsidRPr="00E0265D" w:rsidRDefault="00711F5A" w:rsidP="00711F5A">
      <w:pPr>
        <w:pStyle w:val="Heading2"/>
        <w:tabs>
          <w:tab w:val="left" w:pos="720"/>
          <w:tab w:val="left" w:pos="1440"/>
        </w:tabs>
        <w:rPr>
          <w:sz w:val="28"/>
          <w:szCs w:val="28"/>
        </w:rPr>
      </w:pPr>
      <w:r w:rsidRPr="00E0265D">
        <w:rPr>
          <w:sz w:val="28"/>
          <w:szCs w:val="28"/>
        </w:rPr>
        <w:lastRenderedPageBreak/>
        <w:t>PART I – CIVIL CASES</w:t>
      </w:r>
    </w:p>
    <w:p w:rsidR="00711F5A" w:rsidRDefault="00711F5A" w:rsidP="00711F5A">
      <w:pPr>
        <w:tabs>
          <w:tab w:val="left" w:pos="720"/>
          <w:tab w:val="left" w:pos="1440"/>
          <w:tab w:val="left" w:pos="2160"/>
        </w:tabs>
        <w:rPr>
          <w:b/>
          <w:u w:val="single"/>
        </w:rPr>
      </w:pPr>
    </w:p>
    <w:p w:rsidR="00E0265D" w:rsidRDefault="00E0265D" w:rsidP="00711F5A">
      <w:pPr>
        <w:tabs>
          <w:tab w:val="left" w:pos="720"/>
          <w:tab w:val="left" w:pos="1440"/>
          <w:tab w:val="left" w:pos="2160"/>
        </w:tabs>
        <w:rPr>
          <w:b/>
          <w:u w:val="single"/>
        </w:rPr>
      </w:pPr>
    </w:p>
    <w:p w:rsidR="00711F5A" w:rsidRDefault="00711F5A" w:rsidP="00711F5A">
      <w:pPr>
        <w:tabs>
          <w:tab w:val="left" w:pos="720"/>
          <w:tab w:val="left" w:pos="1440"/>
          <w:tab w:val="left" w:pos="2160"/>
        </w:tabs>
      </w:pPr>
      <w:r>
        <w:rPr>
          <w:b/>
          <w:u w:val="single"/>
        </w:rPr>
        <w:t>Administrative Law</w:t>
      </w:r>
    </w:p>
    <w:p w:rsidR="00711F5A" w:rsidRDefault="00711F5A" w:rsidP="00711F5A">
      <w:pPr>
        <w:tabs>
          <w:tab w:val="left" w:pos="720"/>
          <w:tab w:val="left" w:pos="1440"/>
          <w:tab w:val="left" w:pos="2160"/>
        </w:tabs>
      </w:pPr>
    </w:p>
    <w:p w:rsidR="0063449C" w:rsidRDefault="0063449C" w:rsidP="0063449C">
      <w:r w:rsidRPr="00C04525">
        <w:rPr>
          <w:i/>
        </w:rPr>
        <w:t>American Bank of St. Paul v. City of Minneapolis</w:t>
      </w:r>
      <w:r>
        <w:t xml:space="preserve">, </w:t>
      </w:r>
      <w:r w:rsidR="00E06E66">
        <w:t>802</w:t>
      </w:r>
      <w:r>
        <w:t xml:space="preserve"> N.W.2d </w:t>
      </w:r>
      <w:r w:rsidR="00E06E66">
        <w:t>781</w:t>
      </w:r>
      <w:r>
        <w:t xml:space="preserve"> (Minn. App.</w:t>
      </w:r>
      <w:r w:rsidR="00D94D24">
        <w:t xml:space="preserve"> </w:t>
      </w:r>
      <w:r>
        <w:t>2011).</w:t>
      </w:r>
    </w:p>
    <w:p w:rsidR="0063449C" w:rsidRDefault="0063449C" w:rsidP="0063449C">
      <w:pPr>
        <w:pStyle w:val="Heading1"/>
        <w:keepNext w:val="0"/>
        <w:ind w:firstLine="720"/>
        <w:jc w:val="both"/>
        <w:rPr>
          <w:b w:val="0"/>
        </w:rPr>
      </w:pPr>
      <w:r>
        <w:rPr>
          <w:b w:val="0"/>
        </w:rPr>
        <w:t>A</w:t>
      </w:r>
      <w:r w:rsidRPr="00033F5F">
        <w:rPr>
          <w:b w:val="0"/>
        </w:rPr>
        <w:t xml:space="preserve">n assessment collected under </w:t>
      </w:r>
      <w:r>
        <w:rPr>
          <w:b w:val="0"/>
        </w:rPr>
        <w:t>a city’s</w:t>
      </w:r>
      <w:r w:rsidRPr="00033F5F">
        <w:rPr>
          <w:b w:val="0"/>
        </w:rPr>
        <w:t xml:space="preserve"> police power is subject to a reasonableness standard rather than the special-benefit </w:t>
      </w:r>
      <w:r>
        <w:rPr>
          <w:b w:val="0"/>
        </w:rPr>
        <w:t>standard</w:t>
      </w:r>
      <w:r w:rsidRPr="00B871DF">
        <w:rPr>
          <w:b w:val="0"/>
        </w:rPr>
        <w:t xml:space="preserve"> </w:t>
      </w:r>
      <w:r w:rsidRPr="00033F5F">
        <w:rPr>
          <w:b w:val="0"/>
        </w:rPr>
        <w:t>that applies to assessments c</w:t>
      </w:r>
      <w:r>
        <w:rPr>
          <w:b w:val="0"/>
        </w:rPr>
        <w:t>ollected under a city’s taxing power.</w:t>
      </w:r>
    </w:p>
    <w:p w:rsidR="0087000C" w:rsidRDefault="0087000C" w:rsidP="0087000C"/>
    <w:p w:rsidR="0087000C" w:rsidRDefault="0087000C" w:rsidP="0087000C">
      <w:pPr>
        <w:tabs>
          <w:tab w:val="left" w:pos="4680"/>
          <w:tab w:val="left" w:pos="6660"/>
          <w:tab w:val="left" w:pos="8280"/>
        </w:tabs>
      </w:pPr>
      <w:r>
        <w:rPr>
          <w:i/>
        </w:rPr>
        <w:t xml:space="preserve">City of East Bethel v. Anoka </w:t>
      </w:r>
      <w:r w:rsidR="00D94D24">
        <w:rPr>
          <w:i/>
        </w:rPr>
        <w:t>County Housing</w:t>
      </w:r>
      <w:r>
        <w:rPr>
          <w:i/>
        </w:rPr>
        <w:t xml:space="preserve"> &amp; Redevelopment Auth</w:t>
      </w:r>
      <w:r w:rsidR="00D94D24">
        <w:rPr>
          <w:i/>
        </w:rPr>
        <w:t>ority</w:t>
      </w:r>
      <w:r>
        <w:t>, 798 N.W.2d 375 (Minn. App. 2011).</w:t>
      </w:r>
    </w:p>
    <w:p w:rsidR="0087000C" w:rsidRDefault="0087000C" w:rsidP="0087000C">
      <w:pPr>
        <w:ind w:firstLine="720"/>
        <w:rPr>
          <w:szCs w:val="26"/>
        </w:rPr>
      </w:pPr>
      <w:r>
        <w:rPr>
          <w:szCs w:val="26"/>
        </w:rPr>
        <w:t>1.</w:t>
      </w:r>
      <w:r>
        <w:rPr>
          <w:szCs w:val="26"/>
        </w:rPr>
        <w:tab/>
        <w:t>The special law authorizing the creation of Anoka County Housing and Redevelopment Authority (ACHRA) prohibits ACHRA from exercising jurisdiction in any city that has established a housing and redevelopment authority (HRA).</w:t>
      </w:r>
    </w:p>
    <w:p w:rsidR="0087000C" w:rsidRPr="008046FF" w:rsidRDefault="0087000C" w:rsidP="0087000C">
      <w:pPr>
        <w:rPr>
          <w:szCs w:val="26"/>
        </w:rPr>
      </w:pPr>
      <w:r>
        <w:rPr>
          <w:szCs w:val="26"/>
        </w:rPr>
        <w:tab/>
        <w:t>2.</w:t>
      </w:r>
      <w:r>
        <w:rPr>
          <w:szCs w:val="26"/>
        </w:rPr>
        <w:tab/>
        <w:t>The special law’s restriction on ACHRA’s jurisdiction limits ACHRA’s authority to assess special-benefit taxes in a city that has established an HRA regardless of when the city HRA was established.</w:t>
      </w:r>
    </w:p>
    <w:p w:rsidR="0087000C" w:rsidRPr="007A43DA" w:rsidRDefault="0087000C" w:rsidP="0087000C"/>
    <w:p w:rsidR="00BD6DBE" w:rsidRDefault="00D94D24" w:rsidP="00BD6DBE">
      <w:pPr>
        <w:pStyle w:val="FootnoteText"/>
        <w:rPr>
          <w:szCs w:val="24"/>
        </w:rPr>
      </w:pPr>
      <w:r>
        <w:rPr>
          <w:i/>
          <w:szCs w:val="24"/>
        </w:rPr>
        <w:t>Minnesota Board</w:t>
      </w:r>
      <w:r w:rsidR="00BD6DBE" w:rsidRPr="00044085">
        <w:rPr>
          <w:i/>
          <w:szCs w:val="24"/>
        </w:rPr>
        <w:t xml:space="preserve"> of Chiropractic Exam</w:t>
      </w:r>
      <w:r>
        <w:rPr>
          <w:i/>
          <w:szCs w:val="24"/>
        </w:rPr>
        <w:t>iners</w:t>
      </w:r>
      <w:r w:rsidR="00BD6DBE" w:rsidRPr="00044085">
        <w:rPr>
          <w:i/>
          <w:szCs w:val="24"/>
        </w:rPr>
        <w:t xml:space="preserve"> v. Cich</w:t>
      </w:r>
      <w:r w:rsidR="00BD6DBE">
        <w:rPr>
          <w:szCs w:val="24"/>
        </w:rPr>
        <w:t>, 788 N.W.2d 515 (Minn. App. 2010).</w:t>
      </w:r>
    </w:p>
    <w:p w:rsidR="00BD6DBE" w:rsidRDefault="00BD6DBE" w:rsidP="00BD6DBE">
      <w:pPr>
        <w:pStyle w:val="Heading1"/>
        <w:keepNext w:val="0"/>
        <w:ind w:firstLine="720"/>
        <w:jc w:val="both"/>
        <w:rPr>
          <w:b w:val="0"/>
          <w:szCs w:val="26"/>
        </w:rPr>
      </w:pPr>
      <w:r>
        <w:rPr>
          <w:b w:val="0"/>
          <w:szCs w:val="26"/>
        </w:rPr>
        <w:t>1.</w:t>
      </w:r>
      <w:r>
        <w:rPr>
          <w:b w:val="0"/>
          <w:szCs w:val="26"/>
        </w:rPr>
        <w:tab/>
        <w:t xml:space="preserve">A district court does not have authority under the injunctive power articulated in Minn. Stat. § 214.11 (2008) to modify or extend an order of the Minnesota Board of Chiropractic Examiners.  </w:t>
      </w:r>
    </w:p>
    <w:p w:rsidR="00BD6DBE" w:rsidRDefault="00BD6DBE" w:rsidP="00BD6DBE">
      <w:pPr>
        <w:ind w:firstLine="720"/>
      </w:pPr>
      <w:r>
        <w:t>2.</w:t>
      </w:r>
      <w:r>
        <w:tab/>
        <w:t xml:space="preserve">Acupuncture is not a “pertinent professional service” for purposes of the </w:t>
      </w:r>
      <w:r w:rsidRPr="005040C3">
        <w:t>Minnesota Professional Firms Act, Minn. Stat. §</w:t>
      </w:r>
      <w:r>
        <w:t xml:space="preserve">§ 319B.01-.12 </w:t>
      </w:r>
      <w:r w:rsidRPr="005040C3">
        <w:t>(2008).</w:t>
      </w:r>
      <w:r>
        <w:t xml:space="preserve">  </w:t>
      </w:r>
    </w:p>
    <w:p w:rsidR="00DB75EE" w:rsidRDefault="00DB75EE" w:rsidP="00711F5A">
      <w:pPr>
        <w:tabs>
          <w:tab w:val="left" w:pos="720"/>
          <w:tab w:val="left" w:pos="1440"/>
          <w:tab w:val="left" w:pos="2160"/>
        </w:tabs>
      </w:pPr>
    </w:p>
    <w:p w:rsidR="00101EC2" w:rsidRPr="00A32E54" w:rsidRDefault="00101EC2" w:rsidP="00101EC2">
      <w:pPr>
        <w:spacing w:before="60"/>
        <w:rPr>
          <w:i/>
        </w:rPr>
      </w:pPr>
      <w:r w:rsidRPr="00220C70">
        <w:rPr>
          <w:i/>
        </w:rPr>
        <w:t xml:space="preserve">Peterson v. </w:t>
      </w:r>
      <w:r w:rsidR="00D94D24">
        <w:rPr>
          <w:i/>
        </w:rPr>
        <w:t>Washington County Housing</w:t>
      </w:r>
      <w:r>
        <w:rPr>
          <w:i/>
        </w:rPr>
        <w:t xml:space="preserve"> &amp; </w:t>
      </w:r>
      <w:r w:rsidRPr="00220C70">
        <w:rPr>
          <w:i/>
        </w:rPr>
        <w:t>Redevelopment Auth</w:t>
      </w:r>
      <w:r w:rsidR="00D94D24">
        <w:rPr>
          <w:i/>
        </w:rPr>
        <w:t>ority</w:t>
      </w:r>
      <w:r>
        <w:t>, ___ N.W.2d ___</w:t>
      </w:r>
      <w:r w:rsidR="009A1F15">
        <w:t>, 2011 WL 3557818</w:t>
      </w:r>
      <w:r>
        <w:t xml:space="preserve"> (Minn. App.</w:t>
      </w:r>
      <w:r w:rsidR="00D94D24">
        <w:t xml:space="preserve"> Aug. 15,</w:t>
      </w:r>
      <w:r>
        <w:t xml:space="preserve"> 20</w:t>
      </w:r>
      <w:r w:rsidR="00831759">
        <w:t>11</w:t>
      </w:r>
      <w:r>
        <w:t>)</w:t>
      </w:r>
      <w:r w:rsidR="00831759">
        <w:t xml:space="preserve">, </w:t>
      </w:r>
      <w:r w:rsidR="00485804">
        <w:rPr>
          <w:i/>
        </w:rPr>
        <w:t>review denied</w:t>
      </w:r>
      <w:r w:rsidR="00831759">
        <w:rPr>
          <w:i/>
        </w:rPr>
        <w:t xml:space="preserve"> </w:t>
      </w:r>
      <w:r w:rsidR="00831759">
        <w:t xml:space="preserve">(Minn. </w:t>
      </w:r>
      <w:r w:rsidR="00485804">
        <w:t>Oct. 26</w:t>
      </w:r>
      <w:r w:rsidR="00831759">
        <w:t>, 2011)</w:t>
      </w:r>
      <w:r w:rsidRPr="00540FC1">
        <w:t>.</w:t>
      </w:r>
    </w:p>
    <w:p w:rsidR="00101EC2" w:rsidRDefault="00101EC2" w:rsidP="00101EC2">
      <w:pPr>
        <w:tabs>
          <w:tab w:val="left" w:pos="720"/>
          <w:tab w:val="left" w:pos="1440"/>
          <w:tab w:val="left" w:pos="2160"/>
        </w:tabs>
      </w:pPr>
      <w:r>
        <w:tab/>
        <w:t xml:space="preserve">A local housing authority’s </w:t>
      </w:r>
      <w:r w:rsidRPr="000954F2">
        <w:t xml:space="preserve">decision to terminate </w:t>
      </w:r>
      <w:r>
        <w:t xml:space="preserve">a Section 8 housing voucher participant’s </w:t>
      </w:r>
      <w:r w:rsidRPr="000954F2">
        <w:t xml:space="preserve">benefits is not arbitrary and capricious </w:t>
      </w:r>
      <w:r>
        <w:t>merely because the housing authority’s hearing officer failed</w:t>
      </w:r>
      <w:r w:rsidRPr="000954F2">
        <w:t xml:space="preserve"> to consider </w:t>
      </w:r>
      <w:r>
        <w:t xml:space="preserve">the mitigating factors listed in title 24, </w:t>
      </w:r>
      <w:r w:rsidRPr="000954F2">
        <w:t>section 982.552(c)(2)</w:t>
      </w:r>
      <w:r>
        <w:t>(i), of the C</w:t>
      </w:r>
      <w:r w:rsidRPr="000954F2">
        <w:t xml:space="preserve">ode of </w:t>
      </w:r>
      <w:r>
        <w:t>F</w:t>
      </w:r>
      <w:r w:rsidRPr="000954F2">
        <w:t xml:space="preserve">ederal </w:t>
      </w:r>
      <w:r>
        <w:t>R</w:t>
      </w:r>
      <w:r w:rsidRPr="000954F2">
        <w:t>egulations.</w:t>
      </w:r>
    </w:p>
    <w:p w:rsidR="00101EC2" w:rsidRDefault="00101EC2" w:rsidP="00711F5A">
      <w:pPr>
        <w:tabs>
          <w:tab w:val="left" w:pos="720"/>
          <w:tab w:val="left" w:pos="1440"/>
          <w:tab w:val="left" w:pos="2160"/>
        </w:tabs>
      </w:pPr>
    </w:p>
    <w:p w:rsidR="00024E96" w:rsidRDefault="00024E96">
      <w:pPr>
        <w:suppressAutoHyphens w:val="0"/>
        <w:jc w:val="left"/>
        <w:rPr>
          <w:b/>
          <w:u w:val="single"/>
        </w:rPr>
      </w:pPr>
      <w:r>
        <w:rPr>
          <w:b/>
          <w:u w:val="single"/>
        </w:rPr>
        <w:br w:type="page"/>
      </w:r>
    </w:p>
    <w:p w:rsidR="00711F5A" w:rsidRDefault="00711F5A" w:rsidP="00711F5A">
      <w:pPr>
        <w:rPr>
          <w:b/>
          <w:u w:val="single"/>
        </w:rPr>
      </w:pPr>
      <w:r>
        <w:rPr>
          <w:b/>
          <w:u w:val="single"/>
        </w:rPr>
        <w:lastRenderedPageBreak/>
        <w:t>Business Organizations</w:t>
      </w:r>
    </w:p>
    <w:p w:rsidR="00711F5A" w:rsidRDefault="00711F5A" w:rsidP="00711F5A"/>
    <w:p w:rsidR="00024E96" w:rsidRDefault="00024E96" w:rsidP="00024E96">
      <w:pPr>
        <w:rPr>
          <w:szCs w:val="26"/>
        </w:rPr>
      </w:pPr>
      <w:r w:rsidRPr="00AA6713">
        <w:rPr>
          <w:i/>
          <w:szCs w:val="26"/>
        </w:rPr>
        <w:t>Asian Women United of Minnesota v. Leiendecker</w:t>
      </w:r>
      <w:r>
        <w:rPr>
          <w:szCs w:val="26"/>
        </w:rPr>
        <w:t xml:space="preserve">, </w:t>
      </w:r>
      <w:r w:rsidRPr="00AA6713">
        <w:rPr>
          <w:szCs w:val="26"/>
        </w:rPr>
        <w:t>789 N.W.2d 688</w:t>
      </w:r>
      <w:r>
        <w:rPr>
          <w:szCs w:val="26"/>
        </w:rPr>
        <w:t xml:space="preserve"> (</w:t>
      </w:r>
      <w:r w:rsidRPr="00AA6713">
        <w:rPr>
          <w:szCs w:val="26"/>
        </w:rPr>
        <w:t>Minn.</w:t>
      </w:r>
      <w:r>
        <w:rPr>
          <w:szCs w:val="26"/>
        </w:rPr>
        <w:t xml:space="preserve"> </w:t>
      </w:r>
      <w:r w:rsidRPr="00AA6713">
        <w:rPr>
          <w:szCs w:val="26"/>
        </w:rPr>
        <w:t>App.</w:t>
      </w:r>
      <w:r>
        <w:rPr>
          <w:szCs w:val="26"/>
        </w:rPr>
        <w:t xml:space="preserve"> </w:t>
      </w:r>
      <w:r w:rsidRPr="00AA6713">
        <w:rPr>
          <w:szCs w:val="26"/>
        </w:rPr>
        <w:t>2010</w:t>
      </w:r>
      <w:r>
        <w:rPr>
          <w:szCs w:val="26"/>
        </w:rPr>
        <w:t>)</w:t>
      </w:r>
      <w:r w:rsidRPr="00AA6713">
        <w:rPr>
          <w:szCs w:val="26"/>
        </w:rPr>
        <w:t>.</w:t>
      </w:r>
    </w:p>
    <w:p w:rsidR="00024E96" w:rsidRPr="00AA6713" w:rsidRDefault="00024E96" w:rsidP="00024E96">
      <w:pPr>
        <w:ind w:firstLine="720"/>
        <w:rPr>
          <w:szCs w:val="26"/>
        </w:rPr>
      </w:pPr>
      <w:r>
        <w:rPr>
          <w:szCs w:val="26"/>
        </w:rPr>
        <w:t>1</w:t>
      </w:r>
      <w:r w:rsidRPr="00AA6713">
        <w:rPr>
          <w:szCs w:val="26"/>
        </w:rPr>
        <w:t xml:space="preserve">. </w:t>
      </w:r>
      <w:r>
        <w:rPr>
          <w:szCs w:val="26"/>
        </w:rPr>
        <w:tab/>
      </w:r>
      <w:r w:rsidRPr="00AA6713">
        <w:rPr>
          <w:szCs w:val="26"/>
        </w:rPr>
        <w:t>Unless otherwise provided in a corporation</w:t>
      </w:r>
      <w:r>
        <w:rPr>
          <w:szCs w:val="26"/>
        </w:rPr>
        <w:t>’</w:t>
      </w:r>
      <w:r w:rsidRPr="00AA6713">
        <w:rPr>
          <w:szCs w:val="26"/>
        </w:rPr>
        <w:t>s articles of incorporation or bylaws, an indemnification advance by a corporation under Minn.</w:t>
      </w:r>
      <w:r>
        <w:rPr>
          <w:szCs w:val="26"/>
        </w:rPr>
        <w:t xml:space="preserve"> </w:t>
      </w:r>
      <w:r w:rsidRPr="00AA6713">
        <w:rPr>
          <w:szCs w:val="26"/>
        </w:rPr>
        <w:t>Stat. § 317A.521, subd. 3 (2008), is mandatory when the statutory requirements for an advance have been met, even when the advance is sought in a proceeding that the corporation brought against the person seeking the advance.</w:t>
      </w:r>
    </w:p>
    <w:p w:rsidR="00024E96" w:rsidRPr="00A302F7" w:rsidRDefault="00024E96" w:rsidP="00024E96">
      <w:pPr>
        <w:ind w:firstLine="720"/>
        <w:rPr>
          <w:szCs w:val="26"/>
        </w:rPr>
      </w:pPr>
      <w:r>
        <w:rPr>
          <w:szCs w:val="26"/>
        </w:rPr>
        <w:t>2.</w:t>
      </w:r>
      <w:r>
        <w:rPr>
          <w:szCs w:val="26"/>
        </w:rPr>
        <w:tab/>
      </w:r>
      <w:r w:rsidRPr="00A302F7">
        <w:rPr>
          <w:szCs w:val="26"/>
        </w:rPr>
        <w:t>When a person who requests an indemnification advance under Minn. Stat. § 317A.521, subd. 3, is determined to be ineligible for an advance under the methods set forth in Minn. Stat. § 317A.521, subd. 6(a)(1)-(4), (b) (2008), the person may apply to the district court for a determination of eligibility under Minn. Stat. § 317A.521, subd. 6(a)(5) (2008), and the district court must make an independent determination whether the person is entitled to an indemnification advance.</w:t>
      </w:r>
    </w:p>
    <w:p w:rsidR="0063449C" w:rsidRDefault="0063449C" w:rsidP="00711F5A"/>
    <w:p w:rsidR="0063449C" w:rsidRDefault="0063449C" w:rsidP="00711F5A">
      <w:r>
        <w:rPr>
          <w:b/>
          <w:u w:val="single"/>
        </w:rPr>
        <w:t>Child Protection</w:t>
      </w:r>
    </w:p>
    <w:p w:rsidR="0063449C" w:rsidRDefault="0063449C" w:rsidP="00711F5A"/>
    <w:p w:rsidR="007A4C36" w:rsidRDefault="007A4C36" w:rsidP="007A4C36">
      <w:r>
        <w:rPr>
          <w:i/>
        </w:rPr>
        <w:t>In re Welfare of Child of J.L.L.</w:t>
      </w:r>
      <w:r>
        <w:t xml:space="preserve">, 801 N.W.2d 405 (Minn. App. 2011), </w:t>
      </w:r>
      <w:r>
        <w:rPr>
          <w:i/>
        </w:rPr>
        <w:t>review denied</w:t>
      </w:r>
      <w:r>
        <w:t xml:space="preserve"> (Minn. July 28, 2011).</w:t>
      </w:r>
    </w:p>
    <w:p w:rsidR="007A4C36" w:rsidRDefault="007A4C36" w:rsidP="007A4C36">
      <w:pPr>
        <w:ind w:firstLine="720"/>
      </w:pPr>
      <w:r>
        <w:t xml:space="preserve">Before a district court orders a termination of parental rights, the court has discretion to allow a parent to withdraw his or her consent to voluntary termination. </w:t>
      </w:r>
    </w:p>
    <w:p w:rsidR="007A4C36" w:rsidRPr="00D76EDD" w:rsidRDefault="007A4C36" w:rsidP="007A4C36">
      <w:pPr>
        <w:pStyle w:val="Indented"/>
        <w:spacing w:line="240" w:lineRule="auto"/>
        <w:ind w:firstLine="0"/>
        <w:rPr>
          <w:rFonts w:ascii="Times New Roman" w:hAnsi="Times New Roman"/>
        </w:rPr>
      </w:pPr>
    </w:p>
    <w:p w:rsidR="0063449C" w:rsidRDefault="0063449C" w:rsidP="0063449C">
      <w:r>
        <w:rPr>
          <w:i/>
        </w:rPr>
        <w:t>In re Welfare of Children of D.M.T.-R.</w:t>
      </w:r>
      <w:r>
        <w:t xml:space="preserve">, </w:t>
      </w:r>
      <w:r w:rsidR="00E06E66">
        <w:t>802</w:t>
      </w:r>
      <w:r>
        <w:t xml:space="preserve"> N.W.2d </w:t>
      </w:r>
      <w:r w:rsidR="00E06E66">
        <w:t>759</w:t>
      </w:r>
      <w:r>
        <w:t xml:space="preserve"> (Minn. App.</w:t>
      </w:r>
      <w:r w:rsidR="00D156E1">
        <w:t xml:space="preserve"> </w:t>
      </w:r>
      <w:r>
        <w:t>2011).</w:t>
      </w:r>
    </w:p>
    <w:p w:rsidR="0063449C" w:rsidRDefault="0063449C" w:rsidP="0063449C">
      <w:pPr>
        <w:pStyle w:val="Heading1"/>
        <w:keepNext w:val="0"/>
        <w:ind w:firstLine="720"/>
        <w:jc w:val="both"/>
        <w:rPr>
          <w:b w:val="0"/>
        </w:rPr>
      </w:pPr>
      <w:r>
        <w:rPr>
          <w:b w:val="0"/>
        </w:rPr>
        <w:t xml:space="preserve">Under the child-protection provisions of the Juvenile Court Act, Minn. Stat. </w:t>
      </w:r>
      <w:r>
        <w:rPr>
          <w:b w:val="0"/>
        </w:rPr>
        <w:br/>
        <w:t xml:space="preserve">§§ 260C.001-260C.451 (2010), and the </w:t>
      </w:r>
      <w:r w:rsidRPr="004E79EA">
        <w:rPr>
          <w:b w:val="0"/>
        </w:rPr>
        <w:t>Uniform Child Custody Jurisdiction and Enforcement Act (UCCJEA), Minn. Stat. §§ 518D.101-</w:t>
      </w:r>
      <w:r>
        <w:rPr>
          <w:b w:val="0"/>
        </w:rPr>
        <w:t>518D</w:t>
      </w:r>
      <w:r w:rsidRPr="004E79EA">
        <w:rPr>
          <w:b w:val="0"/>
        </w:rPr>
        <w:t>.317 (2010),</w:t>
      </w:r>
      <w:r>
        <w:t xml:space="preserve"> </w:t>
      </w:r>
      <w:r>
        <w:rPr>
          <w:b w:val="0"/>
        </w:rPr>
        <w:t>Minnesota district courts have</w:t>
      </w:r>
      <w:r w:rsidRPr="005B7FAB">
        <w:rPr>
          <w:b w:val="0"/>
        </w:rPr>
        <w:t xml:space="preserve"> </w:t>
      </w:r>
      <w:r>
        <w:rPr>
          <w:b w:val="0"/>
        </w:rPr>
        <w:t xml:space="preserve">original and continuing </w:t>
      </w:r>
      <w:r w:rsidRPr="005B7FAB">
        <w:rPr>
          <w:b w:val="0"/>
        </w:rPr>
        <w:t>subject-matter jurisdiction</w:t>
      </w:r>
      <w:r w:rsidRPr="00F110FB">
        <w:rPr>
          <w:b w:val="0"/>
        </w:rPr>
        <w:t xml:space="preserve"> </w:t>
      </w:r>
      <w:r>
        <w:rPr>
          <w:b w:val="0"/>
        </w:rPr>
        <w:t>over proceedings to terminate parental</w:t>
      </w:r>
      <w:r w:rsidRPr="00F110FB">
        <w:rPr>
          <w:b w:val="0"/>
        </w:rPr>
        <w:t xml:space="preserve"> rights to children </w:t>
      </w:r>
      <w:r>
        <w:rPr>
          <w:b w:val="0"/>
        </w:rPr>
        <w:t xml:space="preserve">in Minnesota </w:t>
      </w:r>
      <w:r w:rsidRPr="00F110FB">
        <w:rPr>
          <w:b w:val="0"/>
        </w:rPr>
        <w:t>who are not United States citizens</w:t>
      </w:r>
      <w:r>
        <w:rPr>
          <w:b w:val="0"/>
        </w:rPr>
        <w:t>.</w:t>
      </w:r>
    </w:p>
    <w:p w:rsidR="0063449C" w:rsidRDefault="0063449C" w:rsidP="0063449C"/>
    <w:p w:rsidR="005C2957" w:rsidRDefault="005C2957" w:rsidP="005C2957">
      <w:pPr>
        <w:rPr>
          <w:b/>
          <w:u w:val="single"/>
        </w:rPr>
      </w:pPr>
      <w:r w:rsidRPr="00AB619E">
        <w:rPr>
          <w:b/>
          <w:u w:val="single"/>
        </w:rPr>
        <w:t>Debtor-Creditor</w:t>
      </w:r>
    </w:p>
    <w:p w:rsidR="005C2957" w:rsidRPr="00AB619E" w:rsidRDefault="005C2957" w:rsidP="005C2957">
      <w:pPr>
        <w:pStyle w:val="NormalWeb"/>
        <w:shd w:val="clear" w:color="auto" w:fill="FFFFFF"/>
        <w:spacing w:before="0" w:beforeAutospacing="0" w:after="0" w:afterAutospacing="0"/>
        <w:ind w:firstLine="720"/>
        <w:jc w:val="both"/>
        <w:rPr>
          <w:color w:val="222222"/>
          <w:sz w:val="26"/>
          <w:szCs w:val="26"/>
        </w:rPr>
      </w:pPr>
    </w:p>
    <w:p w:rsidR="005C2957" w:rsidRPr="00C42282" w:rsidRDefault="005C2957" w:rsidP="005C2957">
      <w:r w:rsidRPr="00C42282">
        <w:rPr>
          <w:i/>
        </w:rPr>
        <w:t>Midland Credit M</w:t>
      </w:r>
      <w:r w:rsidR="00431505">
        <w:rPr>
          <w:i/>
        </w:rPr>
        <w:t>anagement</w:t>
      </w:r>
      <w:r w:rsidRPr="00C42282">
        <w:rPr>
          <w:i/>
        </w:rPr>
        <w:t xml:space="preserve"> v. Chatman</w:t>
      </w:r>
      <w:r w:rsidRPr="00C42282">
        <w:t>, 796 N.W.2d 534 (Minn. App. 2011)</w:t>
      </w:r>
      <w:r>
        <w:t>.</w:t>
      </w:r>
      <w:r w:rsidRPr="00C42282">
        <w:t xml:space="preserve"> </w:t>
      </w:r>
    </w:p>
    <w:bookmarkStart w:id="1" w:name="citeas((Cite_as:_2011_WL_978870,_*1_(Min"/>
    <w:bookmarkEnd w:id="1"/>
    <w:p w:rsidR="005C2957" w:rsidRPr="00AB619E" w:rsidRDefault="005C2957" w:rsidP="005C2957">
      <w:pPr>
        <w:ind w:firstLine="720"/>
      </w:pPr>
      <w:r w:rsidRPr="00AB619E">
        <w:fldChar w:fldCharType="begin"/>
      </w:r>
      <w:r w:rsidRPr="00AB619E">
        <w:instrText xml:space="preserve"> HYPERLINK "http://web2.westlaw.com/find/default.wl?tc=-1&amp;docname=MNSTS550.37&amp;rp=%2ffind%2fdefault.wl&amp;sv=Split&amp;rs=WLW11.04&amp;db=1000044&amp;tf=-1&amp;findtype=L&amp;fn=_top&amp;mt=430&amp;vr=2.0&amp;pbc=E8C56D62&amp;ordoc=2024828326" \t "_top" </w:instrText>
      </w:r>
      <w:r w:rsidRPr="00AB619E">
        <w:fldChar w:fldCharType="separate"/>
      </w:r>
      <w:r w:rsidRPr="00AB619E">
        <w:t>Minn. Stat. § 550.37</w:t>
      </w:r>
      <w:r w:rsidRPr="00AB619E">
        <w:fldChar w:fldCharType="end"/>
      </w:r>
      <w:r w:rsidRPr="00AB619E">
        <w:t>, subd. 22 (2010), does not exempt proceeds from the settlement of a personal-injury lawsuit from creditors</w:t>
      </w:r>
      <w:r>
        <w:t>’</w:t>
      </w:r>
      <w:r w:rsidRPr="00AB619E">
        <w:t xml:space="preserve"> claims.</w:t>
      </w:r>
    </w:p>
    <w:p w:rsidR="005C2957" w:rsidRDefault="005C2957" w:rsidP="00711F5A">
      <w:pPr>
        <w:rPr>
          <w:b/>
          <w:u w:val="single"/>
        </w:rPr>
      </w:pPr>
    </w:p>
    <w:p w:rsidR="00A348C5" w:rsidRDefault="00A348C5">
      <w:pPr>
        <w:suppressAutoHyphens w:val="0"/>
        <w:jc w:val="left"/>
        <w:rPr>
          <w:b/>
          <w:u w:val="single"/>
        </w:rPr>
      </w:pPr>
      <w:r>
        <w:rPr>
          <w:b/>
          <w:u w:val="single"/>
        </w:rPr>
        <w:br w:type="page"/>
      </w:r>
    </w:p>
    <w:p w:rsidR="00711F5A" w:rsidRDefault="00B56EAB" w:rsidP="00711F5A">
      <w:r>
        <w:rPr>
          <w:b/>
          <w:u w:val="single"/>
        </w:rPr>
        <w:lastRenderedPageBreak/>
        <w:t>Environmental Law</w:t>
      </w:r>
    </w:p>
    <w:p w:rsidR="00B56EAB" w:rsidRDefault="00B56EAB" w:rsidP="00711F5A"/>
    <w:p w:rsidR="00DA5FAA" w:rsidRDefault="00DA5FAA" w:rsidP="00DA5FAA">
      <w:r>
        <w:rPr>
          <w:i/>
        </w:rPr>
        <w:t>State ex rel. Swan Lake</w:t>
      </w:r>
      <w:r w:rsidR="00D835BB">
        <w:rPr>
          <w:i/>
        </w:rPr>
        <w:t xml:space="preserve"> Area</w:t>
      </w:r>
      <w:r>
        <w:rPr>
          <w:i/>
        </w:rPr>
        <w:t xml:space="preserve"> Wildlife </w:t>
      </w:r>
      <w:r w:rsidR="00D835BB">
        <w:rPr>
          <w:i/>
        </w:rPr>
        <w:t>Association</w:t>
      </w:r>
      <w:r>
        <w:rPr>
          <w:i/>
        </w:rPr>
        <w:t xml:space="preserve"> v. Nicollet </w:t>
      </w:r>
      <w:r w:rsidR="00D835BB">
        <w:rPr>
          <w:i/>
        </w:rPr>
        <w:t>County</w:t>
      </w:r>
      <w:r>
        <w:rPr>
          <w:i/>
        </w:rPr>
        <w:t xml:space="preserve"> Bd. of </w:t>
      </w:r>
      <w:r w:rsidR="00D835BB">
        <w:rPr>
          <w:i/>
        </w:rPr>
        <w:t>County Commissioners</w:t>
      </w:r>
      <w:r>
        <w:t>, 799 N.W.2d 619 (Minn. App. 2011).</w:t>
      </w:r>
    </w:p>
    <w:p w:rsidR="00DA5FAA" w:rsidRDefault="00DA5FAA" w:rsidP="00DA5FAA">
      <w:pPr>
        <w:pStyle w:val="Heading1"/>
        <w:keepNext w:val="0"/>
        <w:ind w:firstLine="720"/>
        <w:jc w:val="both"/>
        <w:rPr>
          <w:b w:val="0"/>
        </w:rPr>
      </w:pPr>
      <w:r>
        <w:rPr>
          <w:b w:val="0"/>
          <w:szCs w:val="26"/>
        </w:rPr>
        <w:t xml:space="preserve">The </w:t>
      </w:r>
      <w:r w:rsidRPr="00B9550D">
        <w:rPr>
          <w:b w:val="0"/>
          <w:szCs w:val="26"/>
        </w:rPr>
        <w:t xml:space="preserve">district court </w:t>
      </w:r>
      <w:r>
        <w:rPr>
          <w:b w:val="0"/>
          <w:szCs w:val="26"/>
        </w:rPr>
        <w:t>did not abuse its discretion by ordering Nicollet County to establish a crest elevation of 973 feet above sea level for Little Lake and Mud Lake as an equitable remedy for the county’s violation of the Minnesota Environmental Rights Act.  The district court rea</w:t>
      </w:r>
      <w:r w:rsidRPr="006D421C">
        <w:rPr>
          <w:b w:val="0"/>
          <w:szCs w:val="26"/>
        </w:rPr>
        <w:t xml:space="preserve">sonably concluded that a </w:t>
      </w:r>
      <w:r>
        <w:rPr>
          <w:b w:val="0"/>
          <w:szCs w:val="26"/>
        </w:rPr>
        <w:t xml:space="preserve">crest </w:t>
      </w:r>
      <w:r w:rsidRPr="006D421C">
        <w:rPr>
          <w:b w:val="0"/>
          <w:szCs w:val="26"/>
        </w:rPr>
        <w:t xml:space="preserve">elevation of 973 feet is </w:t>
      </w:r>
      <w:r>
        <w:rPr>
          <w:b w:val="0"/>
          <w:szCs w:val="26"/>
        </w:rPr>
        <w:t>in harmony with</w:t>
      </w:r>
      <w:r w:rsidRPr="006D421C">
        <w:rPr>
          <w:b w:val="0"/>
          <w:szCs w:val="26"/>
        </w:rPr>
        <w:t xml:space="preserve"> the</w:t>
      </w:r>
      <w:r>
        <w:rPr>
          <w:b w:val="0"/>
          <w:szCs w:val="26"/>
        </w:rPr>
        <w:t xml:space="preserve"> concurrent</w:t>
      </w:r>
      <w:r w:rsidRPr="006D421C">
        <w:rPr>
          <w:b w:val="0"/>
          <w:szCs w:val="26"/>
        </w:rPr>
        <w:t xml:space="preserve"> authority of </w:t>
      </w:r>
      <w:r>
        <w:rPr>
          <w:b w:val="0"/>
          <w:szCs w:val="26"/>
        </w:rPr>
        <w:t>the</w:t>
      </w:r>
      <w:r w:rsidRPr="006D421C">
        <w:rPr>
          <w:b w:val="0"/>
          <w:szCs w:val="26"/>
        </w:rPr>
        <w:t xml:space="preserve"> </w:t>
      </w:r>
      <w:r>
        <w:rPr>
          <w:b w:val="0"/>
          <w:szCs w:val="26"/>
        </w:rPr>
        <w:t>c</w:t>
      </w:r>
      <w:r w:rsidRPr="006D421C">
        <w:rPr>
          <w:b w:val="0"/>
          <w:szCs w:val="26"/>
        </w:rPr>
        <w:t xml:space="preserve">ounty and the Department of Natural Resources to manage water levels pursuant to other statutory schemes.  The district court reasonably concluded that the remedy sought by appellant, a </w:t>
      </w:r>
      <w:r>
        <w:rPr>
          <w:b w:val="0"/>
          <w:szCs w:val="26"/>
        </w:rPr>
        <w:t xml:space="preserve">crest </w:t>
      </w:r>
      <w:r w:rsidRPr="006D421C">
        <w:rPr>
          <w:b w:val="0"/>
          <w:szCs w:val="26"/>
        </w:rPr>
        <w:t>elevation of 976 feet</w:t>
      </w:r>
      <w:r w:rsidRPr="006D421C">
        <w:rPr>
          <w:b w:val="0"/>
        </w:rPr>
        <w:t xml:space="preserve"> above sea level</w:t>
      </w:r>
      <w:r>
        <w:rPr>
          <w:b w:val="0"/>
          <w:szCs w:val="26"/>
        </w:rPr>
        <w:t>, would constitute an improper retroactive application of the Minnesota Environmental Rights Act.   A</w:t>
      </w:r>
      <w:r w:rsidRPr="00E91AE3">
        <w:rPr>
          <w:b w:val="0"/>
          <w:szCs w:val="26"/>
        </w:rPr>
        <w:t>nd</w:t>
      </w:r>
      <w:r>
        <w:rPr>
          <w:b w:val="0"/>
          <w:szCs w:val="26"/>
        </w:rPr>
        <w:t xml:space="preserve"> the district court reasonably concluded that appellant’s sought-after remedy</w:t>
      </w:r>
      <w:r w:rsidRPr="00E91AE3">
        <w:rPr>
          <w:b w:val="0"/>
          <w:szCs w:val="26"/>
        </w:rPr>
        <w:t xml:space="preserve"> would </w:t>
      </w:r>
      <w:r w:rsidRPr="00E91AE3">
        <w:rPr>
          <w:b w:val="0"/>
        </w:rPr>
        <w:t xml:space="preserve">impose unnecessary hardships on </w:t>
      </w:r>
      <w:r>
        <w:rPr>
          <w:b w:val="0"/>
        </w:rPr>
        <w:t>the</w:t>
      </w:r>
      <w:r w:rsidRPr="00E91AE3">
        <w:rPr>
          <w:b w:val="0"/>
        </w:rPr>
        <w:t xml:space="preserve"> </w:t>
      </w:r>
      <w:r>
        <w:rPr>
          <w:b w:val="0"/>
        </w:rPr>
        <w:t>c</w:t>
      </w:r>
      <w:r w:rsidRPr="00E91AE3">
        <w:rPr>
          <w:b w:val="0"/>
        </w:rPr>
        <w:t>ounty as well as the owners of properties near the lakes.</w:t>
      </w:r>
    </w:p>
    <w:p w:rsidR="000219B7" w:rsidRDefault="000219B7" w:rsidP="000219B7"/>
    <w:p w:rsidR="00711F5A" w:rsidRDefault="00711F5A" w:rsidP="00711F5A">
      <w:pPr>
        <w:tabs>
          <w:tab w:val="left" w:pos="720"/>
          <w:tab w:val="left" w:pos="1440"/>
          <w:tab w:val="left" w:pos="2160"/>
        </w:tabs>
        <w:rPr>
          <w:bCs/>
        </w:rPr>
      </w:pPr>
      <w:r>
        <w:rPr>
          <w:b/>
          <w:bCs/>
          <w:u w:val="single"/>
        </w:rPr>
        <w:t>Family Law</w:t>
      </w:r>
    </w:p>
    <w:p w:rsidR="00711F5A" w:rsidRDefault="00711F5A" w:rsidP="00711F5A">
      <w:pPr>
        <w:tabs>
          <w:tab w:val="left" w:pos="720"/>
          <w:tab w:val="left" w:pos="1440"/>
          <w:tab w:val="left" w:pos="2160"/>
        </w:tabs>
        <w:rPr>
          <w:bCs/>
        </w:rPr>
      </w:pPr>
    </w:p>
    <w:p w:rsidR="00910C4F" w:rsidRPr="00A32E54" w:rsidRDefault="00910C4F" w:rsidP="00910C4F">
      <w:pPr>
        <w:keepNext/>
        <w:spacing w:before="60"/>
        <w:rPr>
          <w:i/>
        </w:rPr>
      </w:pPr>
      <w:r>
        <w:rPr>
          <w:i/>
        </w:rPr>
        <w:t>In re Adoption of T.A.M.</w:t>
      </w:r>
      <w:r>
        <w:t>, 791 N.W.2d 573 (Minn. App. 2010)</w:t>
      </w:r>
      <w:r w:rsidRPr="00540FC1">
        <w:t>.</w:t>
      </w:r>
    </w:p>
    <w:p w:rsidR="00910C4F" w:rsidRPr="00833FF8" w:rsidRDefault="00910C4F" w:rsidP="00910C4F">
      <w:pPr>
        <w:pStyle w:val="PlainText"/>
        <w:spacing w:before="60"/>
        <w:ind w:left="43" w:firstLine="677"/>
        <w:jc w:val="both"/>
        <w:rPr>
          <w:rFonts w:ascii="Times New Roman" w:hAnsi="Times New Roman"/>
          <w:sz w:val="26"/>
          <w:szCs w:val="26"/>
        </w:rPr>
      </w:pPr>
      <w:r>
        <w:rPr>
          <w:rFonts w:ascii="Times New Roman" w:hAnsi="Times New Roman"/>
          <w:color w:val="000000"/>
          <w:sz w:val="26"/>
          <w:szCs w:val="26"/>
        </w:rPr>
        <w:t>1.</w:t>
      </w:r>
      <w:r>
        <w:rPr>
          <w:rFonts w:ascii="Times New Roman" w:hAnsi="Times New Roman"/>
          <w:color w:val="000000"/>
          <w:sz w:val="26"/>
          <w:szCs w:val="26"/>
        </w:rPr>
        <w:tab/>
      </w:r>
      <w:r w:rsidRPr="00833FF8">
        <w:rPr>
          <w:rFonts w:ascii="Times New Roman" w:hAnsi="Times New Roman"/>
          <w:color w:val="000000"/>
          <w:sz w:val="26"/>
          <w:szCs w:val="26"/>
        </w:rPr>
        <w:t xml:space="preserve">A party’s motion to vacate an adoption that occurred </w:t>
      </w:r>
      <w:r>
        <w:rPr>
          <w:rFonts w:ascii="Times New Roman" w:hAnsi="Times New Roman"/>
          <w:color w:val="000000"/>
          <w:sz w:val="26"/>
          <w:szCs w:val="26"/>
        </w:rPr>
        <w:t>before January </w:t>
      </w:r>
      <w:r w:rsidRPr="00833FF8">
        <w:rPr>
          <w:rFonts w:ascii="Times New Roman" w:hAnsi="Times New Roman"/>
          <w:color w:val="000000"/>
          <w:sz w:val="26"/>
          <w:szCs w:val="26"/>
        </w:rPr>
        <w:t>1, 2005, is subject to the deadline imposed by Minnesota Rules of Civil Procedure 60.02 rather than the deadline imposed by Minnesota Rules of Adoption Procedure 47.02.</w:t>
      </w:r>
    </w:p>
    <w:p w:rsidR="00910C4F" w:rsidRPr="009453DD" w:rsidRDefault="00910C4F" w:rsidP="00910C4F">
      <w:pPr>
        <w:pStyle w:val="PlainText"/>
        <w:ind w:firstLine="720"/>
        <w:jc w:val="both"/>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ab/>
      </w:r>
      <w:r w:rsidRPr="009453DD">
        <w:rPr>
          <w:rFonts w:ascii="Times New Roman" w:hAnsi="Times New Roman"/>
          <w:sz w:val="26"/>
          <w:szCs w:val="26"/>
        </w:rPr>
        <w:t>Because the argument that Minnesota law does not authorize same-sex “second-parent” adoption by unmarr</w:t>
      </w:r>
      <w:r>
        <w:rPr>
          <w:rFonts w:ascii="Times New Roman" w:hAnsi="Times New Roman"/>
          <w:sz w:val="26"/>
          <w:szCs w:val="26"/>
        </w:rPr>
        <w:t>i</w:t>
      </w:r>
      <w:r w:rsidRPr="009453DD">
        <w:rPr>
          <w:rFonts w:ascii="Times New Roman" w:hAnsi="Times New Roman"/>
          <w:sz w:val="26"/>
          <w:szCs w:val="26"/>
        </w:rPr>
        <w:t xml:space="preserve">ed persons is not frivolous, a natural mother and her attorney do not become subject to conduct-based sanctions under rule 16.02 of the Rules of Adoption Procedure by advancing the argument in a motion </w:t>
      </w:r>
      <w:r>
        <w:rPr>
          <w:rFonts w:ascii="Times New Roman" w:hAnsi="Times New Roman"/>
          <w:sz w:val="26"/>
          <w:szCs w:val="26"/>
        </w:rPr>
        <w:t xml:space="preserve">to </w:t>
      </w:r>
      <w:r w:rsidRPr="009453DD">
        <w:rPr>
          <w:rFonts w:ascii="Times New Roman" w:hAnsi="Times New Roman"/>
          <w:sz w:val="26"/>
          <w:szCs w:val="26"/>
        </w:rPr>
        <w:t>va</w:t>
      </w:r>
      <w:r>
        <w:rPr>
          <w:rFonts w:ascii="Times New Roman" w:hAnsi="Times New Roman"/>
          <w:sz w:val="26"/>
          <w:szCs w:val="26"/>
        </w:rPr>
        <w:t>ca</w:t>
      </w:r>
      <w:r w:rsidRPr="009453DD">
        <w:rPr>
          <w:rFonts w:ascii="Times New Roman" w:hAnsi="Times New Roman"/>
          <w:sz w:val="26"/>
          <w:szCs w:val="26"/>
        </w:rPr>
        <w:t>te the adoption of the mother’s child</w:t>
      </w:r>
      <w:r>
        <w:rPr>
          <w:rFonts w:ascii="Times New Roman" w:hAnsi="Times New Roman"/>
          <w:sz w:val="26"/>
          <w:szCs w:val="26"/>
        </w:rPr>
        <w:t>ren</w:t>
      </w:r>
      <w:r w:rsidRPr="009453DD">
        <w:rPr>
          <w:rFonts w:ascii="Times New Roman" w:hAnsi="Times New Roman"/>
          <w:sz w:val="26"/>
          <w:szCs w:val="26"/>
        </w:rPr>
        <w:t>.</w:t>
      </w:r>
    </w:p>
    <w:p w:rsidR="00910C4F" w:rsidRDefault="00910C4F" w:rsidP="00910C4F">
      <w:pPr>
        <w:tabs>
          <w:tab w:val="left" w:pos="1440"/>
          <w:tab w:val="left" w:pos="2160"/>
        </w:tabs>
        <w:ind w:firstLine="720"/>
        <w:rPr>
          <w:bCs/>
        </w:rPr>
      </w:pPr>
      <w:r>
        <w:t>3.</w:t>
      </w:r>
      <w:r>
        <w:tab/>
        <w:t>An attorney’s personal doubts about the persuasiveness of an argument that he has advanced is not a basis to subject him to conduct-based monetary sanctions under rule 16.02 of the Rules of Adoption Procedure.</w:t>
      </w:r>
    </w:p>
    <w:p w:rsidR="00910C4F" w:rsidRDefault="00910C4F" w:rsidP="00910C4F">
      <w:pPr>
        <w:tabs>
          <w:tab w:val="left" w:pos="720"/>
          <w:tab w:val="left" w:pos="1440"/>
          <w:tab w:val="left" w:pos="2160"/>
        </w:tabs>
        <w:rPr>
          <w:bCs/>
        </w:rPr>
      </w:pPr>
    </w:p>
    <w:p w:rsidR="00447510" w:rsidRDefault="00447510" w:rsidP="00910C4F">
      <w:pPr>
        <w:tabs>
          <w:tab w:val="left" w:pos="720"/>
          <w:tab w:val="left" w:pos="1440"/>
          <w:tab w:val="left" w:pos="2160"/>
        </w:tabs>
        <w:rPr>
          <w:bCs/>
        </w:rPr>
      </w:pPr>
      <w:r>
        <w:rPr>
          <w:bCs/>
          <w:i/>
        </w:rPr>
        <w:t>Boland v. Murtha</w:t>
      </w:r>
      <w:r>
        <w:rPr>
          <w:bCs/>
        </w:rPr>
        <w:t>, 800 N.W2d 179 (Minn. App. 2011).</w:t>
      </w:r>
    </w:p>
    <w:p w:rsidR="00447510" w:rsidRPr="00447510" w:rsidRDefault="00447510" w:rsidP="00910C4F">
      <w:pPr>
        <w:tabs>
          <w:tab w:val="left" w:pos="720"/>
          <w:tab w:val="left" w:pos="1440"/>
          <w:tab w:val="left" w:pos="2160"/>
        </w:tabs>
        <w:rPr>
          <w:bCs/>
        </w:rPr>
      </w:pPr>
      <w:r>
        <w:rPr>
          <w:szCs w:val="26"/>
        </w:rPr>
        <w:tab/>
      </w:r>
      <w:r w:rsidRPr="000759FB">
        <w:rPr>
          <w:szCs w:val="26"/>
        </w:rPr>
        <w:t xml:space="preserve">On appeal of the denial of a motion to modify custody or </w:t>
      </w:r>
      <w:r>
        <w:rPr>
          <w:szCs w:val="26"/>
        </w:rPr>
        <w:t>restrict</w:t>
      </w:r>
      <w:r w:rsidRPr="000759FB">
        <w:rPr>
          <w:szCs w:val="26"/>
        </w:rPr>
        <w:t xml:space="preserve"> parenting time</w:t>
      </w:r>
      <w:r>
        <w:rPr>
          <w:szCs w:val="26"/>
        </w:rPr>
        <w:t xml:space="preserve"> without an evidentiary hearing</w:t>
      </w:r>
      <w:r w:rsidRPr="000759FB">
        <w:rPr>
          <w:szCs w:val="26"/>
        </w:rPr>
        <w:t>, th</w:t>
      </w:r>
      <w:r>
        <w:rPr>
          <w:szCs w:val="26"/>
        </w:rPr>
        <w:t>is court (1) reviews de novo whether the district court properly considered the allegations in the moving party’s affidavits; (2) reviews for an abuse of discretion the district court’s determination of whether a prima facie case for modification or restriction exists; and (3) reviews de novo whether an evidentiary hearing is required.</w:t>
      </w:r>
    </w:p>
    <w:p w:rsidR="00447510" w:rsidRDefault="00447510" w:rsidP="00910C4F">
      <w:pPr>
        <w:tabs>
          <w:tab w:val="left" w:pos="720"/>
          <w:tab w:val="left" w:pos="1440"/>
          <w:tab w:val="left" w:pos="2160"/>
        </w:tabs>
        <w:rPr>
          <w:bCs/>
        </w:rPr>
      </w:pPr>
    </w:p>
    <w:p w:rsidR="00447510" w:rsidRDefault="00447510">
      <w:pPr>
        <w:suppressAutoHyphens w:val="0"/>
        <w:jc w:val="left"/>
        <w:rPr>
          <w:i/>
        </w:rPr>
      </w:pPr>
      <w:r>
        <w:rPr>
          <w:i/>
        </w:rPr>
        <w:br w:type="page"/>
      </w:r>
    </w:p>
    <w:p w:rsidR="00A348C5" w:rsidRDefault="00A348C5">
      <w:pPr>
        <w:suppressAutoHyphens w:val="0"/>
        <w:jc w:val="left"/>
        <w:rPr>
          <w:i/>
        </w:rPr>
      </w:pPr>
    </w:p>
    <w:p w:rsidR="00910C4F" w:rsidRPr="00A32E54" w:rsidRDefault="00910C4F" w:rsidP="0058662D">
      <w:pPr>
        <w:rPr>
          <w:i/>
        </w:rPr>
      </w:pPr>
      <w:r>
        <w:rPr>
          <w:i/>
        </w:rPr>
        <w:t>In re C.D.G.D.</w:t>
      </w:r>
      <w:r>
        <w:t xml:space="preserve">, 800 N.W.2d 652 (Minn. App. 2011), </w:t>
      </w:r>
      <w:r w:rsidRPr="00540FC1">
        <w:rPr>
          <w:i/>
        </w:rPr>
        <w:t xml:space="preserve">review </w:t>
      </w:r>
      <w:r>
        <w:rPr>
          <w:i/>
        </w:rPr>
        <w:t xml:space="preserve">denied </w:t>
      </w:r>
      <w:r>
        <w:t>(Minn. Aug. 24, 2011)</w:t>
      </w:r>
      <w:r w:rsidRPr="00540FC1">
        <w:t>.</w:t>
      </w:r>
    </w:p>
    <w:p w:rsidR="00910C4F" w:rsidRDefault="00910C4F" w:rsidP="00910C4F">
      <w:pPr>
        <w:pStyle w:val="ListParagraph"/>
        <w:ind w:left="47" w:firstLine="673"/>
      </w:pPr>
      <w:r>
        <w:t>1.</w:t>
      </w:r>
      <w:r>
        <w:tab/>
        <w:t>A district court abuses its discretion by treating a grandparent essentially as a noncustodial parent when calculating the amount and arrangement of grandparent visitation under Minnesota Statutes section 257C.08, subdivision 1 (2010).</w:t>
      </w:r>
    </w:p>
    <w:p w:rsidR="00910C4F" w:rsidRDefault="00910C4F" w:rsidP="00910C4F">
      <w:pPr>
        <w:pStyle w:val="ListParagraph"/>
        <w:ind w:left="47" w:firstLine="673"/>
      </w:pPr>
      <w:r>
        <w:t>2.</w:t>
      </w:r>
      <w:r>
        <w:tab/>
        <w:t>A grandparent</w:t>
      </w:r>
      <w:r w:rsidRPr="00A2182E">
        <w:t xml:space="preserve"> </w:t>
      </w:r>
      <w:r>
        <w:t>visitation schedule ordered against a custodial parent’s wishes under Minnesota Statutes section 257C.08, subdivision 1, may be so substantial in quantity and intrusive in structure that it necessarily exceeds the district court’s discretionary authority limiting grandparent visitation to schedules that do not interfere with the parent-child relationship.</w:t>
      </w:r>
    </w:p>
    <w:p w:rsidR="00910C4F" w:rsidRDefault="00910C4F" w:rsidP="00910C4F">
      <w:pPr>
        <w:tabs>
          <w:tab w:val="left" w:pos="1440"/>
          <w:tab w:val="left" w:pos="2160"/>
        </w:tabs>
        <w:ind w:firstLine="673"/>
        <w:rPr>
          <w:bCs/>
        </w:rPr>
      </w:pPr>
      <w:r>
        <w:t>3.</w:t>
      </w:r>
      <w:r>
        <w:tab/>
        <w:t>A district court abuses its discretion by ordering grandparent visitation under Minnesota Statutes section 257C.08, subdivision 1, without giving presumptive deference to the parent’s determination as to visitation or without receiving proof by clear and convincing evidence that the visitation will not interfere with the parent-child relationship.</w:t>
      </w:r>
    </w:p>
    <w:p w:rsidR="00910C4F" w:rsidRDefault="00910C4F" w:rsidP="00910C4F">
      <w:pPr>
        <w:tabs>
          <w:tab w:val="left" w:pos="720"/>
          <w:tab w:val="left" w:pos="1440"/>
          <w:tab w:val="left" w:pos="2160"/>
        </w:tabs>
        <w:rPr>
          <w:bCs/>
        </w:rPr>
      </w:pPr>
    </w:p>
    <w:p w:rsidR="00042011" w:rsidRDefault="0048298E" w:rsidP="00042011">
      <w:r>
        <w:rPr>
          <w:i/>
        </w:rPr>
        <w:t>County</w:t>
      </w:r>
      <w:r w:rsidR="00042011" w:rsidRPr="00044085">
        <w:rPr>
          <w:i/>
        </w:rPr>
        <w:t xml:space="preserve"> of Dakota v. Blackwell</w:t>
      </w:r>
      <w:r w:rsidR="00042011">
        <w:t>, ___ N.W.2d ___</w:t>
      </w:r>
      <w:r w:rsidR="009A1F15">
        <w:t>, 2011 WL 3654529</w:t>
      </w:r>
      <w:r w:rsidR="00042011">
        <w:t xml:space="preserve"> (Minn. App.</w:t>
      </w:r>
      <w:r>
        <w:t xml:space="preserve"> Aug. 22,</w:t>
      </w:r>
      <w:r w:rsidR="00042011">
        <w:t xml:space="preserve"> 2011).</w:t>
      </w:r>
    </w:p>
    <w:p w:rsidR="00042011" w:rsidRDefault="00042011" w:rsidP="00042011">
      <w:pPr>
        <w:pStyle w:val="Heading1"/>
        <w:keepNext w:val="0"/>
        <w:ind w:firstLine="720"/>
        <w:jc w:val="both"/>
        <w:rPr>
          <w:b w:val="0"/>
        </w:rPr>
      </w:pPr>
      <w:r w:rsidRPr="00F616A3">
        <w:rPr>
          <w:b w:val="0"/>
        </w:rPr>
        <w:t>Minn. Stat. § 257.60</w:t>
      </w:r>
      <w:r>
        <w:rPr>
          <w:b w:val="0"/>
        </w:rPr>
        <w:t xml:space="preserve"> (2010) requires that all presumptive fathers and alleged biological fathers be joined in an action brought under the Minnesota Parentage Act.</w:t>
      </w:r>
    </w:p>
    <w:p w:rsidR="00042011" w:rsidRDefault="00042011" w:rsidP="00711F5A">
      <w:pPr>
        <w:tabs>
          <w:tab w:val="left" w:pos="720"/>
          <w:tab w:val="left" w:pos="1440"/>
          <w:tab w:val="left" w:pos="2160"/>
        </w:tabs>
        <w:rPr>
          <w:bCs/>
        </w:rPr>
      </w:pPr>
    </w:p>
    <w:p w:rsidR="00395704" w:rsidRDefault="00395704" w:rsidP="00395704">
      <w:r>
        <w:rPr>
          <w:i/>
        </w:rPr>
        <w:t>Foster v. Foster</w:t>
      </w:r>
      <w:r>
        <w:t xml:space="preserve">, </w:t>
      </w:r>
      <w:r w:rsidR="00F765F3">
        <w:t>802</w:t>
      </w:r>
      <w:r>
        <w:t xml:space="preserve"> N.W.2d </w:t>
      </w:r>
      <w:r w:rsidR="00F765F3">
        <w:t>755</w:t>
      </w:r>
      <w:r>
        <w:t xml:space="preserve"> (Minn. App. 2011).</w:t>
      </w:r>
    </w:p>
    <w:p w:rsidR="00395704" w:rsidRDefault="00CD569F" w:rsidP="00395704">
      <w:pPr>
        <w:tabs>
          <w:tab w:val="left" w:pos="720"/>
          <w:tab w:val="left" w:pos="1440"/>
          <w:tab w:val="left" w:pos="2160"/>
        </w:tabs>
      </w:pPr>
      <w:r>
        <w:tab/>
      </w:r>
      <w:r w:rsidR="00395704" w:rsidRPr="0098368E">
        <w:t xml:space="preserve">After the district court determines that </w:t>
      </w:r>
      <w:r w:rsidR="00395704">
        <w:t xml:space="preserve">changing a minor child’s </w:t>
      </w:r>
      <w:r w:rsidR="00395704" w:rsidRPr="0098368E">
        <w:t xml:space="preserve">name pursuant to Minn. Stat. </w:t>
      </w:r>
      <w:r w:rsidR="00395704">
        <w:t>§ </w:t>
      </w:r>
      <w:r w:rsidR="00395704" w:rsidRPr="0098368E">
        <w:t>259.11(a)</w:t>
      </w:r>
      <w:r w:rsidR="00395704">
        <w:t xml:space="preserve"> (2010),</w:t>
      </w:r>
      <w:r w:rsidR="00395704" w:rsidRPr="0098368E">
        <w:t xml:space="preserve"> is in the best interests of </w:t>
      </w:r>
      <w:r w:rsidR="00395704">
        <w:t>the</w:t>
      </w:r>
      <w:r w:rsidR="00395704" w:rsidRPr="0098368E">
        <w:t xml:space="preserve"> child, </w:t>
      </w:r>
      <w:r w:rsidR="00395704">
        <w:t>a</w:t>
      </w:r>
      <w:r w:rsidR="00395704" w:rsidRPr="0098368E">
        <w:t xml:space="preserve"> parent opposing the change </w:t>
      </w:r>
      <w:r w:rsidR="00395704">
        <w:t xml:space="preserve">may prevent the district court from granting the name-change request by establishing that </w:t>
      </w:r>
      <w:r w:rsidR="00395704" w:rsidRPr="0098368E">
        <w:t>evidence in support of the change is not clear and compelling that the substantial welfare of the</w:t>
      </w:r>
      <w:r w:rsidR="00395704">
        <w:t xml:space="preserve"> child necessitates such change.</w:t>
      </w:r>
    </w:p>
    <w:p w:rsidR="00FA355C" w:rsidRDefault="00FA355C" w:rsidP="00395704">
      <w:pPr>
        <w:tabs>
          <w:tab w:val="left" w:pos="720"/>
          <w:tab w:val="left" w:pos="1440"/>
          <w:tab w:val="left" w:pos="2160"/>
        </w:tabs>
      </w:pPr>
    </w:p>
    <w:p w:rsidR="00447510" w:rsidRDefault="00447510" w:rsidP="00395704">
      <w:pPr>
        <w:tabs>
          <w:tab w:val="left" w:pos="720"/>
          <w:tab w:val="left" w:pos="1440"/>
          <w:tab w:val="left" w:pos="2160"/>
        </w:tabs>
      </w:pPr>
      <w:r>
        <w:rPr>
          <w:i/>
        </w:rPr>
        <w:t>In re Ihde</w:t>
      </w:r>
      <w:r>
        <w:t>, 800 N.W.2d 808 (Minn. App. 2011).</w:t>
      </w:r>
    </w:p>
    <w:p w:rsidR="00447510" w:rsidRPr="00447510" w:rsidRDefault="00E06E66" w:rsidP="00395704">
      <w:pPr>
        <w:tabs>
          <w:tab w:val="left" w:pos="720"/>
          <w:tab w:val="left" w:pos="1440"/>
          <w:tab w:val="left" w:pos="2160"/>
        </w:tabs>
      </w:pPr>
      <w:r>
        <w:rPr>
          <w:szCs w:val="26"/>
        </w:rPr>
        <w:tab/>
        <w:t xml:space="preserve">A party may not compel the </w:t>
      </w:r>
      <w:r w:rsidRPr="001E7C7D">
        <w:rPr>
          <w:szCs w:val="26"/>
        </w:rPr>
        <w:t>removal</w:t>
      </w:r>
      <w:r>
        <w:rPr>
          <w:szCs w:val="26"/>
        </w:rPr>
        <w:t>, pursuant to Minn. R. Civ. P. 63.03,</w:t>
      </w:r>
      <w:r w:rsidRPr="001E7C7D">
        <w:rPr>
          <w:szCs w:val="26"/>
        </w:rPr>
        <w:t xml:space="preserve"> of </w:t>
      </w:r>
      <w:r>
        <w:rPr>
          <w:szCs w:val="26"/>
        </w:rPr>
        <w:t>a</w:t>
      </w:r>
      <w:r w:rsidRPr="001E7C7D">
        <w:rPr>
          <w:szCs w:val="26"/>
        </w:rPr>
        <w:t xml:space="preserve"> district court judge </w:t>
      </w:r>
      <w:r>
        <w:rPr>
          <w:szCs w:val="26"/>
        </w:rPr>
        <w:t>assigned to a motion to modify child custody if the judge</w:t>
      </w:r>
      <w:r w:rsidRPr="001E7C7D">
        <w:rPr>
          <w:szCs w:val="26"/>
        </w:rPr>
        <w:t xml:space="preserve"> previously presided over the part</w:t>
      </w:r>
      <w:r>
        <w:rPr>
          <w:szCs w:val="26"/>
        </w:rPr>
        <w:t>ies’ dissolution action before the judgment and decree.</w:t>
      </w:r>
    </w:p>
    <w:p w:rsidR="00447510" w:rsidRDefault="00447510" w:rsidP="00395704">
      <w:pPr>
        <w:tabs>
          <w:tab w:val="left" w:pos="720"/>
          <w:tab w:val="left" w:pos="1440"/>
          <w:tab w:val="left" w:pos="2160"/>
        </w:tabs>
      </w:pPr>
    </w:p>
    <w:p w:rsidR="00447510" w:rsidRDefault="00447510" w:rsidP="00447510">
      <w:pPr>
        <w:pStyle w:val="FootnoteText"/>
        <w:rPr>
          <w:szCs w:val="24"/>
        </w:rPr>
      </w:pPr>
      <w:r>
        <w:rPr>
          <w:i/>
          <w:szCs w:val="24"/>
        </w:rPr>
        <w:t>In re</w:t>
      </w:r>
      <w:r w:rsidRPr="00221C74">
        <w:rPr>
          <w:i/>
          <w:szCs w:val="24"/>
        </w:rPr>
        <w:t xml:space="preserve"> M.R.P.-C.</w:t>
      </w:r>
      <w:r>
        <w:rPr>
          <w:szCs w:val="24"/>
        </w:rPr>
        <w:t>, 794 N.W.2d 373 (Minn. App. 2011).</w:t>
      </w:r>
    </w:p>
    <w:p w:rsidR="00447510" w:rsidRDefault="00447510" w:rsidP="00447510">
      <w:pPr>
        <w:pStyle w:val="Heading1"/>
        <w:keepNext w:val="0"/>
        <w:jc w:val="both"/>
        <w:rPr>
          <w:b w:val="0"/>
          <w:szCs w:val="26"/>
        </w:rPr>
      </w:pPr>
      <w:r>
        <w:rPr>
          <w:b w:val="0"/>
          <w:szCs w:val="26"/>
        </w:rPr>
        <w:tab/>
        <w:t>The district court has an affirmative obligation to inquire into whether the Indian Child Welfare Act (ICWA) applies to a custody determination when the facts suggest that the subject child may be an Indian child as defined by 25 U.S.C. § 1903(4) (2006).</w:t>
      </w:r>
    </w:p>
    <w:p w:rsidR="00447510" w:rsidRPr="0058662D" w:rsidRDefault="00447510" w:rsidP="00447510"/>
    <w:p w:rsidR="00E06E66" w:rsidRDefault="00E06E66">
      <w:pPr>
        <w:suppressAutoHyphens w:val="0"/>
        <w:jc w:val="left"/>
        <w:rPr>
          <w:i/>
          <w:szCs w:val="26"/>
        </w:rPr>
      </w:pPr>
      <w:r>
        <w:rPr>
          <w:i/>
          <w:szCs w:val="26"/>
        </w:rPr>
        <w:br w:type="page"/>
      </w:r>
    </w:p>
    <w:p w:rsidR="00553D64" w:rsidRDefault="00553D64" w:rsidP="00553D64">
      <w:pPr>
        <w:rPr>
          <w:szCs w:val="26"/>
        </w:rPr>
      </w:pPr>
      <w:r w:rsidRPr="000342C1">
        <w:rPr>
          <w:i/>
          <w:szCs w:val="26"/>
        </w:rPr>
        <w:lastRenderedPageBreak/>
        <w:t>Passolt v. Passolt</w:t>
      </w:r>
      <w:r>
        <w:rPr>
          <w:szCs w:val="26"/>
        </w:rPr>
        <w:t xml:space="preserve">, </w:t>
      </w:r>
      <w:r w:rsidR="00521E35">
        <w:rPr>
          <w:szCs w:val="26"/>
        </w:rPr>
        <w:t>804</w:t>
      </w:r>
      <w:r>
        <w:rPr>
          <w:szCs w:val="26"/>
        </w:rPr>
        <w:t xml:space="preserve"> </w:t>
      </w:r>
      <w:r w:rsidRPr="000342C1">
        <w:rPr>
          <w:szCs w:val="26"/>
        </w:rPr>
        <w:t xml:space="preserve">N.W.2d </w:t>
      </w:r>
      <w:r w:rsidR="00521E35">
        <w:rPr>
          <w:szCs w:val="26"/>
        </w:rPr>
        <w:t>18</w:t>
      </w:r>
      <w:r>
        <w:rPr>
          <w:szCs w:val="26"/>
        </w:rPr>
        <w:t xml:space="preserve"> (</w:t>
      </w:r>
      <w:r w:rsidRPr="000342C1">
        <w:rPr>
          <w:szCs w:val="26"/>
        </w:rPr>
        <w:t>Minn.</w:t>
      </w:r>
      <w:r>
        <w:rPr>
          <w:szCs w:val="26"/>
        </w:rPr>
        <w:t xml:space="preserve"> </w:t>
      </w:r>
      <w:r w:rsidRPr="000342C1">
        <w:rPr>
          <w:szCs w:val="26"/>
        </w:rPr>
        <w:t>App.</w:t>
      </w:r>
      <w:r w:rsidR="00FB132D">
        <w:rPr>
          <w:szCs w:val="26"/>
        </w:rPr>
        <w:t xml:space="preserve"> </w:t>
      </w:r>
      <w:r w:rsidRPr="000342C1">
        <w:rPr>
          <w:szCs w:val="26"/>
        </w:rPr>
        <w:t>2011</w:t>
      </w:r>
      <w:r>
        <w:rPr>
          <w:szCs w:val="26"/>
        </w:rPr>
        <w:t>)</w:t>
      </w:r>
      <w:r w:rsidR="00FB132D">
        <w:rPr>
          <w:szCs w:val="26"/>
        </w:rPr>
        <w:t xml:space="preserve">, </w:t>
      </w:r>
      <w:r w:rsidR="00521E35">
        <w:rPr>
          <w:i/>
          <w:szCs w:val="26"/>
        </w:rPr>
        <w:t>review denied</w:t>
      </w:r>
      <w:r w:rsidR="00FB132D">
        <w:rPr>
          <w:szCs w:val="26"/>
        </w:rPr>
        <w:t xml:space="preserve"> (Minn. </w:t>
      </w:r>
      <w:r w:rsidR="00521E35">
        <w:rPr>
          <w:szCs w:val="26"/>
        </w:rPr>
        <w:t>Nov. 15</w:t>
      </w:r>
      <w:r w:rsidR="00FB132D">
        <w:rPr>
          <w:szCs w:val="26"/>
        </w:rPr>
        <w:t>, 2011)</w:t>
      </w:r>
      <w:r w:rsidRPr="000342C1">
        <w:rPr>
          <w:szCs w:val="26"/>
        </w:rPr>
        <w:t>.</w:t>
      </w:r>
    </w:p>
    <w:p w:rsidR="00553D64" w:rsidRPr="000342C1" w:rsidRDefault="00553D64" w:rsidP="00553D64">
      <w:pPr>
        <w:ind w:firstLine="720"/>
        <w:rPr>
          <w:szCs w:val="26"/>
        </w:rPr>
      </w:pPr>
      <w:r w:rsidRPr="000342C1">
        <w:rPr>
          <w:szCs w:val="26"/>
        </w:rPr>
        <w:t>In determining the appropriateness of a maintenance award under Minn.</w:t>
      </w:r>
      <w:r>
        <w:rPr>
          <w:szCs w:val="26"/>
        </w:rPr>
        <w:t xml:space="preserve"> </w:t>
      </w:r>
      <w:r w:rsidRPr="000342C1">
        <w:rPr>
          <w:szCs w:val="26"/>
        </w:rPr>
        <w:t>Stat. §</w:t>
      </w:r>
      <w:r>
        <w:rPr>
          <w:szCs w:val="26"/>
        </w:rPr>
        <w:t> </w:t>
      </w:r>
      <w:r w:rsidRPr="000342C1">
        <w:rPr>
          <w:szCs w:val="26"/>
        </w:rPr>
        <w:t>518.552 (2010), the district court may consider a maintenance recipient</w:t>
      </w:r>
      <w:r>
        <w:rPr>
          <w:szCs w:val="26"/>
        </w:rPr>
        <w:t>’</w:t>
      </w:r>
      <w:r w:rsidRPr="000342C1">
        <w:rPr>
          <w:szCs w:val="26"/>
        </w:rPr>
        <w:t>s prospective ability to become fully or partially self-supporting without making a finding that the recipient has acted in bad faith to remain unemployed or underemployed.</w:t>
      </w:r>
    </w:p>
    <w:p w:rsidR="00553D64" w:rsidRDefault="00553D64" w:rsidP="00395704">
      <w:pPr>
        <w:tabs>
          <w:tab w:val="left" w:pos="720"/>
          <w:tab w:val="left" w:pos="1440"/>
          <w:tab w:val="left" w:pos="2160"/>
        </w:tabs>
      </w:pPr>
    </w:p>
    <w:p w:rsidR="00D76EDD" w:rsidRDefault="00D76EDD" w:rsidP="00D76EDD">
      <w:pPr>
        <w:pStyle w:val="ListParagraph"/>
        <w:ind w:left="0"/>
      </w:pPr>
      <w:r>
        <w:rPr>
          <w:i/>
        </w:rPr>
        <w:t>Risk</w:t>
      </w:r>
      <w:r w:rsidR="002A643A">
        <w:rPr>
          <w:i/>
        </w:rPr>
        <w:t xml:space="preserve"> ex rel. Miller</w:t>
      </w:r>
      <w:r>
        <w:rPr>
          <w:i/>
        </w:rPr>
        <w:t xml:space="preserve"> v. Stark</w:t>
      </w:r>
      <w:r>
        <w:t xml:space="preserve">, 787 N.W.2d 690 (Minn. App. 2010), </w:t>
      </w:r>
      <w:r>
        <w:rPr>
          <w:i/>
        </w:rPr>
        <w:t>review denied</w:t>
      </w:r>
      <w:r>
        <w:t xml:space="preserve"> (Minn. Nov. 16, 2010).</w:t>
      </w:r>
    </w:p>
    <w:p w:rsidR="00D76EDD" w:rsidRPr="00D76EDD" w:rsidRDefault="00D76EDD" w:rsidP="00D76EDD">
      <w:pPr>
        <w:pStyle w:val="Indented"/>
        <w:spacing w:line="240" w:lineRule="auto"/>
        <w:rPr>
          <w:rFonts w:ascii="Times New Roman" w:hAnsi="Times New Roman"/>
        </w:rPr>
      </w:pPr>
      <w:r w:rsidRPr="00D76EDD">
        <w:rPr>
          <w:rFonts w:ascii="Times New Roman" w:hAnsi="Times New Roman"/>
        </w:rPr>
        <w:t xml:space="preserve">In a bifurcated marriage-dissolution proceeding, when one party dies after the district court dissolves the parties’ marriage, the dissolution proceeding does not abate and the district court has continuing jurisdiction to divide the parties’ property.  </w:t>
      </w:r>
    </w:p>
    <w:p w:rsidR="00FA355C" w:rsidRDefault="00FA355C" w:rsidP="00395704">
      <w:pPr>
        <w:tabs>
          <w:tab w:val="left" w:pos="720"/>
          <w:tab w:val="left" w:pos="1440"/>
          <w:tab w:val="left" w:pos="2160"/>
        </w:tabs>
        <w:rPr>
          <w:bCs/>
        </w:rPr>
      </w:pPr>
    </w:p>
    <w:p w:rsidR="00D76EDD" w:rsidRDefault="00D76EDD" w:rsidP="00D76EDD">
      <w:r>
        <w:rPr>
          <w:i/>
        </w:rPr>
        <w:t>Xiong v. Xiong</w:t>
      </w:r>
      <w:r>
        <w:t xml:space="preserve">, 800 N.W.2d 187 (Minn. App. 2011), </w:t>
      </w:r>
      <w:r>
        <w:rPr>
          <w:i/>
        </w:rPr>
        <w:t>review denied</w:t>
      </w:r>
      <w:r>
        <w:t xml:space="preserve"> (Minn. Aug. 16, 2011).</w:t>
      </w:r>
    </w:p>
    <w:p w:rsidR="009855F3" w:rsidRDefault="00D76EDD" w:rsidP="00395344">
      <w:pPr>
        <w:pStyle w:val="Indented"/>
        <w:spacing w:line="240" w:lineRule="auto"/>
        <w:rPr>
          <w:rFonts w:ascii="Times New Roman" w:hAnsi="Times New Roman"/>
        </w:rPr>
      </w:pPr>
      <w:r w:rsidRPr="00D76EDD">
        <w:rPr>
          <w:rFonts w:ascii="Times New Roman" w:hAnsi="Times New Roman"/>
        </w:rPr>
        <w:t xml:space="preserve">For the purposes of Minnesota’s putative-spouse law, whether a person had a good-faith belief that he or she was legally married is measured subjectively. </w:t>
      </w:r>
    </w:p>
    <w:p w:rsidR="00975858" w:rsidRDefault="00975858" w:rsidP="00395344">
      <w:pPr>
        <w:pStyle w:val="Indented"/>
        <w:spacing w:line="240" w:lineRule="auto"/>
        <w:rPr>
          <w:rFonts w:ascii="Times New Roman" w:hAnsi="Times New Roman"/>
        </w:rPr>
      </w:pPr>
    </w:p>
    <w:p w:rsidR="00711F5A" w:rsidRDefault="00711F5A" w:rsidP="00711F5A">
      <w:pPr>
        <w:tabs>
          <w:tab w:val="left" w:pos="720"/>
          <w:tab w:val="left" w:pos="1440"/>
          <w:tab w:val="left" w:pos="2160"/>
        </w:tabs>
        <w:rPr>
          <w:b/>
          <w:u w:val="single"/>
        </w:rPr>
      </w:pPr>
      <w:r>
        <w:rPr>
          <w:b/>
          <w:u w:val="single"/>
        </w:rPr>
        <w:t>Governmental Immunit</w:t>
      </w:r>
      <w:r w:rsidR="00553D64">
        <w:rPr>
          <w:b/>
          <w:u w:val="single"/>
        </w:rPr>
        <w:t>ies</w:t>
      </w:r>
    </w:p>
    <w:p w:rsidR="009B6805" w:rsidRDefault="009B6805" w:rsidP="00711F5A">
      <w:pPr>
        <w:tabs>
          <w:tab w:val="left" w:pos="720"/>
          <w:tab w:val="left" w:pos="1440"/>
          <w:tab w:val="left" w:pos="2160"/>
        </w:tabs>
        <w:rPr>
          <w:b/>
          <w:u w:val="single"/>
        </w:rPr>
      </w:pPr>
    </w:p>
    <w:p w:rsidR="0081753B" w:rsidRDefault="0081753B" w:rsidP="0081753B">
      <w:pPr>
        <w:rPr>
          <w:szCs w:val="26"/>
        </w:rPr>
      </w:pPr>
      <w:r w:rsidRPr="00AA6713">
        <w:rPr>
          <w:i/>
          <w:szCs w:val="26"/>
        </w:rPr>
        <w:t>Curtis v. Klausler</w:t>
      </w:r>
      <w:r>
        <w:rPr>
          <w:szCs w:val="26"/>
        </w:rPr>
        <w:t xml:space="preserve">, </w:t>
      </w:r>
      <w:r w:rsidRPr="00AA6713">
        <w:rPr>
          <w:szCs w:val="26"/>
        </w:rPr>
        <w:t>802 N.W.2d 790</w:t>
      </w:r>
      <w:r>
        <w:rPr>
          <w:szCs w:val="26"/>
        </w:rPr>
        <w:t xml:space="preserve"> (</w:t>
      </w:r>
      <w:r w:rsidRPr="00AA6713">
        <w:rPr>
          <w:szCs w:val="26"/>
        </w:rPr>
        <w:t>Minn.</w:t>
      </w:r>
      <w:r>
        <w:rPr>
          <w:szCs w:val="26"/>
        </w:rPr>
        <w:t xml:space="preserve"> </w:t>
      </w:r>
      <w:r w:rsidRPr="00AA6713">
        <w:rPr>
          <w:szCs w:val="26"/>
        </w:rPr>
        <w:t>App.</w:t>
      </w:r>
      <w:r>
        <w:rPr>
          <w:szCs w:val="26"/>
        </w:rPr>
        <w:t xml:space="preserve"> </w:t>
      </w:r>
      <w:r w:rsidRPr="00AA6713">
        <w:rPr>
          <w:szCs w:val="26"/>
        </w:rPr>
        <w:t>2011</w:t>
      </w:r>
      <w:r>
        <w:rPr>
          <w:szCs w:val="26"/>
        </w:rPr>
        <w:t>)</w:t>
      </w:r>
      <w:r w:rsidR="00FB132D">
        <w:rPr>
          <w:szCs w:val="26"/>
        </w:rPr>
        <w:t xml:space="preserve">, </w:t>
      </w:r>
      <w:r w:rsidR="00AB18A0">
        <w:rPr>
          <w:i/>
          <w:szCs w:val="26"/>
        </w:rPr>
        <w:t>review denied</w:t>
      </w:r>
      <w:r w:rsidR="00FB132D">
        <w:rPr>
          <w:szCs w:val="26"/>
        </w:rPr>
        <w:t xml:space="preserve"> (Minn. </w:t>
      </w:r>
      <w:r w:rsidR="00AB18A0">
        <w:rPr>
          <w:szCs w:val="26"/>
        </w:rPr>
        <w:t>Oct. 18</w:t>
      </w:r>
      <w:r w:rsidR="00FB132D">
        <w:rPr>
          <w:szCs w:val="26"/>
        </w:rPr>
        <w:t>, 2011)</w:t>
      </w:r>
      <w:r w:rsidRPr="00AA6713">
        <w:rPr>
          <w:szCs w:val="26"/>
        </w:rPr>
        <w:t>.</w:t>
      </w:r>
    </w:p>
    <w:p w:rsidR="0081753B" w:rsidRPr="00AA6713" w:rsidRDefault="0081753B" w:rsidP="0081753B">
      <w:pPr>
        <w:ind w:firstLine="720"/>
        <w:rPr>
          <w:szCs w:val="26"/>
        </w:rPr>
      </w:pPr>
      <w:r w:rsidRPr="00AA6713">
        <w:rPr>
          <w:szCs w:val="26"/>
        </w:rPr>
        <w:t>In order for a governmental entity to be entitled to statutory immunity pursuant to Minn.</w:t>
      </w:r>
      <w:r>
        <w:rPr>
          <w:szCs w:val="26"/>
        </w:rPr>
        <w:t xml:space="preserve"> </w:t>
      </w:r>
      <w:r w:rsidRPr="00AA6713">
        <w:rPr>
          <w:szCs w:val="26"/>
        </w:rPr>
        <w:t>Stat. § 3.736, subd. 3(e) (2010), a wild animal in its natural state must be a direct and proximate cause of the plaintiff</w:t>
      </w:r>
      <w:r>
        <w:rPr>
          <w:szCs w:val="26"/>
        </w:rPr>
        <w:t>’</w:t>
      </w:r>
      <w:r w:rsidRPr="00AA6713">
        <w:rPr>
          <w:szCs w:val="26"/>
        </w:rPr>
        <w:t>s injuries.</w:t>
      </w:r>
    </w:p>
    <w:p w:rsidR="009B6805" w:rsidRDefault="009B6805">
      <w:pPr>
        <w:suppressAutoHyphens w:val="0"/>
        <w:jc w:val="left"/>
        <w:rPr>
          <w:b/>
          <w:u w:val="single"/>
        </w:rPr>
      </w:pPr>
    </w:p>
    <w:p w:rsidR="00711F5A" w:rsidRPr="00EF617E" w:rsidRDefault="00711F5A" w:rsidP="00711F5A">
      <w:pPr>
        <w:rPr>
          <w:b/>
          <w:u w:val="single"/>
        </w:rPr>
      </w:pPr>
      <w:r>
        <w:rPr>
          <w:b/>
          <w:u w:val="single"/>
        </w:rPr>
        <w:t>Insurance Coverage</w:t>
      </w:r>
    </w:p>
    <w:p w:rsidR="00711F5A" w:rsidRDefault="00711F5A" w:rsidP="00711F5A"/>
    <w:p w:rsidR="003B00A2" w:rsidRDefault="003B00A2" w:rsidP="003B00A2">
      <w:pPr>
        <w:rPr>
          <w:szCs w:val="26"/>
        </w:rPr>
      </w:pPr>
      <w:r w:rsidRPr="00AA6713">
        <w:rPr>
          <w:i/>
          <w:szCs w:val="26"/>
        </w:rPr>
        <w:t>EEP Workers</w:t>
      </w:r>
      <w:r>
        <w:rPr>
          <w:i/>
          <w:szCs w:val="26"/>
        </w:rPr>
        <w:t>’</w:t>
      </w:r>
      <w:r w:rsidRPr="00AA6713">
        <w:rPr>
          <w:i/>
          <w:szCs w:val="26"/>
        </w:rPr>
        <w:t xml:space="preserve"> Compensation Fund v. Fun &amp; Sun, Inc.</w:t>
      </w:r>
      <w:r>
        <w:rPr>
          <w:szCs w:val="26"/>
        </w:rPr>
        <w:t xml:space="preserve">, </w:t>
      </w:r>
      <w:r w:rsidRPr="00324B5C">
        <w:rPr>
          <w:szCs w:val="26"/>
        </w:rPr>
        <w:t>794 N.W.2d 126</w:t>
      </w:r>
      <w:r>
        <w:rPr>
          <w:szCs w:val="26"/>
        </w:rPr>
        <w:t xml:space="preserve"> (</w:t>
      </w:r>
      <w:r w:rsidRPr="00324B5C">
        <w:rPr>
          <w:szCs w:val="26"/>
        </w:rPr>
        <w:t>Minn.</w:t>
      </w:r>
      <w:r>
        <w:rPr>
          <w:szCs w:val="26"/>
        </w:rPr>
        <w:t xml:space="preserve"> </w:t>
      </w:r>
      <w:r w:rsidRPr="00324B5C">
        <w:rPr>
          <w:szCs w:val="26"/>
        </w:rPr>
        <w:t>App.</w:t>
      </w:r>
      <w:r>
        <w:rPr>
          <w:szCs w:val="26"/>
        </w:rPr>
        <w:t xml:space="preserve"> </w:t>
      </w:r>
      <w:r w:rsidRPr="00324B5C">
        <w:rPr>
          <w:szCs w:val="26"/>
        </w:rPr>
        <w:t>2011</w:t>
      </w:r>
      <w:r>
        <w:rPr>
          <w:szCs w:val="26"/>
        </w:rPr>
        <w:t>)</w:t>
      </w:r>
      <w:r w:rsidRPr="00324B5C">
        <w:rPr>
          <w:szCs w:val="26"/>
        </w:rPr>
        <w:t>.</w:t>
      </w:r>
    </w:p>
    <w:p w:rsidR="003B00A2" w:rsidRPr="00A302F7" w:rsidRDefault="003B00A2" w:rsidP="003B00A2">
      <w:pPr>
        <w:ind w:firstLine="720"/>
        <w:rPr>
          <w:szCs w:val="26"/>
        </w:rPr>
      </w:pPr>
      <w:r>
        <w:rPr>
          <w:szCs w:val="26"/>
        </w:rPr>
        <w:t>1.</w:t>
      </w:r>
      <w:r>
        <w:rPr>
          <w:szCs w:val="26"/>
        </w:rPr>
        <w:tab/>
      </w:r>
      <w:r w:rsidRPr="00A302F7">
        <w:rPr>
          <w:szCs w:val="26"/>
        </w:rPr>
        <w:t>A former employer-member of a workers</w:t>
      </w:r>
      <w:r>
        <w:rPr>
          <w:szCs w:val="26"/>
        </w:rPr>
        <w:t>’</w:t>
      </w:r>
      <w:r w:rsidRPr="00A302F7">
        <w:rPr>
          <w:szCs w:val="26"/>
        </w:rPr>
        <w:t xml:space="preserve"> compensation self-insurance group is liable to reimburse the group for benefits paid to its employee after the employer-member has withdrawn from the group for an injury that occurred prior to withdrawal.</w:t>
      </w:r>
    </w:p>
    <w:p w:rsidR="003B00A2" w:rsidRPr="00AA6713" w:rsidRDefault="003B00A2" w:rsidP="003B00A2">
      <w:pPr>
        <w:ind w:firstLine="720"/>
        <w:rPr>
          <w:szCs w:val="26"/>
        </w:rPr>
      </w:pPr>
      <w:r>
        <w:rPr>
          <w:szCs w:val="26"/>
        </w:rPr>
        <w:t>2.</w:t>
      </w:r>
      <w:r>
        <w:rPr>
          <w:szCs w:val="26"/>
        </w:rPr>
        <w:tab/>
      </w:r>
      <w:r w:rsidRPr="00AA6713">
        <w:rPr>
          <w:szCs w:val="26"/>
        </w:rPr>
        <w:t>A workers</w:t>
      </w:r>
      <w:r>
        <w:rPr>
          <w:szCs w:val="26"/>
        </w:rPr>
        <w:t>’</w:t>
      </w:r>
      <w:r w:rsidRPr="00AA6713">
        <w:rPr>
          <w:szCs w:val="26"/>
        </w:rPr>
        <w:t xml:space="preserve"> compensation self-insurance group may be equitably estopped from recovering reimbursement from an employer-member if the group fails to keep the employer-member apprised of outstanding claims and the employer-member</w:t>
      </w:r>
      <w:r>
        <w:rPr>
          <w:szCs w:val="26"/>
        </w:rPr>
        <w:t>’</w:t>
      </w:r>
      <w:r w:rsidRPr="00AA6713">
        <w:rPr>
          <w:szCs w:val="26"/>
        </w:rPr>
        <w:t>s negative individual fund balance upon and subsequent to its withdrawal from the fund.</w:t>
      </w:r>
    </w:p>
    <w:p w:rsidR="00711F5A" w:rsidRDefault="00711F5A" w:rsidP="00711F5A">
      <w:pPr>
        <w:tabs>
          <w:tab w:val="left" w:pos="720"/>
          <w:tab w:val="left" w:pos="1440"/>
        </w:tabs>
        <w:rPr>
          <w:b/>
          <w:u w:val="single"/>
        </w:rPr>
      </w:pPr>
    </w:p>
    <w:p w:rsidR="00AB18A0" w:rsidRDefault="00AB18A0">
      <w:pPr>
        <w:suppressAutoHyphens w:val="0"/>
        <w:jc w:val="left"/>
        <w:rPr>
          <w:b/>
          <w:u w:val="single"/>
        </w:rPr>
      </w:pPr>
      <w:r>
        <w:rPr>
          <w:b/>
          <w:u w:val="single"/>
        </w:rPr>
        <w:br w:type="page"/>
      </w:r>
    </w:p>
    <w:p w:rsidR="00711F5A" w:rsidRPr="00213267" w:rsidRDefault="00711F5A" w:rsidP="00711F5A">
      <w:pPr>
        <w:tabs>
          <w:tab w:val="left" w:pos="720"/>
          <w:tab w:val="left" w:pos="1440"/>
        </w:tabs>
        <w:rPr>
          <w:b/>
          <w:u w:val="single"/>
        </w:rPr>
      </w:pPr>
      <w:r>
        <w:rPr>
          <w:b/>
          <w:u w:val="single"/>
        </w:rPr>
        <w:lastRenderedPageBreak/>
        <w:t>Jurisdiction and Procedure</w:t>
      </w:r>
    </w:p>
    <w:p w:rsidR="00711F5A" w:rsidRDefault="00711F5A" w:rsidP="00711F5A">
      <w:pPr>
        <w:tabs>
          <w:tab w:val="left" w:pos="720"/>
          <w:tab w:val="left" w:pos="1440"/>
        </w:tabs>
      </w:pPr>
    </w:p>
    <w:p w:rsidR="0086635F" w:rsidRDefault="0086635F" w:rsidP="0086635F">
      <w:r>
        <w:rPr>
          <w:i/>
        </w:rPr>
        <w:t xml:space="preserve">Butts by Iverson v. Evangelical Lutheran Good Samaritan </w:t>
      </w:r>
      <w:r w:rsidR="00FA1084">
        <w:rPr>
          <w:i/>
        </w:rPr>
        <w:t>Society</w:t>
      </w:r>
      <w:r>
        <w:t xml:space="preserve">, </w:t>
      </w:r>
      <w:r w:rsidR="00AB18A0">
        <w:t>802</w:t>
      </w:r>
      <w:r>
        <w:t xml:space="preserve"> N.W.2d </w:t>
      </w:r>
      <w:r w:rsidR="00AB18A0">
        <w:t>839</w:t>
      </w:r>
      <w:r>
        <w:t xml:space="preserve"> (Minn. App.</w:t>
      </w:r>
      <w:r w:rsidR="00FA1084">
        <w:t xml:space="preserve"> </w:t>
      </w:r>
      <w:r>
        <w:t xml:space="preserve">2011), </w:t>
      </w:r>
      <w:r w:rsidR="00485804">
        <w:rPr>
          <w:i/>
        </w:rPr>
        <w:t>review denied</w:t>
      </w:r>
      <w:r>
        <w:t xml:space="preserve"> (</w:t>
      </w:r>
      <w:r w:rsidR="00FA1084">
        <w:t xml:space="preserve">Minn. </w:t>
      </w:r>
      <w:r w:rsidR="00485804">
        <w:t>Oct. 26</w:t>
      </w:r>
      <w:r>
        <w:t>, 2011).</w:t>
      </w:r>
    </w:p>
    <w:p w:rsidR="0086635F" w:rsidRPr="00153D43" w:rsidRDefault="0086635F" w:rsidP="0086635F">
      <w:pPr>
        <w:pStyle w:val="Heading1"/>
        <w:keepNext w:val="0"/>
        <w:ind w:firstLine="720"/>
        <w:jc w:val="both"/>
      </w:pPr>
      <w:r>
        <w:rPr>
          <w:b w:val="0"/>
          <w:szCs w:val="26"/>
        </w:rPr>
        <w:t xml:space="preserve">A district court abuses its discretion by granting a motion for voluntary dismissal of claims that have abated under Minnesota’s survival statute, Minn. Stat. § 573.01 (2010), because dismissal without prejudice deprives the defendant of an  otherwise available defense.  </w:t>
      </w:r>
    </w:p>
    <w:p w:rsidR="0086635F" w:rsidRDefault="0086635F" w:rsidP="00711F5A">
      <w:pPr>
        <w:tabs>
          <w:tab w:val="left" w:pos="720"/>
          <w:tab w:val="left" w:pos="1440"/>
        </w:tabs>
      </w:pPr>
    </w:p>
    <w:p w:rsidR="00B80352" w:rsidRPr="00C42282" w:rsidRDefault="00B80352" w:rsidP="00B80352">
      <w:pPr>
        <w:tabs>
          <w:tab w:val="left" w:pos="720"/>
          <w:tab w:val="left" w:pos="1440"/>
        </w:tabs>
      </w:pPr>
      <w:r w:rsidRPr="00C42282">
        <w:rPr>
          <w:i/>
        </w:rPr>
        <w:t>Collins v. </w:t>
      </w:r>
      <w:hyperlink r:id="rId12" w:tgtFrame="_top" w:history="1">
        <w:r w:rsidRPr="00C42282">
          <w:rPr>
            <w:i/>
          </w:rPr>
          <w:t>Waconia Dodge, Inc</w:t>
        </w:r>
      </w:hyperlink>
      <w:r w:rsidRPr="00C42282">
        <w:rPr>
          <w:i/>
        </w:rPr>
        <w:t>.</w:t>
      </w:r>
      <w:r w:rsidRPr="00C42282">
        <w:t>, 793 N.W.2d 142 (Minn. App. 2011)</w:t>
      </w:r>
      <w:r>
        <w:t xml:space="preserve">, </w:t>
      </w:r>
      <w:r>
        <w:rPr>
          <w:i/>
        </w:rPr>
        <w:t>review denied</w:t>
      </w:r>
      <w:r>
        <w:t xml:space="preserve"> (Minn. Mar. 15, 2011).</w:t>
      </w:r>
    </w:p>
    <w:p w:rsidR="00B80352" w:rsidRPr="00AB619E" w:rsidRDefault="00B80352" w:rsidP="00B80352">
      <w:pPr>
        <w:tabs>
          <w:tab w:val="left" w:pos="720"/>
          <w:tab w:val="left" w:pos="1440"/>
        </w:tabs>
      </w:pPr>
      <w:r w:rsidRPr="00AB619E">
        <w:tab/>
        <w:t>A district court may sanction a party for bringing a meritless claim after the claim survived a summary-judgment motion if the denial of summary judgment does not relate to the issue on which sanctions were imposed.</w:t>
      </w:r>
    </w:p>
    <w:p w:rsidR="00B80352" w:rsidRDefault="00B80352" w:rsidP="00711F5A">
      <w:pPr>
        <w:tabs>
          <w:tab w:val="left" w:pos="720"/>
          <w:tab w:val="left" w:pos="1440"/>
        </w:tabs>
      </w:pPr>
    </w:p>
    <w:p w:rsidR="0086635F" w:rsidRPr="00B5671C" w:rsidRDefault="00FA1084" w:rsidP="0086635F">
      <w:r>
        <w:rPr>
          <w:i/>
        </w:rPr>
        <w:t>County</w:t>
      </w:r>
      <w:r w:rsidR="0086635F">
        <w:rPr>
          <w:i/>
        </w:rPr>
        <w:t xml:space="preserve"> of Washington v. TMT Land V</w:t>
      </w:r>
      <w:r w:rsidR="0086635F">
        <w:t xml:space="preserve">, </w:t>
      </w:r>
      <w:r w:rsidR="0086635F" w:rsidRPr="0048436C">
        <w:rPr>
          <w:i/>
        </w:rPr>
        <w:t>LLC</w:t>
      </w:r>
      <w:r w:rsidR="0086635F" w:rsidRPr="0048436C">
        <w:t>,</w:t>
      </w:r>
      <w:r w:rsidR="0086635F">
        <w:t xml:space="preserve"> 791 N.W.2d 132 (Minn. App. 2010).</w:t>
      </w:r>
    </w:p>
    <w:p w:rsidR="0086635F" w:rsidRDefault="0086635F" w:rsidP="0086635F">
      <w:pPr>
        <w:pStyle w:val="Heading1"/>
        <w:keepNext w:val="0"/>
        <w:jc w:val="both"/>
        <w:rPr>
          <w:b w:val="0"/>
        </w:rPr>
      </w:pPr>
      <w:r>
        <w:rPr>
          <w:b w:val="0"/>
          <w:szCs w:val="26"/>
        </w:rPr>
        <w:tab/>
        <w:t xml:space="preserve">A district court abuses its discretion when it orders the entry of judgment </w:t>
      </w:r>
      <w:r w:rsidRPr="00746A6B">
        <w:rPr>
          <w:b w:val="0"/>
          <w:i/>
          <w:szCs w:val="26"/>
        </w:rPr>
        <w:t>nunc pro tunc</w:t>
      </w:r>
      <w:r>
        <w:rPr>
          <w:b w:val="0"/>
          <w:szCs w:val="26"/>
        </w:rPr>
        <w:t xml:space="preserve"> thereby amending the date of entry of judgment to </w:t>
      </w:r>
      <w:r w:rsidRPr="00CC31AB">
        <w:rPr>
          <w:b w:val="0"/>
        </w:rPr>
        <w:t xml:space="preserve">avoid application of </w:t>
      </w:r>
      <w:r>
        <w:rPr>
          <w:b w:val="0"/>
        </w:rPr>
        <w:t xml:space="preserve">the effective interest rate set forth in Minn. Stat. § </w:t>
      </w:r>
      <w:r w:rsidRPr="00CC31AB">
        <w:rPr>
          <w:b w:val="0"/>
        </w:rPr>
        <w:t>549.09</w:t>
      </w:r>
      <w:r>
        <w:rPr>
          <w:b w:val="0"/>
        </w:rPr>
        <w:t>, subd. 1(c) (Supp. 2009)</w:t>
      </w:r>
      <w:r w:rsidRPr="00CC31AB">
        <w:rPr>
          <w:b w:val="0"/>
        </w:rPr>
        <w:t>.</w:t>
      </w:r>
    </w:p>
    <w:p w:rsidR="0086635F" w:rsidRDefault="0086635F" w:rsidP="0086635F"/>
    <w:p w:rsidR="00D73632" w:rsidRDefault="00D73632" w:rsidP="00D73632">
      <w:r>
        <w:rPr>
          <w:i/>
        </w:rPr>
        <w:t>D.Y.N. Kiev, LLC v. Jackson</w:t>
      </w:r>
      <w:r>
        <w:t xml:space="preserve">, </w:t>
      </w:r>
      <w:r w:rsidR="008A1800">
        <w:t>802</w:t>
      </w:r>
      <w:r>
        <w:t xml:space="preserve"> N.W.2d </w:t>
      </w:r>
      <w:r w:rsidR="008A1800">
        <w:t>821</w:t>
      </w:r>
      <w:r>
        <w:t xml:space="preserve"> (Minn. App. 2011).</w:t>
      </w:r>
    </w:p>
    <w:p w:rsidR="00D73632" w:rsidRDefault="00D73632" w:rsidP="00D73632">
      <w:pPr>
        <w:ind w:firstLine="720"/>
      </w:pPr>
      <w:r>
        <w:rPr>
          <w:szCs w:val="26"/>
        </w:rPr>
        <w:t xml:space="preserve">An award of attorney fees pursuant to Minnesota Statutes section 322B.38 or section 322B.833, subdivision 7, does not relate to the merits of a violation of chapter 322B but, rather, is collateral to the merits.  Thus, </w:t>
      </w:r>
      <w:r w:rsidRPr="00D73BE6">
        <w:t xml:space="preserve">a judgment on </w:t>
      </w:r>
      <w:r>
        <w:t xml:space="preserve">the merits of a claim alleging </w:t>
      </w:r>
      <w:r>
        <w:rPr>
          <w:szCs w:val="26"/>
        </w:rPr>
        <w:t xml:space="preserve">a violation of chapter 322B </w:t>
      </w:r>
      <w:r w:rsidRPr="00D73BE6">
        <w:t xml:space="preserve">is </w:t>
      </w:r>
      <w:r>
        <w:t xml:space="preserve">an </w:t>
      </w:r>
      <w:r w:rsidRPr="00D73BE6">
        <w:t>appealable final judgment</w:t>
      </w:r>
      <w:r>
        <w:t xml:space="preserve"> even if the issue </w:t>
      </w:r>
      <w:r w:rsidRPr="00D73BE6">
        <w:t>of attorney fees</w:t>
      </w:r>
      <w:r>
        <w:t xml:space="preserve"> has been reserved</w:t>
      </w:r>
      <w:r w:rsidRPr="00D73BE6">
        <w:t>.</w:t>
      </w:r>
    </w:p>
    <w:p w:rsidR="00D73632" w:rsidRPr="00DB75EE" w:rsidRDefault="00D73632" w:rsidP="00D73632">
      <w:pPr>
        <w:tabs>
          <w:tab w:val="left" w:pos="720"/>
          <w:tab w:val="left" w:pos="1440"/>
          <w:tab w:val="left" w:pos="2160"/>
        </w:tabs>
        <w:rPr>
          <w:b/>
          <w:u w:val="single"/>
        </w:rPr>
      </w:pPr>
    </w:p>
    <w:p w:rsidR="001329CC" w:rsidRDefault="001329CC" w:rsidP="001329CC">
      <w:pPr>
        <w:pStyle w:val="ListParagraph"/>
        <w:ind w:left="0"/>
      </w:pPr>
      <w:r>
        <w:rPr>
          <w:i/>
        </w:rPr>
        <w:t>Elsenpeter v. St. Michael Mall</w:t>
      </w:r>
      <w:r>
        <w:t xml:space="preserve">, </w:t>
      </w:r>
      <w:r w:rsidRPr="0048436C">
        <w:rPr>
          <w:i/>
        </w:rPr>
        <w:t>Inc.</w:t>
      </w:r>
      <w:r>
        <w:t>, 794 N.W.2d 667 (Minn. App. 2011).</w:t>
      </w:r>
    </w:p>
    <w:p w:rsidR="001329CC" w:rsidRDefault="001329CC" w:rsidP="001329CC">
      <w:pPr>
        <w:ind w:firstLine="720"/>
      </w:pPr>
      <w:r>
        <w:t>A party who obtains an order compelling arbitration, but does not prevail in the underlying action, is not a prevailing party entitled to an award of fees and costs.</w:t>
      </w:r>
    </w:p>
    <w:p w:rsidR="001329CC" w:rsidRDefault="001329CC" w:rsidP="008C1D4E">
      <w:pPr>
        <w:tabs>
          <w:tab w:val="left" w:pos="720"/>
          <w:tab w:val="left" w:pos="1440"/>
        </w:tabs>
        <w:rPr>
          <w:szCs w:val="26"/>
        </w:rPr>
      </w:pPr>
    </w:p>
    <w:p w:rsidR="00961221" w:rsidRDefault="00961221" w:rsidP="008C1D4E">
      <w:pPr>
        <w:tabs>
          <w:tab w:val="left" w:pos="720"/>
          <w:tab w:val="left" w:pos="1440"/>
        </w:tabs>
        <w:rPr>
          <w:szCs w:val="26"/>
        </w:rPr>
      </w:pPr>
      <w:r>
        <w:rPr>
          <w:i/>
          <w:szCs w:val="26"/>
        </w:rPr>
        <w:t xml:space="preserve">Frontier </w:t>
      </w:r>
      <w:r w:rsidR="00FA1084">
        <w:rPr>
          <w:i/>
          <w:szCs w:val="26"/>
        </w:rPr>
        <w:t>Insurance Company</w:t>
      </w:r>
      <w:r>
        <w:rPr>
          <w:i/>
          <w:szCs w:val="26"/>
        </w:rPr>
        <w:t xml:space="preserve"> v. Frontline Processing</w:t>
      </w:r>
      <w:r>
        <w:rPr>
          <w:szCs w:val="26"/>
        </w:rPr>
        <w:t xml:space="preserve"> </w:t>
      </w:r>
      <w:r>
        <w:rPr>
          <w:i/>
          <w:szCs w:val="26"/>
        </w:rPr>
        <w:t>Corp</w:t>
      </w:r>
      <w:r w:rsidR="00FA1084">
        <w:rPr>
          <w:i/>
          <w:szCs w:val="26"/>
        </w:rPr>
        <w:t>oration</w:t>
      </w:r>
      <w:r>
        <w:rPr>
          <w:szCs w:val="26"/>
        </w:rPr>
        <w:t xml:space="preserve">, 788 N.W.2d 917 (Minn. App. 2010), </w:t>
      </w:r>
      <w:r>
        <w:rPr>
          <w:i/>
          <w:szCs w:val="26"/>
        </w:rPr>
        <w:t>review denied</w:t>
      </w:r>
      <w:r>
        <w:rPr>
          <w:szCs w:val="26"/>
        </w:rPr>
        <w:t xml:space="preserve"> (Minn. Dec. 14, 2010).</w:t>
      </w:r>
    </w:p>
    <w:p w:rsidR="00961221" w:rsidRPr="00B53EEF" w:rsidRDefault="00DB4386" w:rsidP="00961221">
      <w:pPr>
        <w:pStyle w:val="Heading1"/>
        <w:keepNext w:val="0"/>
        <w:ind w:firstLine="720"/>
        <w:jc w:val="both"/>
        <w:rPr>
          <w:b w:val="0"/>
          <w:szCs w:val="26"/>
        </w:rPr>
      </w:pPr>
      <w:r>
        <w:rPr>
          <w:b w:val="0"/>
          <w:szCs w:val="26"/>
        </w:rPr>
        <w:t>As a discovery sanction u</w:t>
      </w:r>
      <w:r w:rsidR="00961221" w:rsidRPr="00B53EEF">
        <w:rPr>
          <w:b w:val="0"/>
          <w:szCs w:val="26"/>
        </w:rPr>
        <w:t>nder Minn. R. Civ. P. 37.02</w:t>
      </w:r>
      <w:r>
        <w:rPr>
          <w:b w:val="0"/>
          <w:szCs w:val="26"/>
        </w:rPr>
        <w:t>,</w:t>
      </w:r>
      <w:r w:rsidR="00961221" w:rsidRPr="00B53EEF">
        <w:rPr>
          <w:b w:val="0"/>
          <w:szCs w:val="26"/>
        </w:rPr>
        <w:t xml:space="preserve"> a district court may dismiss plaintiff’s claims against all defendants if plaintiff’s disobedience prejudiced all defendants, regardless of whether each defendant moved for a discovery sanction. </w:t>
      </w:r>
    </w:p>
    <w:p w:rsidR="00961221" w:rsidRDefault="00961221" w:rsidP="00961221">
      <w:pPr>
        <w:tabs>
          <w:tab w:val="left" w:pos="720"/>
          <w:tab w:val="left" w:pos="1440"/>
        </w:tabs>
      </w:pPr>
    </w:p>
    <w:p w:rsidR="002E6326" w:rsidRPr="00A32E54" w:rsidRDefault="002E6326" w:rsidP="002E6326">
      <w:pPr>
        <w:spacing w:before="60"/>
        <w:rPr>
          <w:i/>
        </w:rPr>
      </w:pPr>
      <w:r w:rsidRPr="00C24960">
        <w:rPr>
          <w:i/>
        </w:rPr>
        <w:t>JL Schwieters</w:t>
      </w:r>
      <w:r>
        <w:rPr>
          <w:i/>
        </w:rPr>
        <w:t xml:space="preserve"> Const</w:t>
      </w:r>
      <w:r w:rsidR="00DA62BD">
        <w:rPr>
          <w:i/>
        </w:rPr>
        <w:t>ruction,</w:t>
      </w:r>
      <w:r>
        <w:rPr>
          <w:i/>
        </w:rPr>
        <w:t xml:space="preserve"> Inc.</w:t>
      </w:r>
      <w:r w:rsidRPr="00C24960">
        <w:rPr>
          <w:i/>
        </w:rPr>
        <w:t xml:space="preserve"> </w:t>
      </w:r>
      <w:r>
        <w:rPr>
          <w:i/>
        </w:rPr>
        <w:t>v. Goldridge Const</w:t>
      </w:r>
      <w:r w:rsidR="00DA62BD">
        <w:rPr>
          <w:i/>
        </w:rPr>
        <w:t>ruction</w:t>
      </w:r>
      <w:r>
        <w:rPr>
          <w:i/>
        </w:rPr>
        <w:t>, Inc.</w:t>
      </w:r>
      <w:r>
        <w:t xml:space="preserve">, 788 N.W.2d 529 (Minn. App. 2010), </w:t>
      </w:r>
      <w:r w:rsidRPr="00540FC1">
        <w:rPr>
          <w:i/>
        </w:rPr>
        <w:t xml:space="preserve">review </w:t>
      </w:r>
      <w:r>
        <w:rPr>
          <w:i/>
        </w:rPr>
        <w:t xml:space="preserve">denied </w:t>
      </w:r>
      <w:r>
        <w:t>(Minn. Dec. 14, 2010)</w:t>
      </w:r>
      <w:r w:rsidRPr="00540FC1">
        <w:t>.</w:t>
      </w:r>
    </w:p>
    <w:p w:rsidR="002E6326" w:rsidRDefault="002E6326" w:rsidP="002E6326">
      <w:pPr>
        <w:tabs>
          <w:tab w:val="left" w:pos="720"/>
          <w:tab w:val="left" w:pos="1440"/>
        </w:tabs>
      </w:pPr>
      <w:r>
        <w:tab/>
        <w:t>On a motion to dismiss for lack of personal jurisdiction, preliminary evidence that a nonresident parent company operated its subsidiary to develop and hold real estate in Minnesota is sufficient to establish a prima facie showing of vicarious personal jurisdiction over the parent.</w:t>
      </w:r>
    </w:p>
    <w:p w:rsidR="00407630" w:rsidRDefault="00407630" w:rsidP="00407630">
      <w:r>
        <w:rPr>
          <w:i/>
        </w:rPr>
        <w:lastRenderedPageBreak/>
        <w:t>Storms v. Schneider</w:t>
      </w:r>
      <w:r w:rsidR="00DA62BD">
        <w:t xml:space="preserve">, </w:t>
      </w:r>
      <w:r w:rsidR="008A1800">
        <w:t>802</w:t>
      </w:r>
      <w:r w:rsidR="00DA62BD">
        <w:t xml:space="preserve"> N.W.2d </w:t>
      </w:r>
      <w:r w:rsidR="008A1800">
        <w:t>824</w:t>
      </w:r>
      <w:r w:rsidR="00DA62BD">
        <w:t xml:space="preserve"> </w:t>
      </w:r>
      <w:r>
        <w:t>(Minn. App. 2011)</w:t>
      </w:r>
      <w:r w:rsidR="00632DB9">
        <w:t xml:space="preserve">, </w:t>
      </w:r>
      <w:r w:rsidR="006E479E">
        <w:rPr>
          <w:i/>
        </w:rPr>
        <w:t>review denied</w:t>
      </w:r>
      <w:r w:rsidR="00632DB9">
        <w:t xml:space="preserve"> (Minn. </w:t>
      </w:r>
      <w:r w:rsidR="006E479E">
        <w:t>Oct. 26</w:t>
      </w:r>
      <w:r w:rsidR="00632DB9">
        <w:t>, 2011)</w:t>
      </w:r>
      <w:r>
        <w:t>.</w:t>
      </w:r>
    </w:p>
    <w:p w:rsidR="00407630" w:rsidRDefault="00407630" w:rsidP="00407630">
      <w:pPr>
        <w:ind w:firstLine="720"/>
        <w:rPr>
          <w:szCs w:val="26"/>
        </w:rPr>
      </w:pPr>
      <w:r>
        <w:rPr>
          <w:szCs w:val="26"/>
        </w:rPr>
        <w:t>In a case in which a party has pleaded a cause of action for replevin, each party has a right to a trial by jury on that cause of action.</w:t>
      </w:r>
    </w:p>
    <w:p w:rsidR="00D76EDD" w:rsidRDefault="00D76EDD" w:rsidP="00537BE0">
      <w:pPr>
        <w:rPr>
          <w:szCs w:val="26"/>
        </w:rPr>
      </w:pPr>
    </w:p>
    <w:p w:rsidR="00537BE0" w:rsidRDefault="00537BE0" w:rsidP="00537BE0">
      <w:pPr>
        <w:pStyle w:val="FootnoteText"/>
        <w:tabs>
          <w:tab w:val="left" w:pos="720"/>
          <w:tab w:val="left" w:pos="1440"/>
          <w:tab w:val="left" w:pos="2160"/>
        </w:tabs>
      </w:pPr>
      <w:r>
        <w:rPr>
          <w:i/>
        </w:rPr>
        <w:t>Willis v. Ind</w:t>
      </w:r>
      <w:r w:rsidR="00DA62BD">
        <w:rPr>
          <w:i/>
        </w:rPr>
        <w:t>iana</w:t>
      </w:r>
      <w:r>
        <w:rPr>
          <w:i/>
        </w:rPr>
        <w:t xml:space="preserve"> Harbor </w:t>
      </w:r>
      <w:r w:rsidR="00DA62BD">
        <w:rPr>
          <w:i/>
        </w:rPr>
        <w:t>Steamship</w:t>
      </w:r>
      <w:r>
        <w:rPr>
          <w:i/>
        </w:rPr>
        <w:t xml:space="preserve"> Co</w:t>
      </w:r>
      <w:r w:rsidR="0091619B">
        <w:rPr>
          <w:i/>
        </w:rPr>
        <w:t>mpany</w:t>
      </w:r>
      <w:r>
        <w:t xml:space="preserve">, 790 N.W.2d 177 (Minn. App. 2010), </w:t>
      </w:r>
      <w:r>
        <w:rPr>
          <w:i/>
        </w:rPr>
        <w:t>review denied</w:t>
      </w:r>
      <w:r>
        <w:t xml:space="preserve"> (Minn. Dec. 22, 2010).</w:t>
      </w:r>
    </w:p>
    <w:p w:rsidR="00537BE0" w:rsidRDefault="00537BE0" w:rsidP="00537BE0">
      <w:pPr>
        <w:pStyle w:val="Heading1"/>
        <w:keepNext w:val="0"/>
        <w:jc w:val="both"/>
        <w:rPr>
          <w:b w:val="0"/>
          <w:szCs w:val="26"/>
        </w:rPr>
      </w:pPr>
      <w:r>
        <w:tab/>
      </w:r>
      <w:r w:rsidRPr="00B53EEF">
        <w:rPr>
          <w:b w:val="0"/>
          <w:szCs w:val="26"/>
        </w:rPr>
        <w:t xml:space="preserve">A party is not subject to a spoliation sanction for the loss of evidence over which the party had no physical control.  </w:t>
      </w:r>
    </w:p>
    <w:p w:rsidR="009B6805" w:rsidRDefault="009B6805" w:rsidP="00711F5A">
      <w:pPr>
        <w:tabs>
          <w:tab w:val="left" w:pos="720"/>
          <w:tab w:val="left" w:pos="1440"/>
        </w:tabs>
      </w:pPr>
    </w:p>
    <w:p w:rsidR="00711F5A" w:rsidRPr="00BD6A67" w:rsidRDefault="00711F5A" w:rsidP="00711F5A">
      <w:pPr>
        <w:pStyle w:val="BodyText"/>
        <w:spacing w:line="240" w:lineRule="auto"/>
        <w:rPr>
          <w:b/>
          <w:u w:val="single"/>
        </w:rPr>
      </w:pPr>
      <w:r>
        <w:rPr>
          <w:b/>
          <w:u w:val="single"/>
        </w:rPr>
        <w:t>Labor and Employment</w:t>
      </w:r>
    </w:p>
    <w:p w:rsidR="00711F5A" w:rsidRDefault="00711F5A" w:rsidP="00711F5A">
      <w:pPr>
        <w:pStyle w:val="BodyText"/>
        <w:spacing w:line="240" w:lineRule="auto"/>
      </w:pPr>
    </w:p>
    <w:p w:rsidR="00A1090C" w:rsidRDefault="00A1090C" w:rsidP="00A1090C">
      <w:pPr>
        <w:pStyle w:val="Heading1"/>
        <w:keepNext w:val="0"/>
        <w:jc w:val="both"/>
        <w:rPr>
          <w:b w:val="0"/>
          <w:szCs w:val="26"/>
        </w:rPr>
      </w:pPr>
      <w:r w:rsidRPr="00BE2D28">
        <w:rPr>
          <w:b w:val="0"/>
          <w:i/>
          <w:szCs w:val="26"/>
        </w:rPr>
        <w:t xml:space="preserve">City of Minneapolis v. Minneapolis Police Relief </w:t>
      </w:r>
      <w:r w:rsidR="009D1686">
        <w:rPr>
          <w:b w:val="0"/>
          <w:i/>
          <w:szCs w:val="26"/>
        </w:rPr>
        <w:t>Association</w:t>
      </w:r>
      <w:r>
        <w:rPr>
          <w:b w:val="0"/>
          <w:szCs w:val="26"/>
        </w:rPr>
        <w:t xml:space="preserve">, 800 N.W.2d 165 (Minn. App. 2011), </w:t>
      </w:r>
      <w:r w:rsidRPr="00BE2D28">
        <w:rPr>
          <w:b w:val="0"/>
          <w:i/>
          <w:szCs w:val="26"/>
        </w:rPr>
        <w:t>review</w:t>
      </w:r>
      <w:r>
        <w:rPr>
          <w:b w:val="0"/>
          <w:szCs w:val="26"/>
        </w:rPr>
        <w:t xml:space="preserve"> </w:t>
      </w:r>
      <w:r w:rsidRPr="00081FAB">
        <w:rPr>
          <w:b w:val="0"/>
          <w:i/>
          <w:szCs w:val="26"/>
        </w:rPr>
        <w:t>denied</w:t>
      </w:r>
      <w:r>
        <w:rPr>
          <w:b w:val="0"/>
          <w:szCs w:val="26"/>
        </w:rPr>
        <w:t xml:space="preserve"> (Minn. Aug. 24, 2011).</w:t>
      </w:r>
    </w:p>
    <w:p w:rsidR="00A1090C" w:rsidRDefault="00A1090C" w:rsidP="00A1090C">
      <w:pPr>
        <w:pStyle w:val="Heading1"/>
        <w:keepNext w:val="0"/>
        <w:jc w:val="both"/>
        <w:rPr>
          <w:b w:val="0"/>
        </w:rPr>
      </w:pPr>
      <w:r>
        <w:rPr>
          <w:b w:val="0"/>
          <w:szCs w:val="26"/>
        </w:rPr>
        <w:tab/>
        <w:t xml:space="preserve">The Police and Firefighters’ Relief Association Guidelines Act, Minn. Stat. § 69.77, subd. 11 (2010), requires covered </w:t>
      </w:r>
      <w:r>
        <w:rPr>
          <w:b w:val="0"/>
        </w:rPr>
        <w:t xml:space="preserve">police and firefighter relief associations to obtain city ratification of bylaw amendments </w:t>
      </w:r>
      <w:r w:rsidRPr="006C0629">
        <w:rPr>
          <w:b w:val="0"/>
        </w:rPr>
        <w:t>that “increase</w:t>
      </w:r>
      <w:r>
        <w:rPr>
          <w:b w:val="0"/>
        </w:rPr>
        <w:t>[] or otherwise affect[]</w:t>
      </w:r>
      <w:r w:rsidRPr="006C0629">
        <w:rPr>
          <w:b w:val="0"/>
        </w:rPr>
        <w:t xml:space="preserve"> the retirement coverage provided by </w:t>
      </w:r>
      <w:r>
        <w:rPr>
          <w:b w:val="0"/>
        </w:rPr>
        <w:t xml:space="preserve">or </w:t>
      </w:r>
      <w:r w:rsidRPr="006C0629">
        <w:rPr>
          <w:b w:val="0"/>
        </w:rPr>
        <w:t xml:space="preserve">the service pensions or retirement benefits </w:t>
      </w:r>
      <w:r>
        <w:rPr>
          <w:b w:val="0"/>
        </w:rPr>
        <w:t>payable from [the associations].</w:t>
      </w:r>
      <w:r w:rsidRPr="006C0629">
        <w:rPr>
          <w:b w:val="0"/>
        </w:rPr>
        <w:t>”</w:t>
      </w:r>
      <w:r>
        <w:rPr>
          <w:b w:val="0"/>
        </w:rPr>
        <w:t xml:space="preserve">  But the statute does not govern when such bylaw amendments must be made.   </w:t>
      </w:r>
    </w:p>
    <w:p w:rsidR="00A1090C" w:rsidRDefault="00A1090C" w:rsidP="00616DB8">
      <w:pPr>
        <w:rPr>
          <w:i/>
        </w:rPr>
      </w:pPr>
    </w:p>
    <w:p w:rsidR="00616DB8" w:rsidRDefault="00616DB8" w:rsidP="00616DB8">
      <w:r>
        <w:rPr>
          <w:i/>
        </w:rPr>
        <w:t xml:space="preserve">Coursolle v. EMC </w:t>
      </w:r>
      <w:r w:rsidR="009D1686">
        <w:rPr>
          <w:i/>
        </w:rPr>
        <w:t>Insurance Group, Inc</w:t>
      </w:r>
      <w:r>
        <w:rPr>
          <w:i/>
        </w:rPr>
        <w:t>.</w:t>
      </w:r>
      <w:r>
        <w:t xml:space="preserve">, 794 N.W.2d 652 (Minn. App. 2011), </w:t>
      </w:r>
      <w:r>
        <w:rPr>
          <w:i/>
        </w:rPr>
        <w:t>review denied</w:t>
      </w:r>
      <w:r>
        <w:t xml:space="preserve"> (Minn. Apr. 19, 2011).</w:t>
      </w:r>
    </w:p>
    <w:p w:rsidR="00616DB8" w:rsidRDefault="00616DB8" w:rsidP="00616DB8">
      <w:pPr>
        <w:ind w:firstLine="720"/>
        <w:rPr>
          <w:szCs w:val="26"/>
        </w:rPr>
      </w:pPr>
      <w:r w:rsidRPr="00DB2D5C">
        <w:rPr>
          <w:szCs w:val="26"/>
        </w:rPr>
        <w:t xml:space="preserve">Constructive discharge is </w:t>
      </w:r>
      <w:r>
        <w:rPr>
          <w:szCs w:val="26"/>
        </w:rPr>
        <w:t xml:space="preserve">not an independent cause of action.  Constructive discharge is </w:t>
      </w:r>
      <w:r w:rsidRPr="00DB2D5C">
        <w:rPr>
          <w:szCs w:val="26"/>
        </w:rPr>
        <w:t xml:space="preserve">a doctrine that </w:t>
      </w:r>
      <w:r>
        <w:rPr>
          <w:szCs w:val="26"/>
        </w:rPr>
        <w:t xml:space="preserve">may be invoked by a plaintiff in some </w:t>
      </w:r>
      <w:r w:rsidRPr="00DB2D5C">
        <w:rPr>
          <w:szCs w:val="26"/>
        </w:rPr>
        <w:t>employment</w:t>
      </w:r>
      <w:r>
        <w:rPr>
          <w:szCs w:val="26"/>
        </w:rPr>
        <w:t xml:space="preserve">-related </w:t>
      </w:r>
      <w:r w:rsidRPr="00DB2D5C">
        <w:rPr>
          <w:szCs w:val="26"/>
        </w:rPr>
        <w:t>action</w:t>
      </w:r>
      <w:r>
        <w:rPr>
          <w:szCs w:val="26"/>
        </w:rPr>
        <w:t>s</w:t>
      </w:r>
      <w:r w:rsidRPr="00DB2D5C">
        <w:rPr>
          <w:szCs w:val="26"/>
        </w:rPr>
        <w:t xml:space="preserve"> </w:t>
      </w:r>
      <w:r>
        <w:rPr>
          <w:szCs w:val="26"/>
        </w:rPr>
        <w:t>to prove that the defendant made an adverse employment action.</w:t>
      </w:r>
    </w:p>
    <w:p w:rsidR="007A4C36" w:rsidRDefault="007A4C36" w:rsidP="00616DB8">
      <w:pPr>
        <w:ind w:firstLine="720"/>
        <w:rPr>
          <w:szCs w:val="26"/>
        </w:rPr>
      </w:pPr>
    </w:p>
    <w:p w:rsidR="008A534F" w:rsidRDefault="008A534F" w:rsidP="008A534F">
      <w:r>
        <w:rPr>
          <w:i/>
        </w:rPr>
        <w:t>Matthews v. Eichorn</w:t>
      </w:r>
      <w:r w:rsidR="009D1686">
        <w:rPr>
          <w:i/>
        </w:rPr>
        <w:t xml:space="preserve"> Motors</w:t>
      </w:r>
      <w:r w:rsidR="00025EC1">
        <w:rPr>
          <w:i/>
        </w:rPr>
        <w:t>,</w:t>
      </w:r>
      <w:r w:rsidR="009D1686">
        <w:rPr>
          <w:i/>
        </w:rPr>
        <w:t xml:space="preserve"> Inc.</w:t>
      </w:r>
      <w:r>
        <w:t xml:space="preserve">, </w:t>
      </w:r>
      <w:r w:rsidR="009D1686">
        <w:t>800</w:t>
      </w:r>
      <w:r>
        <w:t xml:space="preserve"> N.W.2d </w:t>
      </w:r>
      <w:r w:rsidR="009D1686">
        <w:t>823</w:t>
      </w:r>
      <w:r>
        <w:t xml:space="preserve"> (Minn. App. 2011).</w:t>
      </w:r>
    </w:p>
    <w:p w:rsidR="008A534F" w:rsidRDefault="008A534F" w:rsidP="008A534F">
      <w:pPr>
        <w:pStyle w:val="Heading1"/>
        <w:keepNext w:val="0"/>
        <w:jc w:val="both"/>
        <w:rPr>
          <w:b w:val="0"/>
        </w:rPr>
      </w:pPr>
      <w:r w:rsidRPr="00F844B9">
        <w:rPr>
          <w:b w:val="0"/>
          <w:szCs w:val="26"/>
        </w:rPr>
        <w:tab/>
        <w:t xml:space="preserve">A person is liable for aiding and abetting a violation of the Minnesota Human Rights Act when </w:t>
      </w:r>
      <w:r w:rsidRPr="00F844B9">
        <w:rPr>
          <w:b w:val="0"/>
        </w:rPr>
        <w:t xml:space="preserve">that person knows that another person’s conduct constitutes a violation of the act and gives substantial assistance or encouragement to </w:t>
      </w:r>
      <w:r>
        <w:rPr>
          <w:b w:val="0"/>
        </w:rPr>
        <w:t>that person’s conduct.</w:t>
      </w:r>
    </w:p>
    <w:p w:rsidR="008A534F" w:rsidRDefault="008A534F" w:rsidP="008A534F"/>
    <w:p w:rsidR="00813251" w:rsidRDefault="00813251" w:rsidP="00FA355C">
      <w:r>
        <w:rPr>
          <w:i/>
        </w:rPr>
        <w:t>Rios v. Jennie-O Turkey Store, Inc.</w:t>
      </w:r>
      <w:r>
        <w:t xml:space="preserve">, </w:t>
      </w:r>
      <w:r w:rsidR="003246E5">
        <w:t>793</w:t>
      </w:r>
      <w:r>
        <w:t xml:space="preserve"> N.W.2d </w:t>
      </w:r>
      <w:r w:rsidR="003246E5">
        <w:t>309</w:t>
      </w:r>
      <w:r>
        <w:t xml:space="preserve"> (Minn. App. 2011), </w:t>
      </w:r>
      <w:r>
        <w:rPr>
          <w:i/>
        </w:rPr>
        <w:t>review denied</w:t>
      </w:r>
      <w:r>
        <w:t xml:space="preserve"> (Minn. Mar. 29, 2011).</w:t>
      </w:r>
    </w:p>
    <w:p w:rsidR="00813251" w:rsidRDefault="00813251" w:rsidP="00FA355C">
      <w:r>
        <w:tab/>
        <w:t>A claim for unpaid overtime compensation under the Minnesota Fair Labor Standards Act fails as a matter of law if the amount of compensation received by a plaintiff for a workweek exceeds the amount required to be paid under the act for that workweek.</w:t>
      </w:r>
    </w:p>
    <w:p w:rsidR="006649FC" w:rsidRPr="00813251" w:rsidRDefault="006649FC" w:rsidP="00FA355C"/>
    <w:p w:rsidR="003B0DC8" w:rsidRDefault="003B0DC8">
      <w:pPr>
        <w:suppressAutoHyphens w:val="0"/>
        <w:jc w:val="left"/>
        <w:rPr>
          <w:i/>
        </w:rPr>
      </w:pPr>
      <w:r>
        <w:rPr>
          <w:i/>
        </w:rPr>
        <w:br w:type="page"/>
      </w:r>
    </w:p>
    <w:p w:rsidR="00AD0D78" w:rsidRDefault="00B6495A" w:rsidP="00A1090C">
      <w:r>
        <w:rPr>
          <w:i/>
        </w:rPr>
        <w:lastRenderedPageBreak/>
        <w:t xml:space="preserve">Williams v. </w:t>
      </w:r>
      <w:r w:rsidR="009D1686">
        <w:rPr>
          <w:i/>
        </w:rPr>
        <w:t>National Football League</w:t>
      </w:r>
      <w:r>
        <w:t xml:space="preserve">, 794 N.W.2d 391 (Minn. App. 2011), </w:t>
      </w:r>
      <w:r>
        <w:rPr>
          <w:i/>
        </w:rPr>
        <w:t xml:space="preserve">review denied </w:t>
      </w:r>
      <w:r>
        <w:t xml:space="preserve">(Minn. </w:t>
      </w:r>
      <w:r w:rsidR="00AD0D78">
        <w:t>Apr. 27, 2011).</w:t>
      </w:r>
    </w:p>
    <w:p w:rsidR="00AD0D78" w:rsidRPr="00AD0D78" w:rsidRDefault="00AD0D78" w:rsidP="00CD569F">
      <w:pPr>
        <w:ind w:firstLine="720"/>
        <w:rPr>
          <w:color w:val="000000"/>
          <w:szCs w:val="26"/>
        </w:rPr>
      </w:pPr>
      <w:bookmarkStart w:id="2" w:name="sp_999_1"/>
      <w:bookmarkStart w:id="3" w:name="SDU_1"/>
      <w:r w:rsidRPr="00AD0D78">
        <w:rPr>
          <w:color w:val="000000"/>
          <w:szCs w:val="26"/>
        </w:rPr>
        <w:t>1.</w:t>
      </w:r>
      <w:r w:rsidR="00CD569F">
        <w:rPr>
          <w:color w:val="000000"/>
          <w:szCs w:val="26"/>
        </w:rPr>
        <w:tab/>
      </w:r>
      <w:r w:rsidRPr="00AD0D78">
        <w:rPr>
          <w:color w:val="000000"/>
          <w:szCs w:val="26"/>
        </w:rPr>
        <w:t>On appeal from an order denying permanent injunctive relief, when appeal is not also taken from final judgment, this court's scope of review is limited and encompasses the merits of the underlying claims only to the extent necessary to review challenges to the injunction.</w:t>
      </w:r>
    </w:p>
    <w:bookmarkEnd w:id="2"/>
    <w:bookmarkEnd w:id="3"/>
    <w:p w:rsidR="00AD0D78" w:rsidRPr="00AD0D78" w:rsidRDefault="00AD0D78" w:rsidP="00CD569F">
      <w:pPr>
        <w:suppressAutoHyphens w:val="0"/>
        <w:ind w:firstLine="720"/>
        <w:jc w:val="left"/>
        <w:rPr>
          <w:color w:val="000000"/>
          <w:szCs w:val="26"/>
        </w:rPr>
      </w:pPr>
      <w:r w:rsidRPr="00AD0D78">
        <w:rPr>
          <w:color w:val="000000"/>
          <w:szCs w:val="26"/>
        </w:rPr>
        <w:t>2.</w:t>
      </w:r>
      <w:r w:rsidR="00CD569F">
        <w:rPr>
          <w:color w:val="000000"/>
          <w:szCs w:val="26"/>
        </w:rPr>
        <w:tab/>
      </w:r>
      <w:r w:rsidRPr="00AD0D78">
        <w:rPr>
          <w:color w:val="000000"/>
          <w:szCs w:val="26"/>
        </w:rPr>
        <w:t>Because the definition of “drug” in the Drug and Alcohol Testing in the Workplace Act (DATWA) does not encompass bumetanide, testing done solely to detect the presence of bumetanide is not subject to DATWA</w:t>
      </w:r>
      <w:r w:rsidR="00156287">
        <w:rPr>
          <w:color w:val="000000"/>
          <w:szCs w:val="26"/>
        </w:rPr>
        <w:t>’</w:t>
      </w:r>
      <w:r w:rsidRPr="00AD0D78">
        <w:rPr>
          <w:color w:val="000000"/>
          <w:szCs w:val="26"/>
        </w:rPr>
        <w:t>s requirements.</w:t>
      </w:r>
    </w:p>
    <w:p w:rsidR="00993DB4" w:rsidRDefault="00993DB4" w:rsidP="00711F5A">
      <w:pPr>
        <w:pStyle w:val="BodyText"/>
        <w:spacing w:line="240" w:lineRule="auto"/>
      </w:pPr>
    </w:p>
    <w:p w:rsidR="00711F5A" w:rsidRDefault="00711F5A" w:rsidP="00711F5A">
      <w:pPr>
        <w:pStyle w:val="FootnoteText"/>
        <w:tabs>
          <w:tab w:val="left" w:pos="720"/>
          <w:tab w:val="left" w:pos="1440"/>
          <w:tab w:val="left" w:pos="2160"/>
        </w:tabs>
      </w:pPr>
      <w:r>
        <w:rPr>
          <w:b/>
          <w:u w:val="single"/>
        </w:rPr>
        <w:t>Liens</w:t>
      </w:r>
      <w:r w:rsidR="008A534F">
        <w:rPr>
          <w:b/>
          <w:u w:val="single"/>
        </w:rPr>
        <w:t xml:space="preserve"> and Foreclosures</w:t>
      </w:r>
    </w:p>
    <w:p w:rsidR="00711F5A" w:rsidRDefault="00711F5A" w:rsidP="00711F5A">
      <w:pPr>
        <w:pStyle w:val="FootnoteText"/>
        <w:tabs>
          <w:tab w:val="left" w:pos="720"/>
          <w:tab w:val="left" w:pos="1440"/>
          <w:tab w:val="left" w:pos="2160"/>
        </w:tabs>
      </w:pPr>
    </w:p>
    <w:p w:rsidR="008A534F" w:rsidRDefault="008A534F" w:rsidP="008A534F">
      <w:r>
        <w:rPr>
          <w:i/>
        </w:rPr>
        <w:t>Beecroft v. Deutsche Bank National Trust Co</w:t>
      </w:r>
      <w:r w:rsidR="009D1686">
        <w:rPr>
          <w:i/>
        </w:rPr>
        <w:t>mpany</w:t>
      </w:r>
      <w:r>
        <w:t>, 798 N.W.2d 78 (Minn. App. 2011)</w:t>
      </w:r>
      <w:r w:rsidR="009D1686">
        <w:t xml:space="preserve">, </w:t>
      </w:r>
      <w:r w:rsidR="009D1686">
        <w:rPr>
          <w:i/>
        </w:rPr>
        <w:t>review denied</w:t>
      </w:r>
      <w:r w:rsidR="009D1686">
        <w:t xml:space="preserve"> (Minn. July 19, 2011)</w:t>
      </w:r>
      <w:r>
        <w:t>.</w:t>
      </w:r>
    </w:p>
    <w:p w:rsidR="008A534F" w:rsidRDefault="008A534F" w:rsidP="008A534F">
      <w:pPr>
        <w:pStyle w:val="Heading1"/>
        <w:keepNext w:val="0"/>
        <w:ind w:firstLine="720"/>
        <w:jc w:val="both"/>
        <w:rPr>
          <w:b w:val="0"/>
          <w:szCs w:val="26"/>
        </w:rPr>
      </w:pPr>
      <w:r>
        <w:rPr>
          <w:b w:val="0"/>
          <w:szCs w:val="26"/>
        </w:rPr>
        <w:t>As a prerequisite to foreclosure by advertisement, Minn. Stat. § 580.02 (2010) requires the mortgage and any assignments of the mortgage to be recorded, except when the mortgage is on registered land, in which case the mortgage and all assignments shall be duly registered.  Minnesota law does not require a power of attorney authorizing an entity or person to assign a mortgage to be recorded</w:t>
      </w:r>
      <w:r w:rsidRPr="00AA10B8">
        <w:rPr>
          <w:b w:val="0"/>
          <w:szCs w:val="26"/>
        </w:rPr>
        <w:t>.</w:t>
      </w:r>
      <w:r>
        <w:rPr>
          <w:b w:val="0"/>
          <w:szCs w:val="26"/>
        </w:rPr>
        <w:t xml:space="preserve">  </w:t>
      </w:r>
    </w:p>
    <w:p w:rsidR="008A534F" w:rsidRDefault="008A534F" w:rsidP="008A534F"/>
    <w:p w:rsidR="008A534F" w:rsidRDefault="008A534F" w:rsidP="008A534F">
      <w:pPr>
        <w:pStyle w:val="ListParagraph"/>
        <w:ind w:left="0"/>
      </w:pPr>
      <w:r>
        <w:rPr>
          <w:i/>
        </w:rPr>
        <w:t>Somsen, Mueller, Lowther &amp; Franta, PA v. Estates of Olsen</w:t>
      </w:r>
      <w:r>
        <w:t>, 790 N.W.2d 194 (Minn. App. 2010).</w:t>
      </w:r>
    </w:p>
    <w:p w:rsidR="00504462" w:rsidRDefault="008A534F" w:rsidP="008A534F">
      <w:r>
        <w:tab/>
        <w:t xml:space="preserve"> An attorney’s lien filed against a decedent’s real estate to secure a claim for payment of costs and expenses of administration under Minn. Stat. § 524.3-805(a)(1) (2008) does not have priority over a previously registered mortgage.  Unless a mortgagee seeks a deficiency judgment, a mortgagee may proceed to foreclose its mortgage against a decedent’s real estate without presenting the mortgage indebtedness as a claim against the decedent’s estate under Minn. Stat. § 524.3-803 (2008). </w:t>
      </w:r>
    </w:p>
    <w:p w:rsidR="00504462" w:rsidRDefault="00504462" w:rsidP="008A534F"/>
    <w:p w:rsidR="00711F5A" w:rsidRPr="005B0FE5" w:rsidRDefault="00711F5A" w:rsidP="003B00A2">
      <w:pPr>
        <w:rPr>
          <w:b/>
          <w:u w:val="single"/>
        </w:rPr>
      </w:pPr>
      <w:r>
        <w:rPr>
          <w:b/>
          <w:u w:val="single"/>
        </w:rPr>
        <w:t>Probate</w:t>
      </w:r>
    </w:p>
    <w:p w:rsidR="00711F5A" w:rsidRDefault="00711F5A" w:rsidP="00711F5A">
      <w:pPr>
        <w:pStyle w:val="FootnoteText"/>
        <w:tabs>
          <w:tab w:val="left" w:pos="720"/>
          <w:tab w:val="left" w:pos="1440"/>
          <w:tab w:val="left" w:pos="2160"/>
        </w:tabs>
      </w:pPr>
    </w:p>
    <w:p w:rsidR="00042011" w:rsidRDefault="00042011" w:rsidP="00042011">
      <w:r w:rsidRPr="00221C74">
        <w:rPr>
          <w:i/>
        </w:rPr>
        <w:t xml:space="preserve">In re Beachside I Homeowners </w:t>
      </w:r>
      <w:r w:rsidR="00594E1F">
        <w:rPr>
          <w:i/>
        </w:rPr>
        <w:t>Association</w:t>
      </w:r>
      <w:r>
        <w:t xml:space="preserve">, </w:t>
      </w:r>
      <w:r w:rsidR="008A1800">
        <w:t>802</w:t>
      </w:r>
      <w:r>
        <w:t xml:space="preserve"> N.W.2d </w:t>
      </w:r>
      <w:r w:rsidR="008A1800">
        <w:t>771</w:t>
      </w:r>
      <w:r>
        <w:t xml:space="preserve"> (Minn. App.</w:t>
      </w:r>
      <w:r w:rsidR="00594E1F">
        <w:t xml:space="preserve"> </w:t>
      </w:r>
      <w:r>
        <w:t>2011).</w:t>
      </w:r>
    </w:p>
    <w:p w:rsidR="00042011" w:rsidRDefault="00042011" w:rsidP="00042011">
      <w:pPr>
        <w:pStyle w:val="Heading1"/>
        <w:keepNext w:val="0"/>
        <w:jc w:val="both"/>
        <w:rPr>
          <w:b w:val="0"/>
          <w:szCs w:val="26"/>
        </w:rPr>
      </w:pPr>
      <w:r>
        <w:rPr>
          <w:b w:val="0"/>
          <w:szCs w:val="26"/>
        </w:rPr>
        <w:tab/>
        <w:t xml:space="preserve">Minn. Stat. § 524.3-101 (1990) provides that statutorily defined heirs obtain a vested interest in the estate of a person who dies intestate immediately upon that person’s death.  A probate proceeding to determine the heirs is not required.  </w:t>
      </w:r>
    </w:p>
    <w:p w:rsidR="00042011" w:rsidRDefault="00042011" w:rsidP="00711F5A">
      <w:pPr>
        <w:pStyle w:val="FootnoteText"/>
        <w:tabs>
          <w:tab w:val="left" w:pos="720"/>
          <w:tab w:val="left" w:pos="1440"/>
          <w:tab w:val="left" w:pos="2160"/>
        </w:tabs>
      </w:pPr>
    </w:p>
    <w:p w:rsidR="003B00A2" w:rsidRDefault="003B00A2" w:rsidP="003B00A2">
      <w:pPr>
        <w:rPr>
          <w:szCs w:val="26"/>
        </w:rPr>
      </w:pPr>
      <w:r w:rsidRPr="00AC286F">
        <w:rPr>
          <w:i/>
          <w:szCs w:val="26"/>
        </w:rPr>
        <w:t>Greer v. Professional Fiduciary, Inc.</w:t>
      </w:r>
      <w:r>
        <w:rPr>
          <w:szCs w:val="26"/>
        </w:rPr>
        <w:t xml:space="preserve">, </w:t>
      </w:r>
      <w:r w:rsidRPr="00AC286F">
        <w:rPr>
          <w:szCs w:val="26"/>
        </w:rPr>
        <w:t>792 N.W.2d 120</w:t>
      </w:r>
      <w:r>
        <w:rPr>
          <w:szCs w:val="26"/>
        </w:rPr>
        <w:t xml:space="preserve"> (</w:t>
      </w:r>
      <w:r w:rsidRPr="00AC286F">
        <w:rPr>
          <w:szCs w:val="26"/>
        </w:rPr>
        <w:t>Minn.</w:t>
      </w:r>
      <w:r>
        <w:rPr>
          <w:szCs w:val="26"/>
        </w:rPr>
        <w:t xml:space="preserve"> </w:t>
      </w:r>
      <w:r w:rsidRPr="00AC286F">
        <w:rPr>
          <w:szCs w:val="26"/>
        </w:rPr>
        <w:t>App.</w:t>
      </w:r>
      <w:r>
        <w:rPr>
          <w:szCs w:val="26"/>
        </w:rPr>
        <w:t xml:space="preserve"> </w:t>
      </w:r>
      <w:r w:rsidRPr="00AC286F">
        <w:rPr>
          <w:szCs w:val="26"/>
        </w:rPr>
        <w:t>2011</w:t>
      </w:r>
      <w:r>
        <w:rPr>
          <w:szCs w:val="26"/>
        </w:rPr>
        <w:t>)</w:t>
      </w:r>
      <w:r w:rsidRPr="00AC286F">
        <w:rPr>
          <w:szCs w:val="26"/>
        </w:rPr>
        <w:t>.</w:t>
      </w:r>
    </w:p>
    <w:p w:rsidR="003B00A2" w:rsidRDefault="003B00A2" w:rsidP="003B00A2">
      <w:pPr>
        <w:ind w:firstLine="720"/>
        <w:rPr>
          <w:szCs w:val="26"/>
        </w:rPr>
      </w:pPr>
      <w:r w:rsidRPr="00AC286F">
        <w:rPr>
          <w:szCs w:val="26"/>
        </w:rPr>
        <w:t>A formerly incapacitated person</w:t>
      </w:r>
      <w:r>
        <w:rPr>
          <w:szCs w:val="26"/>
        </w:rPr>
        <w:t>’</w:t>
      </w:r>
      <w:r w:rsidRPr="00AC286F">
        <w:rPr>
          <w:szCs w:val="26"/>
        </w:rPr>
        <w:t>s claims against her former conservator and former guardian constitute improper collateral attacks on the probate court</w:t>
      </w:r>
      <w:r>
        <w:rPr>
          <w:szCs w:val="26"/>
        </w:rPr>
        <w:t>’</w:t>
      </w:r>
      <w:r w:rsidRPr="00AC286F">
        <w:rPr>
          <w:szCs w:val="26"/>
        </w:rPr>
        <w:t>s final orders when the claims challenge actions taken during the conservatorship and guardianship that are addressed in the probate court</w:t>
      </w:r>
      <w:r>
        <w:rPr>
          <w:szCs w:val="26"/>
        </w:rPr>
        <w:t>’</w:t>
      </w:r>
      <w:r w:rsidRPr="00AC286F">
        <w:rPr>
          <w:szCs w:val="26"/>
        </w:rPr>
        <w:t>s final orders</w:t>
      </w:r>
      <w:r>
        <w:rPr>
          <w:szCs w:val="26"/>
        </w:rPr>
        <w:t>.</w:t>
      </w:r>
    </w:p>
    <w:p w:rsidR="006649FC" w:rsidRDefault="006649FC" w:rsidP="00711F5A">
      <w:pPr>
        <w:pStyle w:val="FootnoteText"/>
        <w:tabs>
          <w:tab w:val="left" w:pos="720"/>
          <w:tab w:val="left" w:pos="1440"/>
          <w:tab w:val="left" w:pos="2160"/>
        </w:tabs>
      </w:pPr>
    </w:p>
    <w:p w:rsidR="003B0DC8" w:rsidRDefault="003B0DC8">
      <w:pPr>
        <w:suppressAutoHyphens w:val="0"/>
        <w:jc w:val="left"/>
        <w:rPr>
          <w:b/>
          <w:u w:val="single"/>
        </w:rPr>
      </w:pPr>
      <w:r>
        <w:rPr>
          <w:b/>
          <w:u w:val="single"/>
        </w:rPr>
        <w:br w:type="page"/>
      </w:r>
    </w:p>
    <w:p w:rsidR="00711F5A" w:rsidRPr="00EF617E" w:rsidRDefault="006B658C" w:rsidP="00711F5A">
      <w:pPr>
        <w:tabs>
          <w:tab w:val="left" w:pos="720"/>
          <w:tab w:val="left" w:pos="1440"/>
          <w:tab w:val="left" w:pos="2160"/>
        </w:tabs>
        <w:rPr>
          <w:b/>
          <w:u w:val="single"/>
        </w:rPr>
      </w:pPr>
      <w:r>
        <w:rPr>
          <w:b/>
          <w:u w:val="single"/>
        </w:rPr>
        <w:lastRenderedPageBreak/>
        <w:t xml:space="preserve">Real Estate and </w:t>
      </w:r>
      <w:r w:rsidR="00711F5A">
        <w:rPr>
          <w:b/>
          <w:u w:val="single"/>
        </w:rPr>
        <w:t>Property</w:t>
      </w:r>
      <w:r>
        <w:rPr>
          <w:b/>
          <w:u w:val="single"/>
        </w:rPr>
        <w:t xml:space="preserve"> Rights</w:t>
      </w:r>
    </w:p>
    <w:p w:rsidR="00711F5A" w:rsidRDefault="00711F5A" w:rsidP="00711F5A">
      <w:pPr>
        <w:tabs>
          <w:tab w:val="left" w:pos="720"/>
          <w:tab w:val="left" w:pos="1440"/>
          <w:tab w:val="left" w:pos="2160"/>
        </w:tabs>
      </w:pPr>
    </w:p>
    <w:p w:rsidR="008A534F" w:rsidRDefault="008A534F" w:rsidP="008A534F">
      <w:r>
        <w:rPr>
          <w:i/>
        </w:rPr>
        <w:t>Britney v. Swan Lake Cabin Corp</w:t>
      </w:r>
      <w:r w:rsidR="00594E1F">
        <w:rPr>
          <w:i/>
        </w:rPr>
        <w:t>oration</w:t>
      </w:r>
      <w:r>
        <w:t>, 795 N.W.2d 867 (Minn. App. 2011).</w:t>
      </w:r>
    </w:p>
    <w:p w:rsidR="008A534F" w:rsidRDefault="008A534F" w:rsidP="008A534F">
      <w:pPr>
        <w:tabs>
          <w:tab w:val="left" w:pos="720"/>
          <w:tab w:val="left" w:pos="1440"/>
          <w:tab w:val="left" w:pos="2160"/>
        </w:tabs>
        <w:rPr>
          <w:szCs w:val="26"/>
        </w:rPr>
      </w:pPr>
      <w:r>
        <w:tab/>
      </w:r>
      <w:r>
        <w:rPr>
          <w:szCs w:val="26"/>
        </w:rPr>
        <w:t>An action for judicial determination of boundary by practical location must be dismissed when the party seeking the determination fails to comply with the procedural requirements of Minn. Stat. § 508.671 (2010).</w:t>
      </w:r>
    </w:p>
    <w:p w:rsidR="00B80352" w:rsidRDefault="00B80352" w:rsidP="008A534F">
      <w:pPr>
        <w:tabs>
          <w:tab w:val="left" w:pos="720"/>
          <w:tab w:val="left" w:pos="1440"/>
          <w:tab w:val="left" w:pos="2160"/>
        </w:tabs>
        <w:rPr>
          <w:szCs w:val="26"/>
        </w:rPr>
      </w:pPr>
    </w:p>
    <w:p w:rsidR="008A534F" w:rsidRDefault="008A534F" w:rsidP="008A534F">
      <w:pPr>
        <w:keepNext/>
        <w:suppressAutoHyphens w:val="0"/>
      </w:pPr>
      <w:r>
        <w:rPr>
          <w:i/>
        </w:rPr>
        <w:t>BOB Acres, LLC v. Schumacher Farms, LLC</w:t>
      </w:r>
      <w:r>
        <w:t xml:space="preserve">, 797 N.W.2d 723 (Minn. App. 2011), </w:t>
      </w:r>
      <w:r>
        <w:rPr>
          <w:i/>
        </w:rPr>
        <w:t xml:space="preserve">review </w:t>
      </w:r>
      <w:r w:rsidRPr="000B2F17">
        <w:rPr>
          <w:i/>
        </w:rPr>
        <w:t>granted</w:t>
      </w:r>
      <w:r>
        <w:rPr>
          <w:i/>
        </w:rPr>
        <w:t xml:space="preserve"> </w:t>
      </w:r>
      <w:r>
        <w:t xml:space="preserve">(Minn. June 14, 2011), </w:t>
      </w:r>
      <w:r w:rsidR="00594E1F">
        <w:rPr>
          <w:i/>
        </w:rPr>
        <w:t>and appeal</w:t>
      </w:r>
      <w:r>
        <w:rPr>
          <w:i/>
        </w:rPr>
        <w:t xml:space="preserve"> d</w:t>
      </w:r>
      <w:r w:rsidRPr="000B2F17">
        <w:rPr>
          <w:i/>
        </w:rPr>
        <w:t>ismissed</w:t>
      </w:r>
      <w:r>
        <w:t xml:space="preserve"> (Minn. Aug. 12, 2011).</w:t>
      </w:r>
    </w:p>
    <w:p w:rsidR="008A534F" w:rsidRDefault="008A534F" w:rsidP="008A534F">
      <w:pPr>
        <w:keepNext/>
      </w:pPr>
      <w:r>
        <w:tab/>
        <w:t>In a contract for the sale of real property, the exchange of promises to sell and to purchase the property may provide adequate consideration to create an enforceable contract; the mere recital of an exchange of nominal earnest money that was not in fact paid or requested does not preclude formation of an enforceable contract.</w:t>
      </w:r>
    </w:p>
    <w:p w:rsidR="008A534F" w:rsidRDefault="008A534F" w:rsidP="008A534F">
      <w:pPr>
        <w:keepNext/>
      </w:pPr>
    </w:p>
    <w:p w:rsidR="006A408B" w:rsidRDefault="006A408B" w:rsidP="00D64208">
      <w:pPr>
        <w:tabs>
          <w:tab w:val="left" w:pos="720"/>
          <w:tab w:val="left" w:pos="1440"/>
        </w:tabs>
      </w:pPr>
      <w:r>
        <w:rPr>
          <w:i/>
        </w:rPr>
        <w:t>Henricksen v. Town B</w:t>
      </w:r>
      <w:r w:rsidR="00594E1F">
        <w:rPr>
          <w:i/>
        </w:rPr>
        <w:t>oard</w:t>
      </w:r>
      <w:r>
        <w:rPr>
          <w:i/>
        </w:rPr>
        <w:t xml:space="preserve"> of Kerrick</w:t>
      </w:r>
      <w:r>
        <w:t xml:space="preserve">, </w:t>
      </w:r>
      <w:r w:rsidR="00DF2D5A">
        <w:t>797</w:t>
      </w:r>
      <w:r>
        <w:t xml:space="preserve"> N.W.2d </w:t>
      </w:r>
      <w:r w:rsidR="00DF2D5A">
        <w:t>211</w:t>
      </w:r>
      <w:r>
        <w:t xml:space="preserve"> (Minn. App. 2011), </w:t>
      </w:r>
      <w:r>
        <w:rPr>
          <w:i/>
        </w:rPr>
        <w:t>review denied</w:t>
      </w:r>
      <w:r>
        <w:t xml:space="preserve"> (Minn. June 14, 2011).</w:t>
      </w:r>
    </w:p>
    <w:p w:rsidR="006A408B" w:rsidRDefault="006A408B" w:rsidP="006A408B">
      <w:r>
        <w:tab/>
        <w:t xml:space="preserve">The filing of a petition to establish, alter, or vacate a township road </w:t>
      </w:r>
      <w:r w:rsidRPr="009339D1">
        <w:t>under</w:t>
      </w:r>
      <w:r>
        <w:t xml:space="preserve"> Minn. Stat. § 164.07, subd. 2(a) (2010), does not entitle owners of land affected by a town board’s decision on the petition to personal service of the order describing the road and giving notice of when and where the board will meet to act on the petition.</w:t>
      </w:r>
    </w:p>
    <w:p w:rsidR="006A408B" w:rsidRDefault="006A408B" w:rsidP="006A408B"/>
    <w:p w:rsidR="00D64208" w:rsidRDefault="00D64208" w:rsidP="00D64208">
      <w:pPr>
        <w:tabs>
          <w:tab w:val="left" w:pos="720"/>
          <w:tab w:val="left" w:pos="1440"/>
        </w:tabs>
      </w:pPr>
      <w:r>
        <w:rPr>
          <w:i/>
        </w:rPr>
        <w:t xml:space="preserve">Interstate </w:t>
      </w:r>
      <w:r w:rsidR="00594E1F">
        <w:rPr>
          <w:i/>
        </w:rPr>
        <w:t>Companies, Inc.</w:t>
      </w:r>
      <w:r>
        <w:rPr>
          <w:i/>
        </w:rPr>
        <w:t xml:space="preserve"> v. City of Bloomington</w:t>
      </w:r>
      <w:r>
        <w:t xml:space="preserve">, </w:t>
      </w:r>
      <w:r w:rsidR="00666E96">
        <w:t>790</w:t>
      </w:r>
      <w:r>
        <w:t xml:space="preserve"> N.W.2d </w:t>
      </w:r>
      <w:r w:rsidR="00666E96">
        <w:t>409</w:t>
      </w:r>
      <w:r>
        <w:t xml:space="preserve"> (Minn. App. </w:t>
      </w:r>
      <w:r w:rsidR="00666E96">
        <w:t>2</w:t>
      </w:r>
      <w:r>
        <w:t xml:space="preserve">010), </w:t>
      </w:r>
      <w:r w:rsidR="00EC1929">
        <w:rPr>
          <w:i/>
        </w:rPr>
        <w:t xml:space="preserve">review denied </w:t>
      </w:r>
      <w:r>
        <w:t xml:space="preserve">(Minn. </w:t>
      </w:r>
      <w:r w:rsidR="00EC1929">
        <w:t>Apr. 27</w:t>
      </w:r>
      <w:r>
        <w:t>, 201</w:t>
      </w:r>
      <w:r w:rsidR="00666E96">
        <w:t>1</w:t>
      </w:r>
      <w:r>
        <w:t>).</w:t>
      </w:r>
    </w:p>
    <w:p w:rsidR="00D64208" w:rsidRDefault="00D64208" w:rsidP="00D64208">
      <w:pPr>
        <w:tabs>
          <w:tab w:val="left" w:pos="720"/>
          <w:tab w:val="left" w:pos="1440"/>
        </w:tabs>
      </w:pPr>
      <w:r>
        <w:tab/>
        <w:t>1.</w:t>
      </w:r>
      <w:r>
        <w:tab/>
        <w:t xml:space="preserve">In a claim of regulatory taking under the Minnesota Constitution, the decision in </w:t>
      </w:r>
      <w:r>
        <w:rPr>
          <w:i/>
        </w:rPr>
        <w:t>McShane v. City of Faribault</w:t>
      </w:r>
      <w:r>
        <w:t xml:space="preserve">, 292 N.W.2d 253 (Minn. 1980), informs and broadens the analysis under </w:t>
      </w:r>
      <w:r>
        <w:rPr>
          <w:i/>
        </w:rPr>
        <w:t>Penn Central Transp. Co. v. New York City</w:t>
      </w:r>
      <w:r>
        <w:t xml:space="preserve">, 438 U.S. 104, 98 S. Ct. 2646 (1978). </w:t>
      </w:r>
    </w:p>
    <w:p w:rsidR="00D64208" w:rsidRDefault="00D64208" w:rsidP="00D64208">
      <w:pPr>
        <w:tabs>
          <w:tab w:val="left" w:pos="720"/>
          <w:tab w:val="left" w:pos="1440"/>
        </w:tabs>
      </w:pPr>
      <w:r>
        <w:tab/>
        <w:t>2.</w:t>
      </w:r>
      <w:r>
        <w:tab/>
        <w:t>The Minnesota Constitution, Article 1,</w:t>
      </w:r>
      <w:r>
        <w:rPr>
          <w:i/>
        </w:rPr>
        <w:t xml:space="preserve"> </w:t>
      </w:r>
      <w:r w:rsidRPr="00EF4D51">
        <w:t>§ 13</w:t>
      </w:r>
      <w:r>
        <w:rPr>
          <w:i/>
        </w:rPr>
        <w:t xml:space="preserve">, </w:t>
      </w:r>
      <w:r>
        <w:t>which states that “[p]rivate property shall not be taken, destroyed or damaged for public use without just compensation therefore, first paid or secured,” provides greater protection for property owners than the less restrictive language of the United States Constitution, Amendment V.</w:t>
      </w:r>
    </w:p>
    <w:p w:rsidR="00D64208" w:rsidRDefault="00D64208" w:rsidP="00D64208">
      <w:pPr>
        <w:tabs>
          <w:tab w:val="left" w:pos="720"/>
          <w:tab w:val="left" w:pos="1440"/>
        </w:tabs>
      </w:pPr>
      <w:r>
        <w:tab/>
        <w:t>3.</w:t>
      </w:r>
      <w:r>
        <w:tab/>
        <w:t>In an inverse condemnation case, the issue of whether a property owner has demonstrated a substantial diminution in value generally is a fact question for determination by the factfinder.</w:t>
      </w:r>
    </w:p>
    <w:p w:rsidR="00D64208" w:rsidRDefault="00D64208" w:rsidP="00711F5A">
      <w:pPr>
        <w:tabs>
          <w:tab w:val="left" w:pos="720"/>
          <w:tab w:val="left" w:pos="1440"/>
          <w:tab w:val="left" w:pos="2160"/>
        </w:tabs>
      </w:pPr>
    </w:p>
    <w:p w:rsidR="00BD6DBE" w:rsidRDefault="00BD6DBE" w:rsidP="00BD6DBE">
      <w:pPr>
        <w:pStyle w:val="FootnoteText"/>
        <w:rPr>
          <w:szCs w:val="26"/>
        </w:rPr>
      </w:pPr>
      <w:r w:rsidRPr="002A4BEB">
        <w:rPr>
          <w:i/>
          <w:szCs w:val="26"/>
        </w:rPr>
        <w:t>Khan v. Minneapolis City Council</w:t>
      </w:r>
      <w:r>
        <w:rPr>
          <w:szCs w:val="26"/>
        </w:rPr>
        <w:t>, 792 N.W.2d 463 (Minn. App. 2010).</w:t>
      </w:r>
    </w:p>
    <w:p w:rsidR="00BD6DBE" w:rsidRDefault="00BD6DBE" w:rsidP="00BD6DBE">
      <w:pPr>
        <w:pStyle w:val="FootnoteText"/>
        <w:ind w:firstLine="720"/>
        <w:rPr>
          <w:szCs w:val="26"/>
        </w:rPr>
      </w:pPr>
      <w:r>
        <w:rPr>
          <w:szCs w:val="26"/>
        </w:rPr>
        <w:t>The Minneapolis Code of Ordinances does not authorize the city council to order the demolition of a building absent a current finding that the building constitutes a nuisance.</w:t>
      </w:r>
    </w:p>
    <w:p w:rsidR="00605857" w:rsidRDefault="00605857" w:rsidP="001D2E90">
      <w:pPr>
        <w:pStyle w:val="FootnoteText"/>
        <w:rPr>
          <w:szCs w:val="26"/>
        </w:rPr>
      </w:pPr>
    </w:p>
    <w:p w:rsidR="003B0DC8" w:rsidRDefault="003B0DC8">
      <w:pPr>
        <w:suppressAutoHyphens w:val="0"/>
        <w:jc w:val="left"/>
        <w:rPr>
          <w:i/>
        </w:rPr>
      </w:pPr>
      <w:r>
        <w:rPr>
          <w:i/>
        </w:rPr>
        <w:br w:type="page"/>
      </w:r>
    </w:p>
    <w:p w:rsidR="001D2E90" w:rsidRDefault="001D2E90" w:rsidP="001D2E90">
      <w:pPr>
        <w:suppressAutoHyphens w:val="0"/>
        <w:jc w:val="left"/>
      </w:pPr>
      <w:r>
        <w:rPr>
          <w:i/>
        </w:rPr>
        <w:lastRenderedPageBreak/>
        <w:t>NC Prop</w:t>
      </w:r>
      <w:r w:rsidR="00594E1F">
        <w:rPr>
          <w:i/>
        </w:rPr>
        <w:t>erties</w:t>
      </w:r>
      <w:r>
        <w:rPr>
          <w:i/>
        </w:rPr>
        <w:t>, LLC v. Lind</w:t>
      </w:r>
      <w:r>
        <w:t>, 797 N.W.2d 214 (Minn. App. 2011).</w:t>
      </w:r>
    </w:p>
    <w:p w:rsidR="001D2E90" w:rsidRDefault="001D2E90" w:rsidP="001D2E90">
      <w:r>
        <w:tab/>
        <w:t>1.</w:t>
      </w:r>
      <w:r>
        <w:tab/>
        <w:t xml:space="preserve">A seller’s right to retain a down payment upon cancellation of a contract for the sale of land under Minn. Stat. § 559.21 (2010) does not entitle the seller to also recover under provisions of other documents related to the sale that do not reference a down payment.  </w:t>
      </w:r>
    </w:p>
    <w:p w:rsidR="004471C8" w:rsidRDefault="001D2E90" w:rsidP="001D2E90">
      <w:r>
        <w:tab/>
        <w:t>2.</w:t>
      </w:r>
      <w:r>
        <w:tab/>
        <w:t>A seller who cancels a transaction for the sale of land under</w:t>
      </w:r>
      <w:r w:rsidRPr="005B2FE2">
        <w:t xml:space="preserve"> </w:t>
      </w:r>
      <w:r>
        <w:t>Minn. Stat. § 559.21 thereby elects a remedy and may not obtain a double recovery by enforcing provisions of other documents related to the sale.</w:t>
      </w:r>
    </w:p>
    <w:p w:rsidR="001D2E90" w:rsidRPr="006366FD" w:rsidRDefault="001D2E90" w:rsidP="001D2E90">
      <w:pPr>
        <w:rPr>
          <w:b/>
          <w:szCs w:val="26"/>
        </w:rPr>
      </w:pPr>
      <w:r>
        <w:t xml:space="preserve"> </w:t>
      </w:r>
    </w:p>
    <w:p w:rsidR="00711F5A" w:rsidRDefault="00711F5A" w:rsidP="00711F5A">
      <w:pPr>
        <w:pStyle w:val="FootnoteText"/>
        <w:tabs>
          <w:tab w:val="left" w:pos="720"/>
          <w:tab w:val="left" w:pos="1440"/>
          <w:tab w:val="left" w:pos="2160"/>
        </w:tabs>
        <w:rPr>
          <w:b/>
        </w:rPr>
      </w:pPr>
      <w:r>
        <w:rPr>
          <w:b/>
          <w:u w:val="single"/>
        </w:rPr>
        <w:t>School Law</w:t>
      </w:r>
    </w:p>
    <w:p w:rsidR="00711F5A" w:rsidRDefault="00711F5A" w:rsidP="00711F5A">
      <w:pPr>
        <w:pStyle w:val="FootnoteText"/>
        <w:tabs>
          <w:tab w:val="left" w:pos="720"/>
          <w:tab w:val="left" w:pos="1440"/>
          <w:tab w:val="left" w:pos="2160"/>
        </w:tabs>
        <w:rPr>
          <w:b/>
        </w:rPr>
      </w:pPr>
    </w:p>
    <w:p w:rsidR="001D2E90" w:rsidRDefault="001D2E90" w:rsidP="001D2E90">
      <w:pPr>
        <w:suppressAutoHyphens w:val="0"/>
        <w:jc w:val="left"/>
      </w:pPr>
      <w:r>
        <w:rPr>
          <w:i/>
        </w:rPr>
        <w:t>Zinter v. Univ</w:t>
      </w:r>
      <w:r w:rsidR="002F76E3">
        <w:rPr>
          <w:i/>
        </w:rPr>
        <w:t>ersity</w:t>
      </w:r>
      <w:r>
        <w:rPr>
          <w:i/>
        </w:rPr>
        <w:t xml:space="preserve"> of Minnesota</w:t>
      </w:r>
      <w:r>
        <w:t xml:space="preserve">, </w:t>
      </w:r>
      <w:r w:rsidR="002F76E3">
        <w:t>799</w:t>
      </w:r>
      <w:r>
        <w:t xml:space="preserve"> N.W.2d </w:t>
      </w:r>
      <w:r w:rsidR="002F76E3">
        <w:t>243</w:t>
      </w:r>
      <w:r>
        <w:t xml:space="preserve"> (Minn. App. 2011). </w:t>
      </w:r>
    </w:p>
    <w:p w:rsidR="001D2E90" w:rsidRPr="00601CAD" w:rsidRDefault="001D2E90" w:rsidP="001D2E90">
      <w:pPr>
        <w:suppressAutoHyphens w:val="0"/>
        <w:ind w:firstLine="310"/>
        <w:jc w:val="left"/>
        <w:rPr>
          <w:color w:val="000000"/>
          <w:szCs w:val="26"/>
        </w:rPr>
      </w:pPr>
      <w:r w:rsidRPr="00601CAD">
        <w:rPr>
          <w:color w:val="000000"/>
          <w:szCs w:val="26"/>
        </w:rPr>
        <w:t>A student</w:t>
      </w:r>
      <w:r>
        <w:rPr>
          <w:color w:val="000000"/>
          <w:szCs w:val="26"/>
        </w:rPr>
        <w:t>’</w:t>
      </w:r>
      <w:r w:rsidRPr="00601CAD">
        <w:rPr>
          <w:color w:val="000000"/>
          <w:szCs w:val="26"/>
        </w:rPr>
        <w:t>s claims against an academic institution for failure to award a post-graduate degree are properly dismissed when their resolution requires the court to inquire unduly into the educational processes of that institution.</w:t>
      </w:r>
    </w:p>
    <w:p w:rsidR="0015228D" w:rsidRDefault="0015228D" w:rsidP="00711F5A">
      <w:pPr>
        <w:pStyle w:val="FootnoteText"/>
        <w:tabs>
          <w:tab w:val="left" w:pos="720"/>
          <w:tab w:val="left" w:pos="1440"/>
          <w:tab w:val="left" w:pos="2160"/>
        </w:tabs>
      </w:pPr>
    </w:p>
    <w:p w:rsidR="00B60F4E" w:rsidRDefault="00B60F4E" w:rsidP="00B60F4E">
      <w:pPr>
        <w:suppressAutoHyphens w:val="0"/>
      </w:pPr>
      <w:r>
        <w:rPr>
          <w:b/>
          <w:u w:val="single"/>
        </w:rPr>
        <w:t>Torts</w:t>
      </w:r>
    </w:p>
    <w:p w:rsidR="00B60F4E" w:rsidRDefault="00B60F4E" w:rsidP="00B60F4E">
      <w:pPr>
        <w:suppressAutoHyphens w:val="0"/>
      </w:pPr>
    </w:p>
    <w:p w:rsidR="003B00A2" w:rsidRDefault="003B00A2" w:rsidP="003B00A2">
      <w:r>
        <w:rPr>
          <w:i/>
        </w:rPr>
        <w:t>Ames &amp; Fischer Co. v. McDonald</w:t>
      </w:r>
      <w:r>
        <w:t xml:space="preserve">, 798 N.W.2d 557 (Minn. App. 2011), </w:t>
      </w:r>
      <w:r>
        <w:rPr>
          <w:i/>
        </w:rPr>
        <w:t>review denied</w:t>
      </w:r>
      <w:r>
        <w:t xml:space="preserve"> (Minn. July 19, 2011).</w:t>
      </w:r>
    </w:p>
    <w:p w:rsidR="003B00A2" w:rsidRDefault="003B00A2" w:rsidP="003B00A2">
      <w:pPr>
        <w:tabs>
          <w:tab w:val="left" w:pos="720"/>
          <w:tab w:val="left" w:pos="1440"/>
        </w:tabs>
        <w:rPr>
          <w:szCs w:val="26"/>
        </w:rPr>
      </w:pPr>
      <w:r>
        <w:rPr>
          <w:b/>
          <w:i/>
          <w:szCs w:val="26"/>
        </w:rPr>
        <w:tab/>
      </w:r>
      <w:r w:rsidRPr="008C1D4E">
        <w:rPr>
          <w:szCs w:val="26"/>
        </w:rPr>
        <w:t xml:space="preserve">A cause of action for professional malpractice based on the allegedly negligent failure to make or advise to make an I.R.C. § 754 (2006) election accrues, and the statute of limitations begins to run, when the income-tax return is filed without making the election.  </w:t>
      </w:r>
    </w:p>
    <w:p w:rsidR="003B00A2" w:rsidRDefault="003B00A2" w:rsidP="00B60F4E">
      <w:pPr>
        <w:suppressAutoHyphens w:val="0"/>
      </w:pPr>
    </w:p>
    <w:p w:rsidR="00D76EDD" w:rsidRDefault="00D76EDD" w:rsidP="00D76EDD">
      <w:r>
        <w:rPr>
          <w:i/>
        </w:rPr>
        <w:t>Ironwood Springs Christian Ranch, Inc. v. Walk to Emmaus</w:t>
      </w:r>
      <w:r>
        <w:t>, 801 N.W.2d 193 (Minn. App. 2011).</w:t>
      </w:r>
    </w:p>
    <w:p w:rsidR="00D76EDD" w:rsidRDefault="00D76EDD" w:rsidP="00D76EDD">
      <w:pPr>
        <w:pStyle w:val="Heading1"/>
        <w:keepNext w:val="0"/>
        <w:ind w:firstLine="720"/>
        <w:jc w:val="both"/>
        <w:rPr>
          <w:b w:val="0"/>
        </w:rPr>
      </w:pPr>
      <w:r>
        <w:rPr>
          <w:b w:val="0"/>
        </w:rPr>
        <w:t>1.</w:t>
      </w:r>
      <w:r>
        <w:rPr>
          <w:b w:val="0"/>
        </w:rPr>
        <w:tab/>
        <w:t xml:space="preserve">The liability of a person who undertakes another’s duty owed to a third person is governed by Restatement (Second) of Torts § 324A. </w:t>
      </w:r>
    </w:p>
    <w:p w:rsidR="00D76EDD" w:rsidRDefault="00D76EDD" w:rsidP="00D76EDD">
      <w:pPr>
        <w:pStyle w:val="Heading1"/>
        <w:keepNext w:val="0"/>
        <w:ind w:firstLine="720"/>
        <w:jc w:val="both"/>
        <w:rPr>
          <w:b w:val="0"/>
        </w:rPr>
      </w:pPr>
      <w:r>
        <w:rPr>
          <w:b w:val="0"/>
        </w:rPr>
        <w:t>2.</w:t>
      </w:r>
      <w:r>
        <w:rPr>
          <w:b w:val="0"/>
        </w:rPr>
        <w:tab/>
        <w:t xml:space="preserve">To be liable under Restatement (Second) of Torts § 324A(b), a person who undertakes another’s duty owed to a third person must completely assume the duty. </w:t>
      </w:r>
    </w:p>
    <w:p w:rsidR="009855F3" w:rsidRDefault="009855F3" w:rsidP="009855F3"/>
    <w:p w:rsidR="00101EC2" w:rsidRPr="00A32E54" w:rsidRDefault="00101EC2" w:rsidP="00293FCE">
      <w:pPr>
        <w:keepNext/>
        <w:spacing w:before="60"/>
        <w:rPr>
          <w:i/>
        </w:rPr>
      </w:pPr>
      <w:r>
        <w:rPr>
          <w:i/>
        </w:rPr>
        <w:t xml:space="preserve">White v. Many Rivers </w:t>
      </w:r>
      <w:r w:rsidR="002F76E3">
        <w:rPr>
          <w:i/>
        </w:rPr>
        <w:t>West Limited Partnership</w:t>
      </w:r>
      <w:r>
        <w:t>, 797 N.W.2d 739 (Minn. App. 2011)</w:t>
      </w:r>
      <w:r w:rsidRPr="00540FC1">
        <w:t>.</w:t>
      </w:r>
    </w:p>
    <w:p w:rsidR="00101EC2" w:rsidRPr="00D54F9B" w:rsidRDefault="00101EC2" w:rsidP="00101EC2">
      <w:pPr>
        <w:pStyle w:val="Heading1"/>
        <w:keepNext w:val="0"/>
        <w:ind w:firstLine="720"/>
        <w:jc w:val="both"/>
        <w:rPr>
          <w:b w:val="0"/>
          <w:szCs w:val="26"/>
        </w:rPr>
      </w:pPr>
      <w:r>
        <w:rPr>
          <w:b w:val="0"/>
          <w:szCs w:val="26"/>
        </w:rPr>
        <w:t>1.</w:t>
      </w:r>
      <w:r w:rsidR="00EA6430">
        <w:rPr>
          <w:b w:val="0"/>
          <w:szCs w:val="26"/>
        </w:rPr>
        <w:tab/>
      </w:r>
      <w:r>
        <w:rPr>
          <w:b w:val="0"/>
          <w:szCs w:val="26"/>
        </w:rPr>
        <w:t>A landlord has no common-law duty to install window screens that will withstand the force of a child and prevent his accidental fall</w:t>
      </w:r>
      <w:r w:rsidRPr="00D54F9B">
        <w:rPr>
          <w:b w:val="0"/>
          <w:szCs w:val="26"/>
        </w:rPr>
        <w:t>.</w:t>
      </w:r>
    </w:p>
    <w:p w:rsidR="00D76EDD" w:rsidRDefault="00101EC2" w:rsidP="00101EC2">
      <w:pPr>
        <w:suppressAutoHyphens w:val="0"/>
        <w:ind w:firstLine="720"/>
      </w:pPr>
      <w:r>
        <w:t>2.</w:t>
      </w:r>
      <w:r w:rsidR="00EA6430">
        <w:tab/>
      </w:r>
      <w:r>
        <w:t>A landlord has no common-law duty to warn that a window screen cannot withstand the force of a child when the hazard is open and obvious or when the tenant is otherwise actually aware of the screen’s inability.</w:t>
      </w:r>
    </w:p>
    <w:p w:rsidR="003B0DC8" w:rsidRDefault="003B0DC8">
      <w:pPr>
        <w:suppressAutoHyphens w:val="0"/>
        <w:jc w:val="left"/>
        <w:rPr>
          <w:b/>
          <w:u w:val="single"/>
        </w:rPr>
      </w:pPr>
      <w:r>
        <w:rPr>
          <w:b/>
          <w:u w:val="single"/>
        </w:rPr>
        <w:br w:type="page"/>
      </w:r>
    </w:p>
    <w:p w:rsidR="00711F5A" w:rsidRPr="008D3794" w:rsidRDefault="00711F5A" w:rsidP="00711F5A">
      <w:pPr>
        <w:pStyle w:val="FootnoteText"/>
        <w:tabs>
          <w:tab w:val="left" w:pos="720"/>
          <w:tab w:val="left" w:pos="1440"/>
          <w:tab w:val="left" w:pos="2160"/>
        </w:tabs>
        <w:rPr>
          <w:b/>
          <w:u w:val="single"/>
        </w:rPr>
      </w:pPr>
      <w:r>
        <w:rPr>
          <w:b/>
          <w:u w:val="single"/>
        </w:rPr>
        <w:lastRenderedPageBreak/>
        <w:t>Unemployment Benefits</w:t>
      </w:r>
    </w:p>
    <w:p w:rsidR="00711F5A" w:rsidRDefault="00711F5A" w:rsidP="00711F5A">
      <w:pPr>
        <w:pStyle w:val="FootnoteText"/>
        <w:tabs>
          <w:tab w:val="left" w:pos="720"/>
          <w:tab w:val="left" w:pos="1440"/>
          <w:tab w:val="left" w:pos="2160"/>
        </w:tabs>
      </w:pPr>
    </w:p>
    <w:p w:rsidR="00BD6DBE" w:rsidRDefault="00BD6DBE" w:rsidP="00BD6DBE">
      <w:pPr>
        <w:pStyle w:val="FootnoteText"/>
        <w:rPr>
          <w:szCs w:val="24"/>
        </w:rPr>
      </w:pPr>
      <w:r w:rsidRPr="002A4BEB">
        <w:rPr>
          <w:i/>
          <w:szCs w:val="24"/>
        </w:rPr>
        <w:t>Kelly v. Ambassador Press, Inc.</w:t>
      </w:r>
      <w:r>
        <w:rPr>
          <w:szCs w:val="24"/>
        </w:rPr>
        <w:t>, 792 N.W.2d 103 (Minn. App. 2010).</w:t>
      </w:r>
    </w:p>
    <w:p w:rsidR="00BD6DBE" w:rsidRDefault="00BD6DBE" w:rsidP="00BD6DBE">
      <w:pPr>
        <w:pStyle w:val="FootnoteText"/>
      </w:pPr>
      <w:r>
        <w:rPr>
          <w:szCs w:val="24"/>
        </w:rPr>
        <w:tab/>
      </w:r>
      <w:r>
        <w:t xml:space="preserve">Insufficient notice of an appeal hearing under </w:t>
      </w:r>
      <w:r w:rsidRPr="002252F4">
        <w:t xml:space="preserve">Minn. Stat. § 268.105, subd. 1(a) </w:t>
      </w:r>
      <w:r>
        <w:t>(Supp. 2009), may constitute good cause for an applicant’s failure to participate in the evidentiary hearing.</w:t>
      </w:r>
    </w:p>
    <w:p w:rsidR="00BD6DBE" w:rsidRDefault="00BD6DBE" w:rsidP="00BD6DBE">
      <w:pPr>
        <w:pStyle w:val="FootnoteText"/>
        <w:rPr>
          <w:i/>
          <w:szCs w:val="24"/>
        </w:rPr>
      </w:pPr>
    </w:p>
    <w:p w:rsidR="00CB322E" w:rsidRDefault="00CB322E" w:rsidP="00CB322E">
      <w:pPr>
        <w:rPr>
          <w:szCs w:val="24"/>
        </w:rPr>
      </w:pPr>
      <w:r w:rsidRPr="00B70191">
        <w:rPr>
          <w:i/>
          <w:szCs w:val="24"/>
        </w:rPr>
        <w:t xml:space="preserve">Lewis v. </w:t>
      </w:r>
      <w:r w:rsidR="00436D9D">
        <w:rPr>
          <w:i/>
          <w:szCs w:val="24"/>
        </w:rPr>
        <w:t>West</w:t>
      </w:r>
      <w:r w:rsidRPr="00B70191">
        <w:rPr>
          <w:i/>
          <w:szCs w:val="24"/>
        </w:rPr>
        <w:t xml:space="preserve"> Side C</w:t>
      </w:r>
      <w:r w:rsidR="00436D9D">
        <w:rPr>
          <w:i/>
          <w:szCs w:val="24"/>
        </w:rPr>
        <w:t>ommunity</w:t>
      </w:r>
      <w:r w:rsidRPr="00B70191">
        <w:rPr>
          <w:i/>
          <w:szCs w:val="24"/>
        </w:rPr>
        <w:t xml:space="preserve"> Health Serv</w:t>
      </w:r>
      <w:r w:rsidR="00436D9D">
        <w:rPr>
          <w:i/>
          <w:szCs w:val="24"/>
        </w:rPr>
        <w:t>ices</w:t>
      </w:r>
      <w:r w:rsidRPr="00B70191">
        <w:rPr>
          <w:i/>
          <w:szCs w:val="24"/>
        </w:rPr>
        <w:t>, Inc.</w:t>
      </w:r>
      <w:r w:rsidRPr="00B70191">
        <w:rPr>
          <w:szCs w:val="24"/>
        </w:rPr>
        <w:t xml:space="preserve">, </w:t>
      </w:r>
      <w:r w:rsidR="00971004">
        <w:rPr>
          <w:szCs w:val="24"/>
        </w:rPr>
        <w:t>802</w:t>
      </w:r>
      <w:r w:rsidRPr="00B70191">
        <w:rPr>
          <w:szCs w:val="24"/>
        </w:rPr>
        <w:t xml:space="preserve"> N.W.2d </w:t>
      </w:r>
      <w:r w:rsidR="00971004">
        <w:rPr>
          <w:szCs w:val="24"/>
        </w:rPr>
        <w:t>853</w:t>
      </w:r>
      <w:r w:rsidRPr="00B70191">
        <w:rPr>
          <w:szCs w:val="24"/>
        </w:rPr>
        <w:t xml:space="preserve"> (Minn. App.</w:t>
      </w:r>
      <w:r w:rsidR="00436D9D">
        <w:rPr>
          <w:szCs w:val="24"/>
        </w:rPr>
        <w:t xml:space="preserve"> </w:t>
      </w:r>
      <w:r w:rsidRPr="00B70191">
        <w:rPr>
          <w:szCs w:val="24"/>
        </w:rPr>
        <w:t>2011)</w:t>
      </w:r>
      <w:r w:rsidR="004F71C1">
        <w:rPr>
          <w:szCs w:val="24"/>
        </w:rPr>
        <w:t>.</w:t>
      </w:r>
    </w:p>
    <w:p w:rsidR="00CB322E" w:rsidRDefault="00CB322E" w:rsidP="00CB322E">
      <w:pPr>
        <w:rPr>
          <w:szCs w:val="24"/>
        </w:rPr>
      </w:pPr>
      <w:r>
        <w:rPr>
          <w:szCs w:val="24"/>
        </w:rPr>
        <w:tab/>
      </w:r>
      <w:r w:rsidRPr="00B70191">
        <w:rPr>
          <w:szCs w:val="24"/>
        </w:rPr>
        <w:t>An individual employed by an educational-service agency that contracted to provide services to an educational institution is ineligible to receive unemployment benefits during time not worked between academic years or terms when the individual reasonably anticipates returning to the employment.</w:t>
      </w:r>
    </w:p>
    <w:p w:rsidR="00CB322E" w:rsidRDefault="00CB322E" w:rsidP="00BD6DBE">
      <w:pPr>
        <w:pStyle w:val="FootnoteText"/>
        <w:rPr>
          <w:i/>
          <w:szCs w:val="24"/>
        </w:rPr>
      </w:pPr>
    </w:p>
    <w:p w:rsidR="00BD6DBE" w:rsidRDefault="00BD6DBE" w:rsidP="00BD6DBE">
      <w:pPr>
        <w:pStyle w:val="FootnoteText"/>
        <w:rPr>
          <w:szCs w:val="24"/>
        </w:rPr>
      </w:pPr>
      <w:r w:rsidRPr="002A4BEB">
        <w:rPr>
          <w:i/>
          <w:szCs w:val="24"/>
        </w:rPr>
        <w:t xml:space="preserve">Santillana v. </w:t>
      </w:r>
      <w:r w:rsidR="00436D9D">
        <w:rPr>
          <w:i/>
          <w:szCs w:val="24"/>
        </w:rPr>
        <w:t>Central Minnesota</w:t>
      </w:r>
      <w:r>
        <w:rPr>
          <w:i/>
          <w:szCs w:val="24"/>
        </w:rPr>
        <w:t xml:space="preserve"> </w:t>
      </w:r>
      <w:r w:rsidRPr="002A4BEB">
        <w:rPr>
          <w:i/>
          <w:szCs w:val="24"/>
        </w:rPr>
        <w:t>Council on Aging</w:t>
      </w:r>
      <w:r>
        <w:rPr>
          <w:szCs w:val="24"/>
        </w:rPr>
        <w:t>, 791 N.W.2d 303 (Minn. App. 2010).</w:t>
      </w:r>
    </w:p>
    <w:p w:rsidR="00BD6DBE" w:rsidRPr="002E7669" w:rsidRDefault="00BD6DBE" w:rsidP="00BD6DBE">
      <w:pPr>
        <w:pStyle w:val="Heading1"/>
        <w:keepNext w:val="0"/>
        <w:ind w:firstLine="720"/>
        <w:jc w:val="both"/>
        <w:rPr>
          <w:b w:val="0"/>
        </w:rPr>
      </w:pPr>
      <w:r>
        <w:rPr>
          <w:b w:val="0"/>
        </w:rPr>
        <w:t>1.</w:t>
      </w:r>
      <w:r>
        <w:rPr>
          <w:b w:val="0"/>
        </w:rPr>
        <w:tab/>
        <w:t xml:space="preserve">A misrepresentation made by an applicant during the hiring process that is material to the position constitutes employment misconduct under Minn. Stat. </w:t>
      </w:r>
      <w:r w:rsidRPr="002E7669">
        <w:rPr>
          <w:b w:val="0"/>
        </w:rPr>
        <w:t>§ 268.095, subd. 6(a) (Supp. 2009)</w:t>
      </w:r>
      <w:r>
        <w:rPr>
          <w:b w:val="0"/>
        </w:rPr>
        <w:t>.</w:t>
      </w:r>
    </w:p>
    <w:p w:rsidR="00BD6DBE" w:rsidRDefault="00BD6DBE" w:rsidP="00BD6DBE">
      <w:pPr>
        <w:pStyle w:val="Heading1"/>
        <w:keepNext w:val="0"/>
        <w:ind w:firstLine="720"/>
        <w:jc w:val="both"/>
        <w:rPr>
          <w:b w:val="0"/>
        </w:rPr>
      </w:pPr>
      <w:r>
        <w:rPr>
          <w:b w:val="0"/>
        </w:rPr>
        <w:t>2.</w:t>
      </w:r>
      <w:r>
        <w:rPr>
          <w:b w:val="0"/>
        </w:rPr>
        <w:tab/>
        <w:t>A</w:t>
      </w:r>
      <w:r w:rsidRPr="00B96116">
        <w:rPr>
          <w:b w:val="0"/>
        </w:rPr>
        <w:t xml:space="preserve">n employee cannot be discharged for aggravated employment misconduct unless the </w:t>
      </w:r>
      <w:r>
        <w:rPr>
          <w:b w:val="0"/>
        </w:rPr>
        <w:t xml:space="preserve">involved conduct was </w:t>
      </w:r>
      <w:r w:rsidRPr="00B96116">
        <w:rPr>
          <w:b w:val="0"/>
        </w:rPr>
        <w:t xml:space="preserve">committed during the same time period as </w:t>
      </w:r>
      <w:r>
        <w:rPr>
          <w:b w:val="0"/>
        </w:rPr>
        <w:t xml:space="preserve">the </w:t>
      </w:r>
      <w:r w:rsidRPr="00B96116">
        <w:rPr>
          <w:b w:val="0"/>
        </w:rPr>
        <w:t>employment.</w:t>
      </w:r>
    </w:p>
    <w:p w:rsidR="00BD6DBE" w:rsidRDefault="00BD6DBE" w:rsidP="00711F5A">
      <w:pPr>
        <w:pStyle w:val="FootnoteText"/>
        <w:tabs>
          <w:tab w:val="left" w:pos="720"/>
          <w:tab w:val="left" w:pos="1440"/>
          <w:tab w:val="left" w:pos="2160"/>
        </w:tabs>
      </w:pPr>
    </w:p>
    <w:p w:rsidR="00536EE2" w:rsidRPr="00A32E54" w:rsidRDefault="00536EE2" w:rsidP="00536EE2">
      <w:pPr>
        <w:spacing w:before="60"/>
        <w:rPr>
          <w:i/>
        </w:rPr>
      </w:pPr>
      <w:r>
        <w:rPr>
          <w:i/>
        </w:rPr>
        <w:t xml:space="preserve">Sykes v. </w:t>
      </w:r>
      <w:r w:rsidR="00436D9D">
        <w:rPr>
          <w:i/>
        </w:rPr>
        <w:t>Northwest</w:t>
      </w:r>
      <w:r>
        <w:rPr>
          <w:i/>
        </w:rPr>
        <w:t xml:space="preserve"> Airlines</w:t>
      </w:r>
      <w:r w:rsidRPr="000F5C1F">
        <w:rPr>
          <w:i/>
        </w:rPr>
        <w:t>,</w:t>
      </w:r>
      <w:r>
        <w:t xml:space="preserve"> </w:t>
      </w:r>
      <w:r w:rsidRPr="007E453A">
        <w:rPr>
          <w:i/>
        </w:rPr>
        <w:t>Inc.</w:t>
      </w:r>
      <w:r>
        <w:t>, 789 N.W.2d 253 (Minn. App. 2010)</w:t>
      </w:r>
      <w:r w:rsidRPr="00540FC1">
        <w:t>.</w:t>
      </w:r>
    </w:p>
    <w:p w:rsidR="00536EE2" w:rsidRDefault="00536EE2" w:rsidP="00536EE2">
      <w:pPr>
        <w:pStyle w:val="FootnoteText"/>
        <w:tabs>
          <w:tab w:val="left" w:pos="720"/>
          <w:tab w:val="left" w:pos="1440"/>
          <w:tab w:val="left" w:pos="2160"/>
        </w:tabs>
      </w:pPr>
      <w:r>
        <w:tab/>
        <w:t>When deciding whether an applicant for unemployment benefits quit her job to accept a different one with “substantially better terms and conditions of employment” under the better-job exception defined in Minn. Stat. § 268.095, subd. 1 (Supp. 2009), the former employer’s agreement to continue to provide the former employee with health-insurance coverage is not a factor.</w:t>
      </w:r>
    </w:p>
    <w:p w:rsidR="00BD499D" w:rsidRDefault="00BD499D" w:rsidP="00536EE2">
      <w:pPr>
        <w:pStyle w:val="FootnoteText"/>
        <w:tabs>
          <w:tab w:val="left" w:pos="720"/>
          <w:tab w:val="left" w:pos="1440"/>
          <w:tab w:val="left" w:pos="2160"/>
        </w:tabs>
      </w:pPr>
    </w:p>
    <w:p w:rsidR="00D76EDD" w:rsidRPr="00B5671C" w:rsidRDefault="00D76EDD" w:rsidP="00D76EDD">
      <w:r>
        <w:rPr>
          <w:i/>
        </w:rPr>
        <w:t>Vasseei v. S</w:t>
      </w:r>
      <w:r w:rsidR="00436D9D">
        <w:rPr>
          <w:i/>
        </w:rPr>
        <w:t>c</w:t>
      </w:r>
      <w:r>
        <w:rPr>
          <w:i/>
        </w:rPr>
        <w:t>hmitty &amp; Sons Sch</w:t>
      </w:r>
      <w:r w:rsidR="00436D9D">
        <w:rPr>
          <w:i/>
        </w:rPr>
        <w:t>ool</w:t>
      </w:r>
      <w:r>
        <w:rPr>
          <w:i/>
        </w:rPr>
        <w:t xml:space="preserve"> Buses Inc.</w:t>
      </w:r>
      <w:r>
        <w:t>, 793 N.W.2d 747 (Minn. App. 2010).</w:t>
      </w:r>
    </w:p>
    <w:p w:rsidR="00D76EDD" w:rsidRDefault="00D76EDD" w:rsidP="00D76EDD">
      <w:pPr>
        <w:pStyle w:val="Heading1"/>
        <w:keepNext w:val="0"/>
        <w:jc w:val="both"/>
        <w:rPr>
          <w:b w:val="0"/>
          <w:szCs w:val="26"/>
        </w:rPr>
      </w:pPr>
      <w:r>
        <w:rPr>
          <w:b w:val="0"/>
          <w:szCs w:val="26"/>
        </w:rPr>
        <w:tab/>
        <w:t>Upon a timely request for reconsideration, if an unemployment-law judge (ULJ) determines that an unrepresented party’s failure to present evidence at a hearing resulted from the ULJ’s failure to assist the party as required by Minn. R. 3310.2921 (2009), the ULJ may set aside the decision and order an additional evidentiary hearing under Minn. Stat. § 268.105, subd. 2(a)(2) (Supp. 2009).</w:t>
      </w:r>
    </w:p>
    <w:p w:rsidR="00D76EDD" w:rsidRPr="00D76EDD" w:rsidRDefault="00D76EDD" w:rsidP="00D76EDD"/>
    <w:p w:rsidR="00B4522B" w:rsidRDefault="00B4522B">
      <w:pPr>
        <w:suppressAutoHyphens w:val="0"/>
        <w:jc w:val="left"/>
        <w:rPr>
          <w:i/>
        </w:rPr>
      </w:pPr>
      <w:r>
        <w:rPr>
          <w:i/>
        </w:rPr>
        <w:br w:type="page"/>
      </w:r>
    </w:p>
    <w:p w:rsidR="00536EE2" w:rsidRDefault="00536EE2" w:rsidP="00536EE2">
      <w:r>
        <w:rPr>
          <w:i/>
        </w:rPr>
        <w:lastRenderedPageBreak/>
        <w:t xml:space="preserve">Voge v. </w:t>
      </w:r>
      <w:r w:rsidR="00AC0D91">
        <w:rPr>
          <w:i/>
        </w:rPr>
        <w:t>Department of Employment &amp; Economic Development</w:t>
      </w:r>
      <w:r>
        <w:t>, 794 N.W.2d 662 (Minn. App. 2011).</w:t>
      </w:r>
    </w:p>
    <w:p w:rsidR="00536EE2" w:rsidRDefault="00536EE2" w:rsidP="00536EE2">
      <w:pPr>
        <w:pStyle w:val="Heading1"/>
        <w:keepNext w:val="0"/>
        <w:jc w:val="both"/>
        <w:rPr>
          <w:b w:val="0"/>
          <w:szCs w:val="26"/>
        </w:rPr>
      </w:pPr>
      <w:r>
        <w:rPr>
          <w:b w:val="0"/>
          <w:szCs w:val="26"/>
        </w:rPr>
        <w:tab/>
        <w:t xml:space="preserve">An individual whose state unemployment benefit year expired before the July 22, 2010 enactment of the Unemployment Compensation Extension Act of 2010, </w:t>
      </w:r>
      <w:r w:rsidRPr="006F7FC5">
        <w:rPr>
          <w:b w:val="0"/>
        </w:rPr>
        <w:t>Pub. L. No. 111-205, § 3(a), 124 Stat. 2236</w:t>
      </w:r>
      <w:r>
        <w:rPr>
          <w:b w:val="0"/>
        </w:rPr>
        <w:t xml:space="preserve">, </w:t>
      </w:r>
      <w:r>
        <w:rPr>
          <w:b w:val="0"/>
          <w:szCs w:val="26"/>
        </w:rPr>
        <w:t xml:space="preserve">is not entitled to continue receiving federal extended unemployment benefit payments if the individual became eligible for a new state unemployment benefit account, even if the individual is unable to collect from the new state unemployment benefit account because the unemployment benefit amount has been recalculated downward. </w:t>
      </w:r>
    </w:p>
    <w:p w:rsidR="00536EE2" w:rsidRDefault="00536EE2" w:rsidP="00536EE2"/>
    <w:p w:rsidR="00711F5A" w:rsidRPr="00E0265D" w:rsidRDefault="00711F5A" w:rsidP="00711F5A">
      <w:pPr>
        <w:suppressAutoHyphens w:val="0"/>
        <w:jc w:val="center"/>
        <w:rPr>
          <w:b/>
          <w:sz w:val="28"/>
          <w:szCs w:val="28"/>
        </w:rPr>
      </w:pPr>
      <w:r w:rsidRPr="00E0265D">
        <w:rPr>
          <w:b/>
          <w:sz w:val="28"/>
          <w:szCs w:val="28"/>
        </w:rPr>
        <w:t>PART II – CRIMINAL CASES AND CASES ON RELATED SUBJECTS</w:t>
      </w:r>
    </w:p>
    <w:p w:rsidR="00711F5A" w:rsidRDefault="00711F5A" w:rsidP="00711F5A">
      <w:pPr>
        <w:suppressAutoHyphens w:val="0"/>
        <w:rPr>
          <w:b/>
        </w:rPr>
      </w:pPr>
    </w:p>
    <w:p w:rsidR="00024E96" w:rsidRDefault="00024E96" w:rsidP="00024E96">
      <w:pPr>
        <w:rPr>
          <w:b/>
          <w:u w:val="single"/>
        </w:rPr>
      </w:pPr>
      <w:r>
        <w:rPr>
          <w:b/>
          <w:u w:val="single"/>
        </w:rPr>
        <w:t>Commitment of Sex Offenders</w:t>
      </w:r>
    </w:p>
    <w:p w:rsidR="00024E96" w:rsidRDefault="00024E96" w:rsidP="00024E96"/>
    <w:p w:rsidR="00024E96" w:rsidRPr="00BE2D28" w:rsidRDefault="00024E96" w:rsidP="00024E96">
      <w:pPr>
        <w:keepNext/>
      </w:pPr>
      <w:r>
        <w:rPr>
          <w:i/>
        </w:rPr>
        <w:t xml:space="preserve">In re Commitment of </w:t>
      </w:r>
      <w:r w:rsidRPr="00BE2D28">
        <w:rPr>
          <w:i/>
        </w:rPr>
        <w:t>Navratil</w:t>
      </w:r>
      <w:r>
        <w:t xml:space="preserve">, 799 N.W.2d 643 (Minn. App. 2011), </w:t>
      </w:r>
      <w:r w:rsidRPr="00BE2D28">
        <w:rPr>
          <w:i/>
        </w:rPr>
        <w:t>review</w:t>
      </w:r>
      <w:r>
        <w:rPr>
          <w:i/>
        </w:rPr>
        <w:t xml:space="preserve"> denied</w:t>
      </w:r>
      <w:r>
        <w:t xml:space="preserve"> (Minn. Aug. 24, 2011).</w:t>
      </w:r>
    </w:p>
    <w:p w:rsidR="00024E96" w:rsidRPr="006366FD" w:rsidRDefault="00024E96" w:rsidP="00024E96">
      <w:pPr>
        <w:pStyle w:val="Heading1"/>
        <w:keepNext w:val="0"/>
        <w:ind w:firstLine="720"/>
        <w:jc w:val="both"/>
        <w:rPr>
          <w:b w:val="0"/>
          <w:szCs w:val="26"/>
        </w:rPr>
      </w:pPr>
      <w:r>
        <w:rPr>
          <w:b w:val="0"/>
          <w:szCs w:val="26"/>
        </w:rPr>
        <w:t>A district court’s decision whether to order indeterminate commitment of an individual as a sexually dangerous person (SDP) is based only on whether the individual continues to meet the statutory definition of an SDP after the initial commitment period.  A treatment facility’s failure to provide treatment during the initial commitment period has no bearing on the district court’s decision.</w:t>
      </w:r>
    </w:p>
    <w:p w:rsidR="00024E96" w:rsidRDefault="00024E96" w:rsidP="00711F5A">
      <w:pPr>
        <w:suppressAutoHyphens w:val="0"/>
        <w:rPr>
          <w:b/>
        </w:rPr>
      </w:pPr>
    </w:p>
    <w:p w:rsidR="00B80352" w:rsidRPr="00B80352" w:rsidRDefault="00B80352" w:rsidP="00711F5A">
      <w:pPr>
        <w:suppressAutoHyphens w:val="0"/>
        <w:rPr>
          <w:b/>
        </w:rPr>
      </w:pPr>
      <w:r w:rsidRPr="00B80352">
        <w:rPr>
          <w:b/>
          <w:u w:val="single"/>
        </w:rPr>
        <w:t>Constitutional Law</w:t>
      </w:r>
    </w:p>
    <w:p w:rsidR="00B80352" w:rsidRDefault="00B80352" w:rsidP="00711F5A">
      <w:pPr>
        <w:suppressAutoHyphens w:val="0"/>
      </w:pPr>
    </w:p>
    <w:p w:rsidR="00B80352" w:rsidRPr="00AB619E" w:rsidRDefault="00B80352" w:rsidP="00B80352">
      <w:pPr>
        <w:rPr>
          <w:szCs w:val="26"/>
        </w:rPr>
      </w:pPr>
      <w:r w:rsidRPr="00AB619E">
        <w:rPr>
          <w:i/>
          <w:szCs w:val="26"/>
        </w:rPr>
        <w:t>State v. Peter</w:t>
      </w:r>
      <w:r w:rsidRPr="00AB619E">
        <w:rPr>
          <w:szCs w:val="26"/>
        </w:rPr>
        <w:t xml:space="preserve">, </w:t>
      </w:r>
      <w:r w:rsidR="00431505">
        <w:rPr>
          <w:szCs w:val="26"/>
        </w:rPr>
        <w:t>798</w:t>
      </w:r>
      <w:r w:rsidRPr="00AB619E">
        <w:rPr>
          <w:szCs w:val="26"/>
        </w:rPr>
        <w:t xml:space="preserve"> N.W.2d </w:t>
      </w:r>
      <w:r w:rsidR="00431505">
        <w:rPr>
          <w:szCs w:val="26"/>
        </w:rPr>
        <w:t>552</w:t>
      </w:r>
      <w:r>
        <w:rPr>
          <w:szCs w:val="26"/>
        </w:rPr>
        <w:t xml:space="preserve"> </w:t>
      </w:r>
      <w:r w:rsidRPr="00AB619E">
        <w:rPr>
          <w:szCs w:val="26"/>
        </w:rPr>
        <w:t>(Minn. App. 2011).</w:t>
      </w:r>
    </w:p>
    <w:p w:rsidR="00B80352" w:rsidRDefault="00B80352" w:rsidP="00B80352">
      <w:pPr>
        <w:ind w:firstLine="720"/>
        <w:rPr>
          <w:szCs w:val="26"/>
        </w:rPr>
      </w:pPr>
      <w:r w:rsidRPr="00AB619E">
        <w:rPr>
          <w:szCs w:val="26"/>
        </w:rPr>
        <w:t>When political speech is inextricably intertwined with expressive conduct that may be offensive by itself, the speech and conduct are protected by the First Amendment unless they rise to the level of fighting words.</w:t>
      </w:r>
    </w:p>
    <w:p w:rsidR="007A4C36" w:rsidRPr="00AB619E" w:rsidRDefault="007A4C36" w:rsidP="00B80352">
      <w:pPr>
        <w:ind w:firstLine="720"/>
        <w:rPr>
          <w:szCs w:val="26"/>
        </w:rPr>
      </w:pPr>
    </w:p>
    <w:p w:rsidR="003B00A2" w:rsidRPr="00B9626E" w:rsidRDefault="003B00A2" w:rsidP="003B00A2">
      <w:pPr>
        <w:tabs>
          <w:tab w:val="left" w:pos="720"/>
          <w:tab w:val="left" w:pos="1440"/>
          <w:tab w:val="left" w:pos="2160"/>
        </w:tabs>
        <w:rPr>
          <w:b/>
          <w:u w:val="single"/>
        </w:rPr>
      </w:pPr>
      <w:r>
        <w:rPr>
          <w:b/>
          <w:u w:val="single"/>
        </w:rPr>
        <w:t>DWI &amp; Implied Consent</w:t>
      </w:r>
      <w:r>
        <w:t xml:space="preserve"> </w:t>
      </w:r>
    </w:p>
    <w:p w:rsidR="003B00A2" w:rsidRDefault="003B00A2" w:rsidP="003B00A2">
      <w:pPr>
        <w:tabs>
          <w:tab w:val="left" w:pos="720"/>
          <w:tab w:val="left" w:pos="1440"/>
          <w:tab w:val="left" w:pos="2160"/>
        </w:tabs>
        <w:jc w:val="left"/>
      </w:pPr>
    </w:p>
    <w:p w:rsidR="003B00A2" w:rsidRPr="005B1CFF" w:rsidRDefault="003B00A2" w:rsidP="003B00A2">
      <w:pPr>
        <w:pStyle w:val="FootnoteText"/>
        <w:tabs>
          <w:tab w:val="left" w:pos="720"/>
          <w:tab w:val="left" w:pos="1440"/>
          <w:tab w:val="left" w:pos="2160"/>
        </w:tabs>
      </w:pPr>
      <w:r>
        <w:rPr>
          <w:i/>
        </w:rPr>
        <w:t>State v. Brown</w:t>
      </w:r>
      <w:r>
        <w:t xml:space="preserve">, </w:t>
      </w:r>
      <w:r w:rsidR="00803A3E">
        <w:t>801</w:t>
      </w:r>
      <w:r>
        <w:t xml:space="preserve"> N.W.2d </w:t>
      </w:r>
      <w:r w:rsidR="00803A3E">
        <w:t>186</w:t>
      </w:r>
      <w:r>
        <w:t xml:space="preserve"> (Minn. App. 2011).  </w:t>
      </w:r>
    </w:p>
    <w:p w:rsidR="003B00A2" w:rsidRDefault="003B00A2" w:rsidP="003B00A2">
      <w:pPr>
        <w:pStyle w:val="FootnoteText"/>
        <w:tabs>
          <w:tab w:val="left" w:pos="720"/>
          <w:tab w:val="left" w:pos="1440"/>
          <w:tab w:val="left" w:pos="2160"/>
        </w:tabs>
      </w:pPr>
      <w:r>
        <w:tab/>
        <w:t>An intoxicated, physically disabled individual using a motorized devise as a substitute for walking is not driving, operating, or in physical control of a motor vehicle for purposes of Minn. Stat. § 169.20, subd. 1 (2008).</w:t>
      </w:r>
    </w:p>
    <w:p w:rsidR="003B00A2" w:rsidRDefault="003B00A2" w:rsidP="003B00A2">
      <w:pPr>
        <w:pStyle w:val="FootnoteText"/>
        <w:tabs>
          <w:tab w:val="left" w:pos="720"/>
          <w:tab w:val="left" w:pos="1440"/>
          <w:tab w:val="left" w:pos="2160"/>
        </w:tabs>
      </w:pPr>
    </w:p>
    <w:p w:rsidR="003B00A2" w:rsidRDefault="003B00A2" w:rsidP="003B00A2">
      <w:pPr>
        <w:rPr>
          <w:szCs w:val="26"/>
        </w:rPr>
      </w:pPr>
      <w:r w:rsidRPr="00101E62">
        <w:rPr>
          <w:i/>
          <w:szCs w:val="26"/>
        </w:rPr>
        <w:t>State v. Edstrom</w:t>
      </w:r>
      <w:r>
        <w:rPr>
          <w:szCs w:val="26"/>
        </w:rPr>
        <w:t xml:space="preserve">, </w:t>
      </w:r>
      <w:r w:rsidRPr="00101E62">
        <w:rPr>
          <w:szCs w:val="26"/>
        </w:rPr>
        <w:t>792 N.W.2d 105</w:t>
      </w:r>
      <w:r>
        <w:rPr>
          <w:szCs w:val="26"/>
        </w:rPr>
        <w:t xml:space="preserve"> (</w:t>
      </w:r>
      <w:r w:rsidRPr="00101E62">
        <w:rPr>
          <w:szCs w:val="26"/>
        </w:rPr>
        <w:t>Minn.</w:t>
      </w:r>
      <w:r>
        <w:rPr>
          <w:szCs w:val="26"/>
        </w:rPr>
        <w:t xml:space="preserve"> </w:t>
      </w:r>
      <w:r w:rsidRPr="00101E62">
        <w:rPr>
          <w:szCs w:val="26"/>
        </w:rPr>
        <w:t>App.</w:t>
      </w:r>
      <w:r>
        <w:rPr>
          <w:szCs w:val="26"/>
        </w:rPr>
        <w:t xml:space="preserve"> </w:t>
      </w:r>
      <w:r w:rsidRPr="00101E62">
        <w:rPr>
          <w:szCs w:val="26"/>
        </w:rPr>
        <w:t>2010</w:t>
      </w:r>
      <w:r>
        <w:rPr>
          <w:szCs w:val="26"/>
        </w:rPr>
        <w:t>)</w:t>
      </w:r>
      <w:r w:rsidRPr="00101E62">
        <w:rPr>
          <w:szCs w:val="26"/>
        </w:rPr>
        <w:t>.</w:t>
      </w:r>
    </w:p>
    <w:p w:rsidR="003B00A2" w:rsidRPr="00101E62" w:rsidRDefault="003B00A2" w:rsidP="003B00A2">
      <w:pPr>
        <w:ind w:firstLine="720"/>
        <w:rPr>
          <w:szCs w:val="26"/>
        </w:rPr>
      </w:pPr>
      <w:r>
        <w:rPr>
          <w:szCs w:val="26"/>
        </w:rPr>
        <w:t>1.</w:t>
      </w:r>
      <w:r>
        <w:rPr>
          <w:szCs w:val="26"/>
        </w:rPr>
        <w:tab/>
      </w:r>
      <w:r w:rsidRPr="00101E62">
        <w:rPr>
          <w:szCs w:val="26"/>
        </w:rPr>
        <w:t xml:space="preserve">The district court did not err by holding a </w:t>
      </w:r>
      <w:r w:rsidRPr="00101E62">
        <w:rPr>
          <w:i/>
          <w:szCs w:val="26"/>
        </w:rPr>
        <w:t>Frye-Mack</w:t>
      </w:r>
      <w:r w:rsidRPr="00101E62">
        <w:rPr>
          <w:szCs w:val="26"/>
        </w:rPr>
        <w:t xml:space="preserve"> hearing regarding the general acceptance and scientific reliability of gas headspace chromatography as performed on urine samples.</w:t>
      </w:r>
    </w:p>
    <w:p w:rsidR="003B00A2" w:rsidRDefault="003B00A2" w:rsidP="003B00A2">
      <w:pPr>
        <w:ind w:firstLine="720"/>
        <w:rPr>
          <w:szCs w:val="26"/>
        </w:rPr>
      </w:pPr>
      <w:r w:rsidRPr="00101E62">
        <w:rPr>
          <w:szCs w:val="26"/>
        </w:rPr>
        <w:t>2.</w:t>
      </w:r>
      <w:r>
        <w:rPr>
          <w:szCs w:val="26"/>
        </w:rPr>
        <w:tab/>
      </w:r>
      <w:r w:rsidRPr="00101E62">
        <w:rPr>
          <w:szCs w:val="26"/>
        </w:rPr>
        <w:t xml:space="preserve">The district court did not abuse its discretion by admitting expert testimony regarding the acceptability and reliability of gas headspace chromatography for the purpose of a </w:t>
      </w:r>
      <w:r w:rsidRPr="00101E62">
        <w:rPr>
          <w:i/>
          <w:szCs w:val="26"/>
        </w:rPr>
        <w:t>Frye-Mack</w:t>
      </w:r>
      <w:r w:rsidRPr="00101E62">
        <w:rPr>
          <w:szCs w:val="26"/>
        </w:rPr>
        <w:t xml:space="preserve"> hearing.</w:t>
      </w:r>
    </w:p>
    <w:p w:rsidR="003B00A2" w:rsidRDefault="003B00A2" w:rsidP="003B00A2">
      <w:pPr>
        <w:ind w:firstLine="720"/>
        <w:rPr>
          <w:szCs w:val="26"/>
        </w:rPr>
      </w:pPr>
      <w:r w:rsidRPr="00101E62">
        <w:rPr>
          <w:szCs w:val="26"/>
        </w:rPr>
        <w:lastRenderedPageBreak/>
        <w:t>3.</w:t>
      </w:r>
      <w:r>
        <w:rPr>
          <w:szCs w:val="26"/>
        </w:rPr>
        <w:tab/>
      </w:r>
      <w:r w:rsidRPr="00101E62">
        <w:rPr>
          <w:szCs w:val="26"/>
        </w:rPr>
        <w:t xml:space="preserve">The </w:t>
      </w:r>
      <w:r w:rsidRPr="00101E62">
        <w:rPr>
          <w:i/>
          <w:szCs w:val="26"/>
        </w:rPr>
        <w:t>Frye-Mack</w:t>
      </w:r>
      <w:r w:rsidRPr="00101E62">
        <w:rPr>
          <w:szCs w:val="26"/>
        </w:rPr>
        <w:t xml:space="preserve"> hearing established that gas headspace chromatography is generally accepted in the scientific community, and it is a reliable technique for determining the alcohol concentration in a urine sample, inclu</w:t>
      </w:r>
      <w:r>
        <w:rPr>
          <w:szCs w:val="26"/>
        </w:rPr>
        <w:t>ding a first-void urine sample.</w:t>
      </w:r>
    </w:p>
    <w:p w:rsidR="003B00A2" w:rsidRPr="00494101" w:rsidRDefault="003B00A2" w:rsidP="003B00A2">
      <w:pPr>
        <w:pStyle w:val="FootnoteText"/>
        <w:tabs>
          <w:tab w:val="left" w:pos="720"/>
          <w:tab w:val="left" w:pos="1440"/>
          <w:tab w:val="left" w:pos="2160"/>
        </w:tabs>
      </w:pPr>
    </w:p>
    <w:p w:rsidR="003B00A2" w:rsidRDefault="003B00A2" w:rsidP="003B00A2">
      <w:pPr>
        <w:tabs>
          <w:tab w:val="left" w:pos="4680"/>
          <w:tab w:val="left" w:pos="6660"/>
          <w:tab w:val="left" w:pos="8280"/>
        </w:tabs>
      </w:pPr>
      <w:r>
        <w:rPr>
          <w:i/>
        </w:rPr>
        <w:t>Ellingson v. Commissioner of Public Safety</w:t>
      </w:r>
      <w:r>
        <w:t xml:space="preserve">, 800 N.W.2d 805 (Minn. App. 2011), </w:t>
      </w:r>
      <w:r>
        <w:rPr>
          <w:i/>
        </w:rPr>
        <w:t>review denied</w:t>
      </w:r>
      <w:r>
        <w:t xml:space="preserve"> (Minn. Aug. 24, 2011).</w:t>
      </w:r>
    </w:p>
    <w:p w:rsidR="003B00A2" w:rsidRDefault="003B00A2" w:rsidP="003B00A2">
      <w:pPr>
        <w:ind w:firstLine="720"/>
        <w:rPr>
          <w:szCs w:val="26"/>
        </w:rPr>
      </w:pPr>
      <w:r>
        <w:rPr>
          <w:szCs w:val="26"/>
        </w:rPr>
        <w:t>Because the body’s natural processes cause the alcohol concentration of urine to change rapidly over time, exigent circumstances justify the warrantless collection of a urine sample from a person arrested for driving while impaired.</w:t>
      </w:r>
    </w:p>
    <w:p w:rsidR="003B00A2" w:rsidRPr="007A43DA" w:rsidRDefault="003B00A2" w:rsidP="003B00A2"/>
    <w:p w:rsidR="003B00A2" w:rsidRDefault="003B00A2" w:rsidP="003B00A2">
      <w:pPr>
        <w:tabs>
          <w:tab w:val="left" w:pos="720"/>
          <w:tab w:val="left" w:pos="1440"/>
        </w:tabs>
      </w:pPr>
      <w:r>
        <w:rPr>
          <w:i/>
        </w:rPr>
        <w:t>State v. Ferrier</w:t>
      </w:r>
      <w:r>
        <w:t xml:space="preserve">, 792 N.W.2d 98 (Minn. App. 2010), </w:t>
      </w:r>
      <w:r>
        <w:rPr>
          <w:i/>
        </w:rPr>
        <w:t>review denied</w:t>
      </w:r>
      <w:r>
        <w:t xml:space="preserve"> (Minn. Mar. 15, 2011).</w:t>
      </w:r>
    </w:p>
    <w:p w:rsidR="003B00A2" w:rsidRDefault="003B00A2" w:rsidP="003B00A2">
      <w:pPr>
        <w:pStyle w:val="Heading1"/>
        <w:keepNext w:val="0"/>
        <w:ind w:firstLine="720"/>
        <w:jc w:val="both"/>
        <w:rPr>
          <w:b w:val="0"/>
          <w:szCs w:val="26"/>
        </w:rPr>
      </w:pPr>
      <w:r>
        <w:rPr>
          <w:b w:val="0"/>
          <w:szCs w:val="26"/>
        </w:rPr>
        <w:t>Although a conviction for refusing to submit to implied-consent chemical testing requires proof of a volitional act that indicates unwillingness to submit to a test, this element may be established by direct or circumstantial evidence.  Circumstantial evidence of a driver’s conduct may demonstrate refusal.</w:t>
      </w:r>
    </w:p>
    <w:p w:rsidR="003B00A2" w:rsidRDefault="003B00A2" w:rsidP="003B00A2"/>
    <w:p w:rsidR="00711F5A" w:rsidRDefault="00711F5A" w:rsidP="00711F5A">
      <w:pPr>
        <w:suppressAutoHyphens w:val="0"/>
      </w:pPr>
      <w:r>
        <w:rPr>
          <w:b/>
          <w:u w:val="single"/>
        </w:rPr>
        <w:t>Evidence</w:t>
      </w:r>
    </w:p>
    <w:p w:rsidR="00711F5A" w:rsidRDefault="00711F5A" w:rsidP="00711F5A">
      <w:pPr>
        <w:suppressAutoHyphens w:val="0"/>
      </w:pPr>
    </w:p>
    <w:p w:rsidR="007A43DA" w:rsidRDefault="007A43DA" w:rsidP="007A43DA">
      <w:pPr>
        <w:tabs>
          <w:tab w:val="left" w:pos="4680"/>
          <w:tab w:val="left" w:pos="6660"/>
          <w:tab w:val="left" w:pos="8280"/>
        </w:tabs>
      </w:pPr>
      <w:r>
        <w:rPr>
          <w:i/>
        </w:rPr>
        <w:t>State v. Usee</w:t>
      </w:r>
      <w:r>
        <w:t xml:space="preserve">, 800 N.W.2d 192 (Minn. App. 2011), </w:t>
      </w:r>
      <w:r>
        <w:rPr>
          <w:i/>
        </w:rPr>
        <w:t>review denied</w:t>
      </w:r>
      <w:r>
        <w:t xml:space="preserve"> (Minn. Aug. 24, 2011).</w:t>
      </w:r>
    </w:p>
    <w:p w:rsidR="007A43DA" w:rsidRDefault="007A43DA" w:rsidP="007A43DA">
      <w:pPr>
        <w:ind w:firstLine="720"/>
        <w:rPr>
          <w:szCs w:val="26"/>
        </w:rPr>
      </w:pPr>
      <w:r>
        <w:rPr>
          <w:szCs w:val="26"/>
        </w:rPr>
        <w:t>A</w:t>
      </w:r>
      <w:r w:rsidRPr="00581183">
        <w:rPr>
          <w:szCs w:val="26"/>
        </w:rPr>
        <w:t xml:space="preserve"> district court d</w:t>
      </w:r>
      <w:r>
        <w:rPr>
          <w:szCs w:val="26"/>
        </w:rPr>
        <w:t>oes</w:t>
      </w:r>
      <w:r w:rsidRPr="00581183">
        <w:rPr>
          <w:szCs w:val="26"/>
        </w:rPr>
        <w:t xml:space="preserve"> not violate </w:t>
      </w:r>
      <w:r>
        <w:rPr>
          <w:szCs w:val="26"/>
        </w:rPr>
        <w:t xml:space="preserve">a criminal defendant’s right to confront witnesses against him </w:t>
      </w:r>
      <w:r w:rsidRPr="00581183">
        <w:rPr>
          <w:szCs w:val="26"/>
        </w:rPr>
        <w:t xml:space="preserve">under </w:t>
      </w:r>
      <w:r w:rsidRPr="00581183">
        <w:rPr>
          <w:i/>
          <w:szCs w:val="26"/>
        </w:rPr>
        <w:t>Bruton v. United States</w:t>
      </w:r>
      <w:r w:rsidRPr="00581183">
        <w:rPr>
          <w:szCs w:val="26"/>
        </w:rPr>
        <w:t xml:space="preserve"> </w:t>
      </w:r>
      <w:r>
        <w:rPr>
          <w:szCs w:val="26"/>
        </w:rPr>
        <w:t xml:space="preserve">by admitting nontestimonial </w:t>
      </w:r>
      <w:r w:rsidRPr="00581183">
        <w:rPr>
          <w:szCs w:val="26"/>
        </w:rPr>
        <w:t xml:space="preserve">hearsay </w:t>
      </w:r>
      <w:r>
        <w:rPr>
          <w:szCs w:val="26"/>
        </w:rPr>
        <w:t>statements of</w:t>
      </w:r>
      <w:r w:rsidRPr="00581183">
        <w:rPr>
          <w:szCs w:val="26"/>
        </w:rPr>
        <w:t xml:space="preserve"> a jointly</w:t>
      </w:r>
      <w:r>
        <w:rPr>
          <w:szCs w:val="26"/>
        </w:rPr>
        <w:t xml:space="preserve"> </w:t>
      </w:r>
      <w:r w:rsidRPr="00581183">
        <w:rPr>
          <w:szCs w:val="26"/>
        </w:rPr>
        <w:t xml:space="preserve">tried codefendant. </w:t>
      </w:r>
    </w:p>
    <w:p w:rsidR="007A43DA" w:rsidRDefault="007A43DA" w:rsidP="00935494">
      <w:pPr>
        <w:rPr>
          <w:szCs w:val="26"/>
        </w:rPr>
      </w:pPr>
    </w:p>
    <w:p w:rsidR="00851538" w:rsidRPr="00AB619E" w:rsidRDefault="00851538" w:rsidP="00851538">
      <w:pPr>
        <w:pStyle w:val="FootnoteText"/>
        <w:tabs>
          <w:tab w:val="left" w:pos="720"/>
          <w:tab w:val="left" w:pos="1440"/>
          <w:tab w:val="left" w:pos="2160"/>
        </w:tabs>
        <w:rPr>
          <w:b/>
          <w:u w:val="single"/>
        </w:rPr>
      </w:pPr>
      <w:r w:rsidRPr="00AB619E">
        <w:rPr>
          <w:b/>
          <w:u w:val="single"/>
        </w:rPr>
        <w:t>Forfeiture</w:t>
      </w:r>
    </w:p>
    <w:p w:rsidR="00851538" w:rsidRPr="00AB619E" w:rsidRDefault="00851538" w:rsidP="00851538">
      <w:pPr>
        <w:rPr>
          <w:szCs w:val="26"/>
        </w:rPr>
      </w:pPr>
    </w:p>
    <w:p w:rsidR="00851538" w:rsidRPr="00AB619E" w:rsidRDefault="00851538" w:rsidP="00851538">
      <w:pPr>
        <w:pStyle w:val="Heading1"/>
        <w:keepNext w:val="0"/>
        <w:jc w:val="both"/>
        <w:rPr>
          <w:b w:val="0"/>
          <w:szCs w:val="26"/>
        </w:rPr>
      </w:pPr>
      <w:r w:rsidRPr="00AB619E">
        <w:rPr>
          <w:b w:val="0"/>
          <w:i/>
          <w:szCs w:val="26"/>
        </w:rPr>
        <w:t>Peterson v. 2004 Ford Crown Victoria</w:t>
      </w:r>
      <w:r w:rsidRPr="00AB619E">
        <w:rPr>
          <w:b w:val="0"/>
          <w:szCs w:val="26"/>
        </w:rPr>
        <w:t>, 792 N.W.2d 454 (Minn. App. 2010).</w:t>
      </w:r>
    </w:p>
    <w:p w:rsidR="00851538" w:rsidRPr="00AB619E" w:rsidRDefault="00851538" w:rsidP="00851538">
      <w:pPr>
        <w:pStyle w:val="Heading1"/>
        <w:keepNext w:val="0"/>
        <w:ind w:firstLine="720"/>
        <w:jc w:val="both"/>
        <w:rPr>
          <w:b w:val="0"/>
          <w:szCs w:val="26"/>
        </w:rPr>
      </w:pPr>
      <w:r w:rsidRPr="00AB619E">
        <w:rPr>
          <w:b w:val="0"/>
          <w:szCs w:val="26"/>
        </w:rPr>
        <w:t>1.</w:t>
      </w:r>
      <w:r w:rsidRPr="00AB619E">
        <w:rPr>
          <w:b w:val="0"/>
          <w:szCs w:val="26"/>
        </w:rPr>
        <w:tab/>
        <w:t xml:space="preserve">A party’s failure to plead in accordance with the caption requirement of Minn. Stat. § 609.5314, subd. 3 (2008), does not deprive the district court of subject-matter jurisdiction over a request for judicial determination of forfeiture or require dismissal of such request.  </w:t>
      </w:r>
    </w:p>
    <w:p w:rsidR="00851538" w:rsidRPr="00AB619E" w:rsidRDefault="00851538" w:rsidP="00851538">
      <w:pPr>
        <w:pStyle w:val="Heading1"/>
        <w:keepNext w:val="0"/>
        <w:ind w:firstLine="720"/>
        <w:jc w:val="both"/>
      </w:pPr>
      <w:r w:rsidRPr="00AB619E">
        <w:rPr>
          <w:b w:val="0"/>
          <w:szCs w:val="26"/>
        </w:rPr>
        <w:t>2.</w:t>
      </w:r>
      <w:r w:rsidRPr="00AB619E">
        <w:rPr>
          <w:b w:val="0"/>
          <w:szCs w:val="26"/>
        </w:rPr>
        <w:tab/>
        <w:t xml:space="preserve">Minnesota Rule of Civil Procedure 15 authorizes the district court to permit a party to correct the caption of pleadings.  </w:t>
      </w:r>
    </w:p>
    <w:p w:rsidR="00851538" w:rsidRPr="00AB619E" w:rsidRDefault="00851538" w:rsidP="00851538">
      <w:pPr>
        <w:pStyle w:val="Heading1"/>
        <w:keepNext w:val="0"/>
        <w:ind w:firstLine="720"/>
        <w:jc w:val="both"/>
      </w:pPr>
      <w:r w:rsidRPr="00AB619E">
        <w:rPr>
          <w:b w:val="0"/>
          <w:szCs w:val="26"/>
        </w:rPr>
        <w:t>3.</w:t>
      </w:r>
      <w:r w:rsidRPr="00AB619E">
        <w:rPr>
          <w:b w:val="0"/>
          <w:szCs w:val="26"/>
        </w:rPr>
        <w:tab/>
        <w:t xml:space="preserve">If prior to completion of a judicial determination of forfeiture under Minn. Stat. § 609.5314, subd. 3, the state decides not to prosecute and releases a vehicle, governmental entities are responsible for the towing and storage fees to the extent of available forfeiture funds and in accord with the division of forfeiture proceeds under Minn. Stat. § 609.5315, subd. 5 (2008).  </w:t>
      </w:r>
    </w:p>
    <w:p w:rsidR="00851538" w:rsidRPr="00AB619E" w:rsidRDefault="00851538" w:rsidP="00851538">
      <w:pPr>
        <w:pStyle w:val="Heading1"/>
        <w:keepNext w:val="0"/>
        <w:ind w:firstLine="720"/>
        <w:jc w:val="both"/>
      </w:pPr>
      <w:r w:rsidRPr="00AB619E">
        <w:rPr>
          <w:b w:val="0"/>
          <w:szCs w:val="26"/>
        </w:rPr>
        <w:t>4.</w:t>
      </w:r>
      <w:r w:rsidRPr="00AB619E">
        <w:rPr>
          <w:b w:val="0"/>
          <w:szCs w:val="26"/>
        </w:rPr>
        <w:tab/>
        <w:t>The district court may order the payment of attorney fees as a sanction if it makes explicit findings of improper conduct in accordance with the basis of the award.</w:t>
      </w:r>
    </w:p>
    <w:p w:rsidR="00851538" w:rsidRDefault="00851538" w:rsidP="00935494">
      <w:pPr>
        <w:rPr>
          <w:szCs w:val="26"/>
        </w:rPr>
      </w:pPr>
    </w:p>
    <w:p w:rsidR="00C301D1" w:rsidRDefault="00C301D1">
      <w:pPr>
        <w:suppressAutoHyphens w:val="0"/>
        <w:jc w:val="left"/>
        <w:rPr>
          <w:b/>
          <w:szCs w:val="26"/>
          <w:u w:val="single"/>
        </w:rPr>
      </w:pPr>
      <w:r>
        <w:rPr>
          <w:b/>
          <w:szCs w:val="26"/>
          <w:u w:val="single"/>
        </w:rPr>
        <w:br w:type="page"/>
      </w:r>
    </w:p>
    <w:p w:rsidR="009D7AB5" w:rsidRDefault="009D7AB5" w:rsidP="00711F5A">
      <w:pPr>
        <w:rPr>
          <w:szCs w:val="26"/>
        </w:rPr>
      </w:pPr>
      <w:r>
        <w:rPr>
          <w:b/>
          <w:szCs w:val="26"/>
          <w:u w:val="single"/>
        </w:rPr>
        <w:lastRenderedPageBreak/>
        <w:t>Guilty Pleas</w:t>
      </w:r>
    </w:p>
    <w:p w:rsidR="009D7AB5" w:rsidRDefault="009D7AB5" w:rsidP="00711F5A">
      <w:pPr>
        <w:rPr>
          <w:szCs w:val="26"/>
        </w:rPr>
      </w:pPr>
    </w:p>
    <w:p w:rsidR="009D7AB5" w:rsidRDefault="009D7AB5" w:rsidP="009D7AB5">
      <w:pPr>
        <w:pStyle w:val="FootnoteText"/>
        <w:tabs>
          <w:tab w:val="left" w:pos="720"/>
          <w:tab w:val="left" w:pos="1440"/>
          <w:tab w:val="left" w:pos="2160"/>
        </w:tabs>
        <w:rPr>
          <w:szCs w:val="26"/>
        </w:rPr>
      </w:pPr>
      <w:r>
        <w:rPr>
          <w:i/>
          <w:szCs w:val="26"/>
        </w:rPr>
        <w:t>State v. Lopez</w:t>
      </w:r>
      <w:r>
        <w:rPr>
          <w:szCs w:val="26"/>
        </w:rPr>
        <w:t>, 794 N.W.2d 379 (Minn. App. 2011).</w:t>
      </w:r>
    </w:p>
    <w:p w:rsidR="009D7AB5" w:rsidRPr="00F00EC9" w:rsidRDefault="009D7AB5" w:rsidP="009D7AB5">
      <w:pPr>
        <w:pStyle w:val="FootnoteText"/>
        <w:tabs>
          <w:tab w:val="left" w:pos="720"/>
          <w:tab w:val="left" w:pos="1440"/>
          <w:tab w:val="left" w:pos="2160"/>
        </w:tabs>
        <w:rPr>
          <w:szCs w:val="26"/>
        </w:rPr>
      </w:pPr>
      <w:r>
        <w:rPr>
          <w:szCs w:val="26"/>
        </w:rPr>
        <w:tab/>
        <w:t xml:space="preserve">The fair-and-just standard for withdrawal of a guilty plea is met when the district court fails to conduct the inquiry required under Minn. R .Crim. P. 15.02, subd. 1(3), to determine, before accepting the plea, that a defendant understands that if he is not a United States citizen a guilty plea may have adverse immigration consequences; and the defendant is not represented by counsel, has only minimal experience in the criminal justice system, has neither received nor signed a plea petition; and the prosecution has shown no prejudice that would result from a plea withdrawal.  </w:t>
      </w:r>
    </w:p>
    <w:p w:rsidR="00A57FA0" w:rsidRDefault="00A57FA0" w:rsidP="00711F5A">
      <w:pPr>
        <w:rPr>
          <w:szCs w:val="26"/>
        </w:rPr>
      </w:pPr>
    </w:p>
    <w:p w:rsidR="00EC563A" w:rsidRDefault="00EC563A" w:rsidP="00711F5A">
      <w:pPr>
        <w:rPr>
          <w:szCs w:val="26"/>
        </w:rPr>
      </w:pPr>
      <w:r>
        <w:rPr>
          <w:b/>
          <w:szCs w:val="26"/>
          <w:u w:val="single"/>
        </w:rPr>
        <w:t>Habeas Corpus</w:t>
      </w:r>
    </w:p>
    <w:p w:rsidR="00EC563A" w:rsidRDefault="00EC563A" w:rsidP="00711F5A">
      <w:pPr>
        <w:rPr>
          <w:szCs w:val="26"/>
        </w:rPr>
      </w:pPr>
    </w:p>
    <w:p w:rsidR="00EC563A" w:rsidRPr="004D4713" w:rsidRDefault="00EC563A" w:rsidP="00EC563A">
      <w:r w:rsidRPr="004D4713">
        <w:rPr>
          <w:i/>
        </w:rPr>
        <w:t>Aziz v. Fabian</w:t>
      </w:r>
      <w:r w:rsidRPr="004D4713">
        <w:t xml:space="preserve">, </w:t>
      </w:r>
      <w:r>
        <w:t>791</w:t>
      </w:r>
      <w:r w:rsidRPr="004D4713">
        <w:t xml:space="preserve"> N.W.2d </w:t>
      </w:r>
      <w:r>
        <w:t>567</w:t>
      </w:r>
      <w:r w:rsidRPr="004D4713">
        <w:t xml:space="preserve"> (Minn. App.</w:t>
      </w:r>
      <w:r>
        <w:t xml:space="preserve"> </w:t>
      </w:r>
      <w:r w:rsidRPr="004D4713">
        <w:t>2010).</w:t>
      </w:r>
    </w:p>
    <w:p w:rsidR="00EC563A" w:rsidRDefault="00EC563A" w:rsidP="00EC563A">
      <w:pPr>
        <w:suppressAutoHyphens w:val="0"/>
        <w:ind w:firstLine="720"/>
        <w:rPr>
          <w:szCs w:val="26"/>
        </w:rPr>
      </w:pPr>
      <w:r w:rsidRPr="000B37F8">
        <w:rPr>
          <w:szCs w:val="26"/>
        </w:rPr>
        <w:t xml:space="preserve">The holding of </w:t>
      </w:r>
      <w:r w:rsidRPr="00EC563A">
        <w:rPr>
          <w:i/>
          <w:szCs w:val="26"/>
        </w:rPr>
        <w:t>Carrillo v. Fabian</w:t>
      </w:r>
      <w:r w:rsidRPr="000B37F8">
        <w:rPr>
          <w:szCs w:val="26"/>
        </w:rPr>
        <w:t>, 701 N.W.2d 763 (Minn. 2005), that the “some evidence” standard as formerly used in prison disciplinary fact-finding violates due process, is not retroactively applicable to disciplinary hearings held before the release of that opinion.</w:t>
      </w:r>
    </w:p>
    <w:p w:rsidR="00EC563A" w:rsidRDefault="00EC563A" w:rsidP="00EC563A">
      <w:pPr>
        <w:suppressAutoHyphens w:val="0"/>
        <w:ind w:firstLine="720"/>
        <w:rPr>
          <w:szCs w:val="26"/>
        </w:rPr>
      </w:pPr>
    </w:p>
    <w:p w:rsidR="005714EC" w:rsidRPr="008D3794" w:rsidRDefault="005714EC" w:rsidP="005714EC">
      <w:pPr>
        <w:suppressAutoHyphens w:val="0"/>
        <w:rPr>
          <w:b/>
          <w:u w:val="single"/>
        </w:rPr>
      </w:pPr>
      <w:r>
        <w:rPr>
          <w:b/>
          <w:u w:val="single"/>
        </w:rPr>
        <w:t>Pretrial Procedure</w:t>
      </w:r>
    </w:p>
    <w:p w:rsidR="005714EC" w:rsidRDefault="005714EC" w:rsidP="005714EC">
      <w:pPr>
        <w:suppressAutoHyphens w:val="0"/>
        <w:jc w:val="left"/>
      </w:pPr>
    </w:p>
    <w:p w:rsidR="005714EC" w:rsidRPr="00A32E54" w:rsidRDefault="005714EC" w:rsidP="005714EC">
      <w:pPr>
        <w:rPr>
          <w:i/>
        </w:rPr>
      </w:pPr>
      <w:r>
        <w:rPr>
          <w:i/>
        </w:rPr>
        <w:t>State v. Pierce</w:t>
      </w:r>
      <w:r>
        <w:t>, 792 N.W.2d 83 (Minn. App. 2010)</w:t>
      </w:r>
      <w:r w:rsidRPr="00540FC1">
        <w:t>.</w:t>
      </w:r>
    </w:p>
    <w:p w:rsidR="005714EC" w:rsidRDefault="005714EC" w:rsidP="005714EC">
      <w:pPr>
        <w:suppressAutoHyphens w:val="0"/>
        <w:jc w:val="left"/>
      </w:pPr>
      <w:r>
        <w:tab/>
      </w:r>
      <w:r w:rsidRPr="00462330">
        <w:t xml:space="preserve">When the state prosecutes a person who has allegedly violated an order for protection under the Domestic Abuse Act </w:t>
      </w:r>
      <w:r>
        <w:t xml:space="preserve">by sending a </w:t>
      </w:r>
      <w:r w:rsidRPr="00462330">
        <w:t>prohibited message by electronic mail, venue is proper in the county from which the sender mailed the message or the county in which the recipient opened it.</w:t>
      </w:r>
    </w:p>
    <w:p w:rsidR="00164A23" w:rsidRDefault="00164A23" w:rsidP="00711F5A">
      <w:pPr>
        <w:suppressAutoHyphens w:val="0"/>
        <w:jc w:val="left"/>
      </w:pPr>
    </w:p>
    <w:p w:rsidR="00851538" w:rsidRDefault="00851538" w:rsidP="00851538">
      <w:r>
        <w:rPr>
          <w:b/>
          <w:u w:val="single"/>
        </w:rPr>
        <w:t>Restitution</w:t>
      </w:r>
    </w:p>
    <w:p w:rsidR="00851538" w:rsidRDefault="00851538" w:rsidP="00851538"/>
    <w:p w:rsidR="006A04E3" w:rsidRDefault="006A04E3" w:rsidP="006A04E3">
      <w:r>
        <w:rPr>
          <w:i/>
        </w:rPr>
        <w:t>Anderson v. State</w:t>
      </w:r>
      <w:r>
        <w:t xml:space="preserve">, 794 N.W.2d 137 (Minn. App. 2011), </w:t>
      </w:r>
      <w:r>
        <w:rPr>
          <w:i/>
        </w:rPr>
        <w:t>review denied</w:t>
      </w:r>
      <w:r>
        <w:t xml:space="preserve"> (Minn. Apr. 27, 2011).</w:t>
      </w:r>
    </w:p>
    <w:p w:rsidR="006A04E3" w:rsidRDefault="006A04E3" w:rsidP="006A04E3">
      <w:pPr>
        <w:pStyle w:val="Heading1"/>
        <w:keepNext w:val="0"/>
        <w:jc w:val="both"/>
        <w:rPr>
          <w:b w:val="0"/>
          <w:szCs w:val="26"/>
        </w:rPr>
      </w:pPr>
      <w:r>
        <w:rPr>
          <w:b w:val="0"/>
          <w:szCs w:val="26"/>
        </w:rPr>
        <w:tab/>
        <w:t xml:space="preserve">Because statutory law specifically demands a minimum of $1,000 restitution for identity theft victims, the process is independent of general restitution statutes that provide for the reporting of victim losses and permit the defendant to challenge claimed amounts.  </w:t>
      </w:r>
    </w:p>
    <w:p w:rsidR="006A04E3" w:rsidRDefault="006A04E3" w:rsidP="006A04E3"/>
    <w:p w:rsidR="00E74AC1" w:rsidRPr="00116907" w:rsidRDefault="00E74AC1" w:rsidP="00E74AC1">
      <w:pPr>
        <w:keepNext/>
        <w:rPr>
          <w:szCs w:val="24"/>
        </w:rPr>
      </w:pPr>
      <w:r w:rsidRPr="00116907">
        <w:rPr>
          <w:i/>
          <w:szCs w:val="24"/>
        </w:rPr>
        <w:t>State v. Maxwell</w:t>
      </w:r>
      <w:r w:rsidRPr="00116907">
        <w:rPr>
          <w:szCs w:val="24"/>
        </w:rPr>
        <w:t xml:space="preserve">, </w:t>
      </w:r>
      <w:r>
        <w:rPr>
          <w:szCs w:val="24"/>
        </w:rPr>
        <w:t>802</w:t>
      </w:r>
      <w:r w:rsidRPr="00116907">
        <w:rPr>
          <w:szCs w:val="24"/>
        </w:rPr>
        <w:t xml:space="preserve"> N.W.2d </w:t>
      </w:r>
      <w:r>
        <w:rPr>
          <w:szCs w:val="24"/>
        </w:rPr>
        <w:t>849</w:t>
      </w:r>
      <w:r w:rsidRPr="00116907">
        <w:rPr>
          <w:szCs w:val="24"/>
        </w:rPr>
        <w:t xml:space="preserve"> (Minn. App.</w:t>
      </w:r>
      <w:r>
        <w:rPr>
          <w:szCs w:val="24"/>
        </w:rPr>
        <w:t xml:space="preserve"> </w:t>
      </w:r>
      <w:r w:rsidRPr="00116907">
        <w:rPr>
          <w:szCs w:val="24"/>
        </w:rPr>
        <w:t xml:space="preserve">2011), </w:t>
      </w:r>
      <w:r w:rsidR="006E479E">
        <w:rPr>
          <w:i/>
          <w:szCs w:val="24"/>
        </w:rPr>
        <w:t>review denied</w:t>
      </w:r>
      <w:r w:rsidRPr="00116907">
        <w:rPr>
          <w:szCs w:val="24"/>
        </w:rPr>
        <w:t xml:space="preserve"> (</w:t>
      </w:r>
      <w:r>
        <w:rPr>
          <w:szCs w:val="24"/>
        </w:rPr>
        <w:t xml:space="preserve">Minn. </w:t>
      </w:r>
      <w:r w:rsidR="006E479E">
        <w:rPr>
          <w:szCs w:val="24"/>
        </w:rPr>
        <w:t>Oct. 26</w:t>
      </w:r>
      <w:r w:rsidRPr="00116907">
        <w:rPr>
          <w:szCs w:val="24"/>
        </w:rPr>
        <w:t>, 2011).</w:t>
      </w:r>
    </w:p>
    <w:p w:rsidR="00E74AC1" w:rsidRPr="00116907" w:rsidRDefault="00E74AC1" w:rsidP="00E74AC1">
      <w:pPr>
        <w:ind w:firstLine="720"/>
        <w:rPr>
          <w:szCs w:val="24"/>
        </w:rPr>
      </w:pPr>
      <w:r w:rsidRPr="00116907">
        <w:rPr>
          <w:szCs w:val="24"/>
        </w:rPr>
        <w:t xml:space="preserve">A criminal defendant is not entitled to a jury trial on the issue of restitution because Minnesota laws do not prescribe a statutory maximum amount of restitution.  </w:t>
      </w:r>
    </w:p>
    <w:p w:rsidR="00E74AC1" w:rsidRDefault="00E74AC1" w:rsidP="006A04E3"/>
    <w:p w:rsidR="00C301D1" w:rsidRDefault="00C301D1">
      <w:pPr>
        <w:suppressAutoHyphens w:val="0"/>
        <w:jc w:val="left"/>
        <w:rPr>
          <w:i/>
        </w:rPr>
      </w:pPr>
      <w:r>
        <w:rPr>
          <w:i/>
        </w:rPr>
        <w:br w:type="page"/>
      </w:r>
    </w:p>
    <w:p w:rsidR="00851538" w:rsidRPr="00AB619E" w:rsidRDefault="00851538" w:rsidP="00851538">
      <w:r w:rsidRPr="00AB619E">
        <w:rPr>
          <w:i/>
        </w:rPr>
        <w:lastRenderedPageBreak/>
        <w:t>State v. Nelson</w:t>
      </w:r>
      <w:r w:rsidRPr="00AB619E">
        <w:t xml:space="preserve">, </w:t>
      </w:r>
      <w:r>
        <w:t>796</w:t>
      </w:r>
      <w:r w:rsidRPr="00AB619E">
        <w:t xml:space="preserve"> N.W.2d </w:t>
      </w:r>
      <w:r>
        <w:t>343</w:t>
      </w:r>
      <w:r w:rsidRPr="00AB619E">
        <w:t xml:space="preserve"> (Minn. App. 2011).</w:t>
      </w:r>
    </w:p>
    <w:p w:rsidR="00851538" w:rsidRPr="00AB619E" w:rsidRDefault="00851538" w:rsidP="00851538">
      <w:pPr>
        <w:ind w:firstLine="720"/>
        <w:rPr>
          <w:szCs w:val="26"/>
        </w:rPr>
      </w:pPr>
      <w:r w:rsidRPr="00AB619E">
        <w:t>For purposes of determining restitution in a criminal case, a district court may include the value of a crime victim’s claimed item of loss only if the loss was directly caused by the conduct for which the defendant was convicted.</w:t>
      </w:r>
    </w:p>
    <w:p w:rsidR="00851538" w:rsidRDefault="00851538" w:rsidP="00711F5A">
      <w:pPr>
        <w:suppressAutoHyphens w:val="0"/>
        <w:jc w:val="left"/>
      </w:pPr>
    </w:p>
    <w:p w:rsidR="00851538" w:rsidRPr="007A1F4F" w:rsidRDefault="00851538" w:rsidP="00851538">
      <w:r w:rsidRPr="007A1F4F">
        <w:rPr>
          <w:i/>
        </w:rPr>
        <w:t>State v. Ramsay</w:t>
      </w:r>
      <w:r w:rsidRPr="007A1F4F">
        <w:t xml:space="preserve">, </w:t>
      </w:r>
      <w:r>
        <w:t>789</w:t>
      </w:r>
      <w:r w:rsidRPr="007A1F4F">
        <w:t xml:space="preserve"> N.W.2d </w:t>
      </w:r>
      <w:r>
        <w:t>513</w:t>
      </w:r>
      <w:r w:rsidRPr="007A1F4F">
        <w:t xml:space="preserve"> (Minn. App. 2010).</w:t>
      </w:r>
    </w:p>
    <w:p w:rsidR="00851538" w:rsidRDefault="00851538" w:rsidP="00851538">
      <w:pPr>
        <w:pStyle w:val="FootnoteText"/>
        <w:tabs>
          <w:tab w:val="left" w:pos="720"/>
          <w:tab w:val="left" w:pos="1440"/>
        </w:tabs>
        <w:rPr>
          <w:b/>
          <w:i/>
          <w:szCs w:val="26"/>
        </w:rPr>
      </w:pPr>
      <w:r>
        <w:rPr>
          <w:szCs w:val="26"/>
        </w:rPr>
        <w:tab/>
      </w:r>
      <w:r w:rsidRPr="007A1F4F">
        <w:rPr>
          <w:szCs w:val="26"/>
        </w:rPr>
        <w:t>In determining whether a claimed loss is an appropriate item of restitution, the district court abuses its discretion when it refuses to consider a civil settlement in which the victim agreed to limit its restitution request and when it awards a restitution amount in excess of that amount.</w:t>
      </w:r>
      <w:r w:rsidRPr="007A1F4F">
        <w:rPr>
          <w:b/>
          <w:i/>
          <w:szCs w:val="26"/>
        </w:rPr>
        <w:t xml:space="preserve">  </w:t>
      </w:r>
    </w:p>
    <w:p w:rsidR="00851538" w:rsidRDefault="00851538" w:rsidP="00711F5A">
      <w:pPr>
        <w:suppressAutoHyphens w:val="0"/>
        <w:jc w:val="left"/>
      </w:pPr>
    </w:p>
    <w:p w:rsidR="0086635F" w:rsidRDefault="0086635F" w:rsidP="00711F5A">
      <w:pPr>
        <w:suppressAutoHyphens w:val="0"/>
        <w:jc w:val="left"/>
      </w:pPr>
      <w:r>
        <w:rPr>
          <w:b/>
          <w:u w:val="single"/>
        </w:rPr>
        <w:t>Search and Seizure</w:t>
      </w:r>
    </w:p>
    <w:p w:rsidR="0086635F" w:rsidRDefault="0086635F" w:rsidP="00711F5A">
      <w:pPr>
        <w:suppressAutoHyphens w:val="0"/>
        <w:jc w:val="left"/>
      </w:pPr>
    </w:p>
    <w:p w:rsidR="0086635F" w:rsidRPr="00A32E54" w:rsidRDefault="0086635F" w:rsidP="0086635F">
      <w:pPr>
        <w:spacing w:before="60"/>
        <w:rPr>
          <w:i/>
        </w:rPr>
      </w:pPr>
      <w:r>
        <w:rPr>
          <w:i/>
        </w:rPr>
        <w:t xml:space="preserve">State v. </w:t>
      </w:r>
      <w:r w:rsidRPr="006F70DB">
        <w:rPr>
          <w:i/>
        </w:rPr>
        <w:t>Wiggins</w:t>
      </w:r>
      <w:r>
        <w:t xml:space="preserve">, 788 N.W.2d 509 (Minn. App. 2010), </w:t>
      </w:r>
      <w:r w:rsidRPr="00540FC1">
        <w:rPr>
          <w:i/>
        </w:rPr>
        <w:t xml:space="preserve">review </w:t>
      </w:r>
      <w:r>
        <w:rPr>
          <w:i/>
        </w:rPr>
        <w:t xml:space="preserve">denied </w:t>
      </w:r>
      <w:r>
        <w:t>(Minn. Nov. 23, 2010)</w:t>
      </w:r>
      <w:r w:rsidRPr="00540FC1">
        <w:t>.</w:t>
      </w:r>
    </w:p>
    <w:p w:rsidR="0086635F" w:rsidRPr="00D76EDD" w:rsidRDefault="0086635F" w:rsidP="0086635F">
      <w:r>
        <w:tab/>
        <w:t xml:space="preserve">A police officer’s pulling up a person’s excessively saggy pants during a constitutionally justified investigative stop is not a search requiring additional </w:t>
      </w:r>
      <w:r w:rsidRPr="004B2033">
        <w:t>justification.</w:t>
      </w:r>
    </w:p>
    <w:p w:rsidR="0086635F" w:rsidRDefault="0086635F" w:rsidP="0086635F">
      <w:pPr>
        <w:rPr>
          <w:szCs w:val="26"/>
        </w:rPr>
      </w:pPr>
    </w:p>
    <w:p w:rsidR="00711F5A" w:rsidRPr="00897F6D" w:rsidRDefault="00711F5A" w:rsidP="00711F5A">
      <w:pPr>
        <w:rPr>
          <w:b/>
          <w:u w:val="single"/>
        </w:rPr>
      </w:pPr>
      <w:r>
        <w:rPr>
          <w:b/>
          <w:u w:val="single"/>
        </w:rPr>
        <w:t>Sentencing</w:t>
      </w:r>
    </w:p>
    <w:p w:rsidR="00711F5A" w:rsidRDefault="00711F5A" w:rsidP="00711F5A"/>
    <w:p w:rsidR="00BF3B3D" w:rsidRDefault="00BF3B3D" w:rsidP="00BF3B3D">
      <w:r>
        <w:rPr>
          <w:i/>
        </w:rPr>
        <w:t>State v. Adams</w:t>
      </w:r>
      <w:r>
        <w:t xml:space="preserve">, 791 N.W.2d 757 (Minn. App. 2010), </w:t>
      </w:r>
      <w:r>
        <w:rPr>
          <w:i/>
        </w:rPr>
        <w:t>review denied</w:t>
      </w:r>
      <w:r>
        <w:t xml:space="preserve"> (Minn. Mar. 15, 2011).</w:t>
      </w:r>
    </w:p>
    <w:p w:rsidR="00BF3B3D" w:rsidRDefault="00BF3B3D" w:rsidP="00BF3B3D">
      <w:pPr>
        <w:ind w:firstLine="720"/>
      </w:pPr>
      <w:r w:rsidRPr="007E6109">
        <w:t>The mandatory</w:t>
      </w:r>
      <w:r>
        <w:t xml:space="preserve"> </w:t>
      </w:r>
      <w:r w:rsidRPr="007E6109">
        <w:t xml:space="preserve">minimum sentencing provision for a repeat offender who commits a </w:t>
      </w:r>
      <w:r>
        <w:t>second</w:t>
      </w:r>
      <w:r w:rsidRPr="007E6109">
        <w:t>-degree controlled-substance c</w:t>
      </w:r>
      <w:r>
        <w:t>rime under Minn. Stat. §§ 152.022, subd. 3(b),</w:t>
      </w:r>
      <w:r w:rsidRPr="007E6109">
        <w:t xml:space="preserve"> .026 (</w:t>
      </w:r>
      <w:r>
        <w:t>2006</w:t>
      </w:r>
      <w:r w:rsidRPr="007E6109">
        <w:t>), prohibits a district court from staying execution of the sentence</w:t>
      </w:r>
      <w:r>
        <w:t>.</w:t>
      </w:r>
    </w:p>
    <w:p w:rsidR="00BF3B3D" w:rsidRDefault="00BF3B3D" w:rsidP="00BF3B3D">
      <w:pPr>
        <w:pStyle w:val="FootnoteText"/>
        <w:tabs>
          <w:tab w:val="left" w:pos="720"/>
          <w:tab w:val="left" w:pos="1440"/>
        </w:tabs>
      </w:pPr>
    </w:p>
    <w:p w:rsidR="00682B2E" w:rsidRDefault="00682B2E" w:rsidP="00682B2E">
      <w:pPr>
        <w:pStyle w:val="FootnoteText"/>
        <w:tabs>
          <w:tab w:val="left" w:pos="720"/>
          <w:tab w:val="left" w:pos="1440"/>
          <w:tab w:val="left" w:pos="2160"/>
        </w:tabs>
      </w:pPr>
      <w:r>
        <w:rPr>
          <w:i/>
        </w:rPr>
        <w:t>Averbeck v. State</w:t>
      </w:r>
      <w:r>
        <w:t>, 791 N.W.2d 559 (Minn. App. 2010).</w:t>
      </w:r>
    </w:p>
    <w:p w:rsidR="00682B2E" w:rsidRDefault="00682B2E" w:rsidP="00682B2E">
      <w:pPr>
        <w:ind w:firstLine="310"/>
        <w:rPr>
          <w:color w:val="000000"/>
          <w:szCs w:val="26"/>
        </w:rPr>
      </w:pPr>
      <w:r>
        <w:tab/>
      </w:r>
      <w:r w:rsidRPr="00494101">
        <w:rPr>
          <w:color w:val="000000"/>
          <w:szCs w:val="26"/>
        </w:rPr>
        <w:t xml:space="preserve">A district court does not abuse its discretion by considering the implications for public safety when deciding a petition to restore the right to possess a firearm under </w:t>
      </w:r>
      <w:r w:rsidRPr="00494101">
        <w:rPr>
          <w:szCs w:val="26"/>
        </w:rPr>
        <w:t>Minn.</w:t>
      </w:r>
      <w:r>
        <w:rPr>
          <w:szCs w:val="26"/>
        </w:rPr>
        <w:t xml:space="preserve"> </w:t>
      </w:r>
      <w:r w:rsidRPr="00494101">
        <w:rPr>
          <w:szCs w:val="26"/>
        </w:rPr>
        <w:t>Stat. § 609.165</w:t>
      </w:r>
      <w:r w:rsidRPr="00494101">
        <w:rPr>
          <w:color w:val="000000"/>
          <w:szCs w:val="26"/>
        </w:rPr>
        <w:t>, subd. 1d (2008).</w:t>
      </w:r>
    </w:p>
    <w:p w:rsidR="00682B2E" w:rsidRDefault="00682B2E" w:rsidP="00961221"/>
    <w:p w:rsidR="00BD6DBE" w:rsidRDefault="00BD6DBE" w:rsidP="00BD6DBE">
      <w:pPr>
        <w:pStyle w:val="FootnoteText"/>
      </w:pPr>
      <w:r w:rsidRPr="00F94A03">
        <w:rPr>
          <w:i/>
        </w:rPr>
        <w:t>State v. Hahn</w:t>
      </w:r>
      <w:r>
        <w:t xml:space="preserve">, 799 N.W.2d 25 (Minn. App. 2011), </w:t>
      </w:r>
      <w:r w:rsidRPr="00F94A03">
        <w:rPr>
          <w:i/>
        </w:rPr>
        <w:t>review</w:t>
      </w:r>
      <w:r>
        <w:t xml:space="preserve"> </w:t>
      </w:r>
      <w:r w:rsidRPr="00DA68FC">
        <w:rPr>
          <w:i/>
        </w:rPr>
        <w:t>denied</w:t>
      </w:r>
      <w:r>
        <w:t xml:space="preserve"> (Minn. Aug. 24, 2011).</w:t>
      </w:r>
    </w:p>
    <w:p w:rsidR="00BD6DBE" w:rsidRDefault="00BD6DBE" w:rsidP="00BD6DBE">
      <w:pPr>
        <w:ind w:firstLine="720"/>
      </w:pPr>
      <w:r w:rsidRPr="00C25905">
        <w:t xml:space="preserve">Under </w:t>
      </w:r>
      <w:r>
        <w:t xml:space="preserve">the </w:t>
      </w:r>
      <w:r w:rsidRPr="00C25905">
        <w:t xml:space="preserve">Minnesota Sentencing Guidelines </w:t>
      </w:r>
      <w:r>
        <w:t xml:space="preserve">sections </w:t>
      </w:r>
      <w:r w:rsidRPr="00C25905">
        <w:t>II.F.</w:t>
      </w:r>
      <w:r>
        <w:t>1 and VI (2005)</w:t>
      </w:r>
      <w:r w:rsidRPr="00F81D7C">
        <w:t>,</w:t>
      </w:r>
      <w:r>
        <w:t xml:space="preserve"> a current felony conviction may permissively be sentenced consecutively to a prior felony sentence only when the latter is for a crime listed in section VI that has not expired or been discharged.  </w:t>
      </w:r>
    </w:p>
    <w:p w:rsidR="00BD6DBE" w:rsidRDefault="00BD6DBE" w:rsidP="00961221"/>
    <w:p w:rsidR="00BF3B3D" w:rsidRDefault="00BF3B3D" w:rsidP="00BF3B3D">
      <w:r>
        <w:rPr>
          <w:i/>
        </w:rPr>
        <w:t>State v. Hannam</w:t>
      </w:r>
      <w:r>
        <w:t>, 792 N.W.2d 862 (Minn. App. 2011).</w:t>
      </w:r>
    </w:p>
    <w:p w:rsidR="00BF3B3D" w:rsidRPr="00B53EEF" w:rsidRDefault="00BF3B3D" w:rsidP="00BF3B3D">
      <w:pPr>
        <w:spacing w:line="480" w:lineRule="auto"/>
        <w:rPr>
          <w:szCs w:val="26"/>
        </w:rPr>
      </w:pPr>
      <w:r>
        <w:tab/>
      </w:r>
      <w:r w:rsidRPr="00B53EEF">
        <w:rPr>
          <w:szCs w:val="26"/>
        </w:rPr>
        <w:t>This court lacks authority to modify a sentence that has expired.</w:t>
      </w:r>
    </w:p>
    <w:p w:rsidR="00C301D1" w:rsidRDefault="00C301D1">
      <w:pPr>
        <w:suppressAutoHyphens w:val="0"/>
        <w:jc w:val="left"/>
        <w:rPr>
          <w:i/>
          <w:szCs w:val="26"/>
        </w:rPr>
      </w:pPr>
      <w:r>
        <w:rPr>
          <w:i/>
          <w:szCs w:val="26"/>
        </w:rPr>
        <w:br w:type="page"/>
      </w:r>
    </w:p>
    <w:p w:rsidR="00AA4421" w:rsidRPr="00AB619E" w:rsidRDefault="00AA4421" w:rsidP="00AA4421">
      <w:pPr>
        <w:rPr>
          <w:szCs w:val="26"/>
        </w:rPr>
      </w:pPr>
      <w:r w:rsidRPr="00AB619E">
        <w:rPr>
          <w:i/>
          <w:szCs w:val="26"/>
        </w:rPr>
        <w:lastRenderedPageBreak/>
        <w:t>State v. Weaver</w:t>
      </w:r>
      <w:r w:rsidRPr="00AB619E">
        <w:rPr>
          <w:szCs w:val="26"/>
        </w:rPr>
        <w:t xml:space="preserve">, </w:t>
      </w:r>
      <w:r>
        <w:rPr>
          <w:szCs w:val="26"/>
        </w:rPr>
        <w:t>796</w:t>
      </w:r>
      <w:r w:rsidRPr="00AB619E">
        <w:rPr>
          <w:szCs w:val="26"/>
        </w:rPr>
        <w:t xml:space="preserve"> N.W.2d </w:t>
      </w:r>
      <w:r>
        <w:rPr>
          <w:szCs w:val="26"/>
        </w:rPr>
        <w:t>561</w:t>
      </w:r>
      <w:r w:rsidRPr="00AB619E">
        <w:rPr>
          <w:szCs w:val="26"/>
        </w:rPr>
        <w:t xml:space="preserve"> (Minn. App. 2011)</w:t>
      </w:r>
      <w:r>
        <w:rPr>
          <w:szCs w:val="26"/>
        </w:rPr>
        <w:t xml:space="preserve">, </w:t>
      </w:r>
      <w:r>
        <w:rPr>
          <w:i/>
          <w:szCs w:val="26"/>
        </w:rPr>
        <w:t>review denied</w:t>
      </w:r>
      <w:r>
        <w:rPr>
          <w:szCs w:val="26"/>
        </w:rPr>
        <w:t xml:space="preserve"> (Minn. July 19, 2011)</w:t>
      </w:r>
      <w:r w:rsidRPr="00AB619E">
        <w:rPr>
          <w:szCs w:val="26"/>
        </w:rPr>
        <w:t>.</w:t>
      </w:r>
    </w:p>
    <w:p w:rsidR="00AA4421" w:rsidRPr="00AB619E" w:rsidRDefault="00AA4421" w:rsidP="00AA4421">
      <w:pPr>
        <w:ind w:firstLine="720"/>
        <w:rPr>
          <w:szCs w:val="26"/>
        </w:rPr>
      </w:pPr>
      <w:r w:rsidRPr="00AB619E">
        <w:rPr>
          <w:szCs w:val="26"/>
        </w:rPr>
        <w:t>1.</w:t>
      </w:r>
      <w:r w:rsidRPr="00AB619E">
        <w:rPr>
          <w:szCs w:val="26"/>
        </w:rPr>
        <w:tab/>
        <w:t xml:space="preserve">When the district court’s stated reasons for an upward sentencing departure are improper or inadequate, an appellate court may independently examine the record to determine if there is sufficient evidence to justify the departure based on legitimate reasons, so long as the court does not engage in </w:t>
      </w:r>
      <w:r w:rsidRPr="00AB619E">
        <w:rPr>
          <w:color w:val="000000"/>
          <w:szCs w:val="26"/>
        </w:rPr>
        <w:t>fact-finding.</w:t>
      </w:r>
    </w:p>
    <w:p w:rsidR="00AA4421" w:rsidRPr="00AB619E" w:rsidRDefault="00AA4421" w:rsidP="00AA4421">
      <w:pPr>
        <w:ind w:firstLine="720"/>
      </w:pPr>
      <w:r w:rsidRPr="00AB619E">
        <w:rPr>
          <w:szCs w:val="26"/>
        </w:rPr>
        <w:t>2.</w:t>
      </w:r>
      <w:r w:rsidRPr="00AB619E">
        <w:rPr>
          <w:szCs w:val="26"/>
        </w:rPr>
        <w:tab/>
        <w:t>General disagreement with the Minnesota Sentencing Guidelines, or the legislative policies on which the guidelines are based, is not a valid reason for departure.</w:t>
      </w:r>
    </w:p>
    <w:p w:rsidR="00AA4421" w:rsidRDefault="00AA4421" w:rsidP="00AA4421"/>
    <w:p w:rsidR="00711F5A" w:rsidRPr="00897F6D" w:rsidRDefault="00711F5A" w:rsidP="00711F5A">
      <w:pPr>
        <w:pStyle w:val="FootnoteText"/>
        <w:tabs>
          <w:tab w:val="left" w:pos="720"/>
          <w:tab w:val="left" w:pos="1440"/>
          <w:tab w:val="left" w:pos="2160"/>
        </w:tabs>
        <w:rPr>
          <w:b/>
          <w:u w:val="single"/>
        </w:rPr>
      </w:pPr>
      <w:r>
        <w:rPr>
          <w:b/>
          <w:u w:val="single"/>
        </w:rPr>
        <w:t>Substantive Criminal Law</w:t>
      </w:r>
    </w:p>
    <w:p w:rsidR="00711F5A" w:rsidRDefault="00711F5A" w:rsidP="00711F5A">
      <w:pPr>
        <w:pStyle w:val="FootnoteText"/>
        <w:tabs>
          <w:tab w:val="left" w:pos="720"/>
          <w:tab w:val="left" w:pos="1440"/>
          <w:tab w:val="left" w:pos="2160"/>
        </w:tabs>
        <w:rPr>
          <w:b/>
        </w:rPr>
      </w:pPr>
    </w:p>
    <w:p w:rsidR="002F3C7D" w:rsidRDefault="002F3C7D" w:rsidP="002F3C7D">
      <w:r>
        <w:rPr>
          <w:i/>
        </w:rPr>
        <w:t>State v. Ahmed</w:t>
      </w:r>
      <w:r>
        <w:t xml:space="preserve">, 791 N.W.2d 296 (Minn. App. 2010), </w:t>
      </w:r>
      <w:r>
        <w:rPr>
          <w:i/>
        </w:rPr>
        <w:t>review denied</w:t>
      </w:r>
      <w:r>
        <w:t xml:space="preserve"> (Minn. Feb. 15, 2011).</w:t>
      </w:r>
    </w:p>
    <w:p w:rsidR="002F3C7D" w:rsidRDefault="002F3C7D" w:rsidP="002F3C7D">
      <w:pPr>
        <w:pStyle w:val="Heading1"/>
        <w:keepNext w:val="0"/>
        <w:ind w:firstLine="720"/>
        <w:jc w:val="both"/>
        <w:rPr>
          <w:b w:val="0"/>
        </w:rPr>
      </w:pPr>
      <w:r>
        <w:rPr>
          <w:b w:val="0"/>
        </w:rPr>
        <w:t xml:space="preserve">The phrase </w:t>
      </w:r>
      <w:r w:rsidRPr="00DA615F">
        <w:rPr>
          <w:b w:val="0"/>
        </w:rPr>
        <w:t>“</w:t>
      </w:r>
      <w:r w:rsidRPr="005D4D02">
        <w:rPr>
          <w:b w:val="0"/>
        </w:rPr>
        <w:t xml:space="preserve">any material compound, mixture, or preparation which contains any quantity of </w:t>
      </w:r>
      <w:r>
        <w:rPr>
          <w:b w:val="0"/>
        </w:rPr>
        <w:t>. . . [c]athinone; [m]ethcathinone</w:t>
      </w:r>
      <w:r w:rsidRPr="005D4D02">
        <w:rPr>
          <w:b w:val="0"/>
        </w:rPr>
        <w:t xml:space="preserve">” </w:t>
      </w:r>
      <w:r>
        <w:rPr>
          <w:b w:val="0"/>
        </w:rPr>
        <w:t xml:space="preserve">in </w:t>
      </w:r>
      <w:r w:rsidRPr="005D4D02">
        <w:rPr>
          <w:b w:val="0"/>
        </w:rPr>
        <w:t>Minn. Stat. § 152.02, subd. 2(6)</w:t>
      </w:r>
      <w:r>
        <w:rPr>
          <w:b w:val="0"/>
        </w:rPr>
        <w:t xml:space="preserve"> </w:t>
      </w:r>
      <w:r w:rsidRPr="005D4D02">
        <w:rPr>
          <w:b w:val="0"/>
        </w:rPr>
        <w:t>(2008)</w:t>
      </w:r>
      <w:r>
        <w:rPr>
          <w:b w:val="0"/>
        </w:rPr>
        <w:t>,</w:t>
      </w:r>
      <w:r w:rsidRPr="005D4D02">
        <w:rPr>
          <w:b w:val="0"/>
        </w:rPr>
        <w:t xml:space="preserve">  </w:t>
      </w:r>
      <w:r>
        <w:rPr>
          <w:b w:val="0"/>
        </w:rPr>
        <w:t xml:space="preserve">does not exclude the untreated </w:t>
      </w:r>
      <w:r w:rsidRPr="005D4D02">
        <w:rPr>
          <w:b w:val="0"/>
        </w:rPr>
        <w:t xml:space="preserve">plant </w:t>
      </w:r>
      <w:r w:rsidRPr="00180A28">
        <w:rPr>
          <w:b w:val="0"/>
          <w:i/>
        </w:rPr>
        <w:t>catha edulis</w:t>
      </w:r>
      <w:r>
        <w:rPr>
          <w:b w:val="0"/>
        </w:rPr>
        <w:t xml:space="preserve">, commonly known as khat.  </w:t>
      </w:r>
    </w:p>
    <w:p w:rsidR="00395344" w:rsidRPr="00395344" w:rsidRDefault="00395344" w:rsidP="00395344"/>
    <w:p w:rsidR="001537EC" w:rsidRPr="00A32E54" w:rsidRDefault="001537EC" w:rsidP="00395344">
      <w:pPr>
        <w:rPr>
          <w:i/>
        </w:rPr>
      </w:pPr>
      <w:r>
        <w:rPr>
          <w:i/>
        </w:rPr>
        <w:t>State v. Arnold</w:t>
      </w:r>
      <w:r>
        <w:t>, 794 N.W.2d 397 (Minn. App. 2011)</w:t>
      </w:r>
      <w:r w:rsidRPr="00540FC1">
        <w:t>.</w:t>
      </w:r>
    </w:p>
    <w:p w:rsidR="001537EC" w:rsidRDefault="001537EC" w:rsidP="001537EC">
      <w:pPr>
        <w:suppressAutoHyphens w:val="0"/>
      </w:pPr>
      <w:r>
        <w:tab/>
        <w:t xml:space="preserve">To sustain a drug-possession conviction under Minnesota statutes section 152.021 (2006), the </w:t>
      </w:r>
      <w:r w:rsidRPr="00B10232">
        <w:t xml:space="preserve">state may </w:t>
      </w:r>
      <w:r>
        <w:t xml:space="preserve">rely on evidence </w:t>
      </w:r>
      <w:r w:rsidRPr="00B10232">
        <w:t xml:space="preserve">that the defendant </w:t>
      </w:r>
      <w:r>
        <w:t xml:space="preserve">constructively </w:t>
      </w:r>
      <w:r w:rsidRPr="00B10232">
        <w:t>possessed drugs that were</w:t>
      </w:r>
      <w:r>
        <w:t xml:space="preserve"> </w:t>
      </w:r>
      <w:r w:rsidRPr="00964146">
        <w:t xml:space="preserve">found </w:t>
      </w:r>
      <w:r>
        <w:t xml:space="preserve">where </w:t>
      </w:r>
      <w:r w:rsidRPr="00964146">
        <w:t>other</w:t>
      </w:r>
      <w:r>
        <w:t>s</w:t>
      </w:r>
      <w:r w:rsidRPr="00964146">
        <w:t xml:space="preserve"> </w:t>
      </w:r>
      <w:r>
        <w:t xml:space="preserve">also had </w:t>
      </w:r>
      <w:r w:rsidRPr="00964146">
        <w:t>access</w:t>
      </w:r>
      <w:r>
        <w:t xml:space="preserve"> by establishing </w:t>
      </w:r>
      <w:r w:rsidRPr="00964146">
        <w:t xml:space="preserve">that the defendant </w:t>
      </w:r>
      <w:r>
        <w:t>exercised</w:t>
      </w:r>
      <w:r w:rsidRPr="00964146">
        <w:t xml:space="preserve"> control over </w:t>
      </w:r>
      <w:r>
        <w:t>the drugs, and it is not improper for the prosecutor’s closing argument to refer to “dominion and control” simply as “control.”</w:t>
      </w:r>
    </w:p>
    <w:p w:rsidR="001537EC" w:rsidRDefault="001537EC" w:rsidP="001537EC">
      <w:pPr>
        <w:suppressAutoHyphens w:val="0"/>
      </w:pPr>
    </w:p>
    <w:p w:rsidR="001C2587" w:rsidRDefault="001C2587" w:rsidP="001C2587">
      <w:pPr>
        <w:pStyle w:val="BodyText"/>
        <w:spacing w:line="240" w:lineRule="auto"/>
      </w:pPr>
      <w:r>
        <w:rPr>
          <w:i/>
        </w:rPr>
        <w:t>State v. Austin</w:t>
      </w:r>
      <w:r>
        <w:t xml:space="preserve">, </w:t>
      </w:r>
      <w:r w:rsidR="00A24093">
        <w:t>788</w:t>
      </w:r>
      <w:r>
        <w:t xml:space="preserve"> N.W.2d </w:t>
      </w:r>
      <w:r w:rsidR="00A24093">
        <w:t>788</w:t>
      </w:r>
      <w:r>
        <w:t xml:space="preserve"> (Minn. App. 2010)</w:t>
      </w:r>
      <w:r w:rsidR="00FF47A0">
        <w:t xml:space="preserve">, </w:t>
      </w:r>
      <w:r w:rsidR="00FF47A0">
        <w:rPr>
          <w:i/>
        </w:rPr>
        <w:t>review denied</w:t>
      </w:r>
      <w:r w:rsidR="00FF47A0">
        <w:t xml:space="preserve"> (Minn. Dec. 14, 2010)</w:t>
      </w:r>
      <w:r>
        <w:t>.</w:t>
      </w:r>
    </w:p>
    <w:p w:rsidR="001C2587" w:rsidRPr="001A6B87" w:rsidRDefault="001C2587" w:rsidP="001C2587">
      <w:r w:rsidRPr="001A6B87">
        <w:tab/>
        <w:t>1.</w:t>
      </w:r>
      <w:r w:rsidRPr="001A6B87">
        <w:tab/>
        <w:t>To convict a defendant of second-degree criminal sexual conduct under Minn. Stat. § 609.343, subd. 1(a) (2006), the state must prove beyond a reasonable doubt that the defendant acted with a sexual or aggressive intent and intended intimate contact to occur.</w:t>
      </w:r>
    </w:p>
    <w:p w:rsidR="001C2587" w:rsidRDefault="001C2587" w:rsidP="001C2587">
      <w:pPr>
        <w:pStyle w:val="FootnoteText"/>
        <w:tabs>
          <w:tab w:val="left" w:pos="720"/>
          <w:tab w:val="left" w:pos="1440"/>
        </w:tabs>
        <w:rPr>
          <w:b/>
        </w:rPr>
      </w:pPr>
      <w:r>
        <w:tab/>
        <w:t>2.</w:t>
      </w:r>
      <w:r>
        <w:tab/>
        <w:t>The doctrine of transferred intent applies to establish the intent element of Minn. Stat. § </w:t>
      </w:r>
      <w:r w:rsidRPr="00451CF0">
        <w:t>609.343, subd</w:t>
      </w:r>
      <w:r>
        <w:t>.</w:t>
      </w:r>
      <w:r w:rsidRPr="00451CF0">
        <w:t xml:space="preserve"> 1(a)</w:t>
      </w:r>
      <w:r>
        <w:t xml:space="preserve"> (2006)</w:t>
      </w:r>
      <w:r w:rsidRPr="00451CF0">
        <w:t>,</w:t>
      </w:r>
      <w:r w:rsidRPr="00451CF0">
        <w:rPr>
          <w:b/>
        </w:rPr>
        <w:t xml:space="preserve"> </w:t>
      </w:r>
      <w:r>
        <w:t xml:space="preserve">when it can be shown both that the defendant intended intimate contact with someone other than the person with whom contact actually occurred and that the intended contact constituted an act of criminal sexual conduct. </w:t>
      </w:r>
      <w:r>
        <w:rPr>
          <w:rStyle w:val="PageNumber"/>
          <w:szCs w:val="26"/>
        </w:rPr>
        <w:t xml:space="preserve"> </w:t>
      </w:r>
    </w:p>
    <w:p w:rsidR="001C2587" w:rsidRDefault="001C2587" w:rsidP="00891758">
      <w:pPr>
        <w:pStyle w:val="FootnoteText"/>
        <w:tabs>
          <w:tab w:val="left" w:pos="720"/>
          <w:tab w:val="left" w:pos="1440"/>
        </w:tabs>
        <w:rPr>
          <w:b/>
        </w:rPr>
      </w:pPr>
    </w:p>
    <w:p w:rsidR="001537EC" w:rsidRPr="00A32E54" w:rsidRDefault="001537EC" w:rsidP="00891758">
      <w:pPr>
        <w:rPr>
          <w:i/>
        </w:rPr>
      </w:pPr>
      <w:r>
        <w:rPr>
          <w:i/>
        </w:rPr>
        <w:t>State v. Brown</w:t>
      </w:r>
      <w:r>
        <w:t>, 796 N.W.2d 169 (Minn. App. 2011)</w:t>
      </w:r>
      <w:r w:rsidRPr="00540FC1">
        <w:t>.</w:t>
      </w:r>
    </w:p>
    <w:p w:rsidR="001537EC" w:rsidRDefault="001537EC" w:rsidP="001537EC">
      <w:pPr>
        <w:suppressAutoHyphens w:val="0"/>
      </w:pPr>
      <w:r>
        <w:tab/>
        <w:t>When the state introduces no evidence to establish the element of immediacy between the time the defendant left an alleged “drive-by” vehicle and discharged his firearm,</w:t>
      </w:r>
      <w:r w:rsidRPr="00671AEC">
        <w:t xml:space="preserve"> </w:t>
      </w:r>
      <w:r>
        <w:t>the state has not proven that the defendant committed a felony drive-by shooting under Minnesota Statutes section 609.66 (2008).</w:t>
      </w:r>
    </w:p>
    <w:p w:rsidR="001537EC" w:rsidRDefault="001537EC" w:rsidP="001537EC">
      <w:pPr>
        <w:suppressAutoHyphens w:val="0"/>
      </w:pPr>
    </w:p>
    <w:p w:rsidR="00E35F28" w:rsidRDefault="00E35F28">
      <w:pPr>
        <w:suppressAutoHyphens w:val="0"/>
        <w:jc w:val="left"/>
        <w:rPr>
          <w:i/>
        </w:rPr>
      </w:pPr>
      <w:r>
        <w:rPr>
          <w:i/>
        </w:rPr>
        <w:br w:type="page"/>
      </w:r>
    </w:p>
    <w:p w:rsidR="005C5CF1" w:rsidRDefault="005C5CF1" w:rsidP="005C5CF1">
      <w:pPr>
        <w:tabs>
          <w:tab w:val="left" w:pos="4680"/>
          <w:tab w:val="left" w:pos="6660"/>
          <w:tab w:val="left" w:pos="8280"/>
        </w:tabs>
      </w:pPr>
      <w:r>
        <w:rPr>
          <w:i/>
        </w:rPr>
        <w:lastRenderedPageBreak/>
        <w:t>State v. Doebel</w:t>
      </w:r>
      <w:r>
        <w:t xml:space="preserve">, 790 N.W.2d 707 (Minn. App. 2010), </w:t>
      </w:r>
      <w:r>
        <w:rPr>
          <w:i/>
        </w:rPr>
        <w:t>review denied</w:t>
      </w:r>
      <w:r>
        <w:t xml:space="preserve"> (Minn. Jan. 26, 2011).</w:t>
      </w:r>
    </w:p>
    <w:p w:rsidR="005C5CF1" w:rsidRPr="00AB12BA" w:rsidRDefault="005C5CF1" w:rsidP="005C5CF1">
      <w:pPr>
        <w:ind w:firstLine="720"/>
        <w:rPr>
          <w:i/>
          <w:szCs w:val="26"/>
        </w:rPr>
      </w:pPr>
      <w:r w:rsidRPr="00AB12BA">
        <w:rPr>
          <w:szCs w:val="26"/>
        </w:rPr>
        <w:t xml:space="preserve">The statutory requirement </w:t>
      </w:r>
      <w:r>
        <w:rPr>
          <w:szCs w:val="26"/>
        </w:rPr>
        <w:t xml:space="preserve">that a driver signal </w:t>
      </w:r>
      <w:r w:rsidRPr="00AB12BA">
        <w:rPr>
          <w:szCs w:val="26"/>
        </w:rPr>
        <w:t xml:space="preserve">a lane change, Minn. Stat. § 169.19, subd. 4 (2008), applies </w:t>
      </w:r>
      <w:r>
        <w:rPr>
          <w:szCs w:val="26"/>
        </w:rPr>
        <w:t xml:space="preserve">to a </w:t>
      </w:r>
      <w:r w:rsidRPr="00AB12BA">
        <w:rPr>
          <w:szCs w:val="26"/>
        </w:rPr>
        <w:t xml:space="preserve">lane change </w:t>
      </w:r>
      <w:r>
        <w:rPr>
          <w:szCs w:val="26"/>
        </w:rPr>
        <w:t xml:space="preserve">made when approaching a stopped emergency vehicle pursuant to </w:t>
      </w:r>
      <w:r w:rsidRPr="00AB12BA">
        <w:rPr>
          <w:szCs w:val="26"/>
        </w:rPr>
        <w:t>Minn. Stat. § 169.18, subd. 11(a) (2008).</w:t>
      </w:r>
    </w:p>
    <w:p w:rsidR="005C5CF1" w:rsidRDefault="005C5CF1" w:rsidP="001537EC">
      <w:pPr>
        <w:suppressAutoHyphens w:val="0"/>
      </w:pPr>
    </w:p>
    <w:p w:rsidR="00483A11" w:rsidRDefault="00483A11" w:rsidP="00483A11">
      <w:pPr>
        <w:rPr>
          <w:szCs w:val="24"/>
        </w:rPr>
      </w:pPr>
      <w:r>
        <w:rPr>
          <w:i/>
          <w:szCs w:val="24"/>
        </w:rPr>
        <w:t>State v. Mertz</w:t>
      </w:r>
      <w:r>
        <w:rPr>
          <w:szCs w:val="24"/>
        </w:rPr>
        <w:t>, 801 N.W.2d 219 (Minn. App. 2011).</w:t>
      </w:r>
    </w:p>
    <w:p w:rsidR="00483A11" w:rsidRPr="00B70191" w:rsidRDefault="00483A11" w:rsidP="00483A11">
      <w:pPr>
        <w:ind w:firstLine="720"/>
        <w:rPr>
          <w:szCs w:val="24"/>
        </w:rPr>
      </w:pPr>
      <w:r w:rsidRPr="00B70191">
        <w:rPr>
          <w:szCs w:val="24"/>
        </w:rPr>
        <w:t>A defendant must be given a properly administered formal oath by a court-designated individual when faced with the consequences of a perjury charge.</w:t>
      </w:r>
    </w:p>
    <w:p w:rsidR="00483A11" w:rsidRDefault="00483A11" w:rsidP="001537EC">
      <w:pPr>
        <w:suppressAutoHyphens w:val="0"/>
      </w:pPr>
    </w:p>
    <w:p w:rsidR="002157BD" w:rsidRDefault="002157BD" w:rsidP="002157BD">
      <w:r>
        <w:rPr>
          <w:i/>
        </w:rPr>
        <w:t>State v. Milliman</w:t>
      </w:r>
      <w:r>
        <w:t xml:space="preserve">, </w:t>
      </w:r>
      <w:r w:rsidR="00C366CF">
        <w:t>802</w:t>
      </w:r>
      <w:r>
        <w:t xml:space="preserve"> N.W.2d </w:t>
      </w:r>
      <w:r w:rsidR="00C366CF">
        <w:t>776</w:t>
      </w:r>
      <w:r>
        <w:t xml:space="preserve"> (Minn. App. 2011).</w:t>
      </w:r>
    </w:p>
    <w:p w:rsidR="002157BD" w:rsidRDefault="002157BD" w:rsidP="002157BD">
      <w:pPr>
        <w:pStyle w:val="Heading1"/>
        <w:keepNext w:val="0"/>
        <w:ind w:firstLine="720"/>
        <w:jc w:val="both"/>
        <w:rPr>
          <w:b w:val="0"/>
          <w:color w:val="000000"/>
          <w:szCs w:val="26"/>
        </w:rPr>
      </w:pPr>
      <w:r>
        <w:rPr>
          <w:b w:val="0"/>
          <w:szCs w:val="26"/>
        </w:rPr>
        <w:t>T</w:t>
      </w:r>
      <w:r w:rsidRPr="001E6810">
        <w:rPr>
          <w:b w:val="0"/>
          <w:color w:val="000000"/>
          <w:szCs w:val="26"/>
        </w:rPr>
        <w:t xml:space="preserve">he word “attorney,” as used in </w:t>
      </w:r>
      <w:r>
        <w:rPr>
          <w:b w:val="0"/>
          <w:color w:val="000000"/>
          <w:szCs w:val="26"/>
        </w:rPr>
        <w:t xml:space="preserve">Minnesota Statutes </w:t>
      </w:r>
      <w:r w:rsidRPr="001E6810">
        <w:rPr>
          <w:b w:val="0"/>
          <w:color w:val="000000"/>
          <w:szCs w:val="26"/>
        </w:rPr>
        <w:t xml:space="preserve">section 551.01, </w:t>
      </w:r>
      <w:r>
        <w:rPr>
          <w:b w:val="0"/>
          <w:color w:val="000000"/>
          <w:szCs w:val="26"/>
        </w:rPr>
        <w:t xml:space="preserve">means an </w:t>
      </w:r>
      <w:r w:rsidRPr="00796F7F">
        <w:rPr>
          <w:b w:val="0"/>
          <w:color w:val="000000"/>
          <w:szCs w:val="26"/>
        </w:rPr>
        <w:t>attorney-at-law.</w:t>
      </w:r>
    </w:p>
    <w:p w:rsidR="00BA7A4D" w:rsidRDefault="00BA7A4D" w:rsidP="00BA7A4D"/>
    <w:p w:rsidR="00BA7A4D" w:rsidRDefault="00BA7A4D" w:rsidP="00BA7A4D">
      <w:r>
        <w:rPr>
          <w:i/>
        </w:rPr>
        <w:t>State v. Peters</w:t>
      </w:r>
      <w:r w:rsidR="00857146">
        <w:rPr>
          <w:i/>
        </w:rPr>
        <w:t>e</w:t>
      </w:r>
      <w:r>
        <w:rPr>
          <w:i/>
        </w:rPr>
        <w:t>n</w:t>
      </w:r>
      <w:r>
        <w:t xml:space="preserve">, 799 N.W.2d 653 (Minn. App. 2011), </w:t>
      </w:r>
      <w:r w:rsidR="00857146">
        <w:rPr>
          <w:i/>
        </w:rPr>
        <w:t>review denied</w:t>
      </w:r>
      <w:r w:rsidR="00857146">
        <w:t xml:space="preserve"> (Minn. Sept. 28, 2011)</w:t>
      </w:r>
      <w:r>
        <w:t>.</w:t>
      </w:r>
    </w:p>
    <w:p w:rsidR="00BA7A4D" w:rsidRDefault="00BA7A4D" w:rsidP="00BA7A4D">
      <w:r>
        <w:tab/>
        <w:t>A criminal defendant was properly charged with and convicted of intentional murder of a human being, even if the defendant’s actions that caused the death of a child were directed toward the child while it was still a fetus, before it was born alive.</w:t>
      </w:r>
    </w:p>
    <w:p w:rsidR="00891758" w:rsidRPr="00BA7A4D" w:rsidRDefault="00891758" w:rsidP="00BA7A4D"/>
    <w:p w:rsidR="00711F5A" w:rsidRDefault="00711F5A" w:rsidP="00711F5A">
      <w:pPr>
        <w:pStyle w:val="FootnoteText"/>
        <w:tabs>
          <w:tab w:val="left" w:pos="720"/>
          <w:tab w:val="left" w:pos="1440"/>
          <w:tab w:val="left" w:pos="2160"/>
        </w:tabs>
        <w:rPr>
          <w:szCs w:val="26"/>
        </w:rPr>
      </w:pPr>
      <w:r>
        <w:rPr>
          <w:b/>
          <w:szCs w:val="26"/>
          <w:u w:val="single"/>
        </w:rPr>
        <w:t>Trial Procedure</w:t>
      </w:r>
    </w:p>
    <w:p w:rsidR="00CB139B" w:rsidRDefault="00CB139B" w:rsidP="00711F5A">
      <w:pPr>
        <w:pStyle w:val="FootnoteText"/>
        <w:tabs>
          <w:tab w:val="left" w:pos="720"/>
          <w:tab w:val="left" w:pos="1440"/>
          <w:tab w:val="left" w:pos="2160"/>
        </w:tabs>
        <w:rPr>
          <w:szCs w:val="26"/>
        </w:rPr>
      </w:pPr>
    </w:p>
    <w:p w:rsidR="004D43CA" w:rsidRPr="004D43CA" w:rsidRDefault="004D43CA" w:rsidP="004D43CA">
      <w:pPr>
        <w:rPr>
          <w:szCs w:val="26"/>
        </w:rPr>
      </w:pPr>
      <w:r w:rsidRPr="004D43CA">
        <w:rPr>
          <w:i/>
          <w:iCs/>
          <w:szCs w:val="26"/>
        </w:rPr>
        <w:t>State v. Burdick</w:t>
      </w:r>
      <w:r w:rsidRPr="004D43CA">
        <w:rPr>
          <w:szCs w:val="26"/>
        </w:rPr>
        <w:t>, 795 N.W.2d 873 (Minn. App. 2011).</w:t>
      </w:r>
    </w:p>
    <w:p w:rsidR="004D43CA" w:rsidRPr="004D43CA" w:rsidRDefault="00431505" w:rsidP="004D43CA">
      <w:pPr>
        <w:ind w:firstLine="720"/>
        <w:rPr>
          <w:szCs w:val="26"/>
        </w:rPr>
      </w:pPr>
      <w:r>
        <w:t>A conviction based upon a stipulation pursuant to Minn. R. Crim. P. 26.01, subd. 4, is invalid if the parties fail to acknowledge, and the record does not indicate, that the preserved pretrial ruling is dispositive of the case or, if reversed on appeal, would make a contested trial unnecessary</w:t>
      </w:r>
      <w:r w:rsidRPr="005E44DD">
        <w:t>.</w:t>
      </w:r>
    </w:p>
    <w:p w:rsidR="004D43CA" w:rsidRPr="004D43CA" w:rsidRDefault="004D43CA" w:rsidP="00711F5A">
      <w:pPr>
        <w:pStyle w:val="FootnoteText"/>
        <w:tabs>
          <w:tab w:val="left" w:pos="720"/>
          <w:tab w:val="left" w:pos="1440"/>
          <w:tab w:val="left" w:pos="2160"/>
        </w:tabs>
        <w:rPr>
          <w:szCs w:val="26"/>
        </w:rPr>
      </w:pPr>
    </w:p>
    <w:p w:rsidR="00C57736" w:rsidRDefault="00C57736" w:rsidP="00C57736">
      <w:r w:rsidRPr="007D4238">
        <w:rPr>
          <w:i/>
        </w:rPr>
        <w:t>State v. Infante</w:t>
      </w:r>
      <w:r>
        <w:t>, 796</w:t>
      </w:r>
      <w:r w:rsidRPr="007D4238">
        <w:t xml:space="preserve"> N.W.2d </w:t>
      </w:r>
      <w:r>
        <w:t>349</w:t>
      </w:r>
      <w:r w:rsidRPr="007D4238">
        <w:t xml:space="preserve"> (Minn. App. </w:t>
      </w:r>
      <w:r>
        <w:t xml:space="preserve">2011), </w:t>
      </w:r>
      <w:r>
        <w:rPr>
          <w:i/>
        </w:rPr>
        <w:t>review denied</w:t>
      </w:r>
      <w:r>
        <w:t xml:space="preserve"> (Minn. June 28, 2011).</w:t>
      </w:r>
    </w:p>
    <w:p w:rsidR="00C57736" w:rsidRPr="00D76EDD" w:rsidRDefault="00C57736" w:rsidP="00C57736">
      <w:pPr>
        <w:pStyle w:val="Indented"/>
        <w:numPr>
          <w:ilvl w:val="0"/>
          <w:numId w:val="21"/>
        </w:numPr>
        <w:spacing w:line="240" w:lineRule="auto"/>
        <w:ind w:left="0" w:firstLine="720"/>
        <w:rPr>
          <w:rFonts w:ascii="Times New Roman" w:hAnsi="Times New Roman"/>
        </w:rPr>
      </w:pPr>
      <w:r w:rsidRPr="00D76EDD">
        <w:rPr>
          <w:rFonts w:ascii="Times New Roman" w:hAnsi="Times New Roman"/>
        </w:rPr>
        <w:t xml:space="preserve">If the district court excludes individuals from the courtroom without meeting the four-part test set forth in </w:t>
      </w:r>
      <w:r w:rsidRPr="00D76EDD">
        <w:rPr>
          <w:rFonts w:ascii="Times New Roman" w:hAnsi="Times New Roman"/>
          <w:i/>
        </w:rPr>
        <w:t>Waller v. Georgia</w:t>
      </w:r>
      <w:r w:rsidRPr="00D76EDD">
        <w:rPr>
          <w:rFonts w:ascii="Times New Roman" w:hAnsi="Times New Roman"/>
        </w:rPr>
        <w:t xml:space="preserve">, 467 U.S. 39, 48, 104 S. Ct. 2210, 2216 (1984), remand is appropriate to allow the district court to comply with </w:t>
      </w:r>
      <w:r w:rsidRPr="00D76EDD">
        <w:rPr>
          <w:rFonts w:ascii="Times New Roman" w:hAnsi="Times New Roman"/>
          <w:i/>
        </w:rPr>
        <w:t>Waller</w:t>
      </w:r>
      <w:r w:rsidRPr="00D76EDD">
        <w:rPr>
          <w:rFonts w:ascii="Times New Roman" w:hAnsi="Times New Roman"/>
        </w:rPr>
        <w:t>.</w:t>
      </w:r>
    </w:p>
    <w:p w:rsidR="00C57736" w:rsidRPr="00D76EDD" w:rsidRDefault="00C57736" w:rsidP="00C57736">
      <w:pPr>
        <w:pStyle w:val="Indented"/>
        <w:numPr>
          <w:ilvl w:val="0"/>
          <w:numId w:val="21"/>
        </w:numPr>
        <w:spacing w:line="240" w:lineRule="auto"/>
        <w:ind w:left="0" w:firstLine="720"/>
        <w:rPr>
          <w:rFonts w:ascii="Times New Roman" w:hAnsi="Times New Roman"/>
        </w:rPr>
      </w:pPr>
      <w:r w:rsidRPr="00D76EDD">
        <w:rPr>
          <w:rFonts w:ascii="Times New Roman" w:hAnsi="Times New Roman"/>
        </w:rPr>
        <w:t>The district court need not instruct the jury that it must unanimously agree on which of two physical acts constitutes an assault if the two acts are part of a single behavioral incident.</w:t>
      </w:r>
    </w:p>
    <w:p w:rsidR="00C57736" w:rsidRPr="00D76EDD" w:rsidRDefault="00C57736" w:rsidP="00C57736"/>
    <w:p w:rsidR="00CB139B" w:rsidRDefault="00CB139B" w:rsidP="00CB139B">
      <w:pPr>
        <w:pStyle w:val="FootnoteText"/>
        <w:tabs>
          <w:tab w:val="left" w:pos="720"/>
          <w:tab w:val="left" w:pos="1440"/>
        </w:tabs>
        <w:rPr>
          <w:bCs/>
        </w:rPr>
      </w:pPr>
      <w:r>
        <w:rPr>
          <w:bCs/>
          <w:i/>
        </w:rPr>
        <w:t>State v. Sailee</w:t>
      </w:r>
      <w:r>
        <w:rPr>
          <w:bCs/>
        </w:rPr>
        <w:t xml:space="preserve">, </w:t>
      </w:r>
      <w:r w:rsidR="0048427F">
        <w:rPr>
          <w:bCs/>
        </w:rPr>
        <w:t>792</w:t>
      </w:r>
      <w:r>
        <w:rPr>
          <w:bCs/>
        </w:rPr>
        <w:t xml:space="preserve"> N.W.2d </w:t>
      </w:r>
      <w:r w:rsidR="0048427F">
        <w:rPr>
          <w:bCs/>
        </w:rPr>
        <w:t>90</w:t>
      </w:r>
      <w:r>
        <w:rPr>
          <w:bCs/>
        </w:rPr>
        <w:t xml:space="preserve"> (Minn. </w:t>
      </w:r>
      <w:r w:rsidR="0048427F">
        <w:rPr>
          <w:bCs/>
        </w:rPr>
        <w:t xml:space="preserve">App. </w:t>
      </w:r>
      <w:r>
        <w:rPr>
          <w:bCs/>
        </w:rPr>
        <w:t>2010)</w:t>
      </w:r>
      <w:r w:rsidR="00F24CEC">
        <w:rPr>
          <w:bCs/>
        </w:rPr>
        <w:t xml:space="preserve">, </w:t>
      </w:r>
      <w:r w:rsidR="00F24CEC">
        <w:rPr>
          <w:bCs/>
          <w:i/>
        </w:rPr>
        <w:t xml:space="preserve">review </w:t>
      </w:r>
      <w:r w:rsidR="00845711">
        <w:rPr>
          <w:bCs/>
          <w:i/>
        </w:rPr>
        <w:t>deni</w:t>
      </w:r>
      <w:r w:rsidR="00F24CEC">
        <w:rPr>
          <w:bCs/>
          <w:i/>
        </w:rPr>
        <w:t>ed</w:t>
      </w:r>
      <w:r w:rsidR="00F24CEC">
        <w:rPr>
          <w:bCs/>
        </w:rPr>
        <w:t xml:space="preserve"> (Minn. </w:t>
      </w:r>
      <w:r w:rsidR="00845711">
        <w:rPr>
          <w:bCs/>
        </w:rPr>
        <w:t>Mar</w:t>
      </w:r>
      <w:r w:rsidR="00F24CEC">
        <w:rPr>
          <w:bCs/>
        </w:rPr>
        <w:t xml:space="preserve">. </w:t>
      </w:r>
      <w:r w:rsidR="00845711">
        <w:rPr>
          <w:bCs/>
        </w:rPr>
        <w:t>15</w:t>
      </w:r>
      <w:r w:rsidR="00F24CEC">
        <w:rPr>
          <w:bCs/>
        </w:rPr>
        <w:t>, 2011)</w:t>
      </w:r>
      <w:r>
        <w:rPr>
          <w:bCs/>
        </w:rPr>
        <w:t>.</w:t>
      </w:r>
    </w:p>
    <w:p w:rsidR="00D76EDD" w:rsidRPr="000817D3" w:rsidRDefault="00CB139B" w:rsidP="000817D3">
      <w:pPr>
        <w:pStyle w:val="Heading1"/>
        <w:keepNext w:val="0"/>
        <w:tabs>
          <w:tab w:val="left" w:pos="720"/>
          <w:tab w:val="left" w:pos="1440"/>
        </w:tabs>
        <w:jc w:val="both"/>
        <w:rPr>
          <w:b w:val="0"/>
          <w:szCs w:val="26"/>
        </w:rPr>
      </w:pPr>
      <w:r>
        <w:rPr>
          <w:b w:val="0"/>
          <w:szCs w:val="26"/>
        </w:rPr>
        <w:tab/>
        <w:t xml:space="preserve">If the defendant intends to testify that another person committed the offense, notice is required of the alternative-perpetrator defense under the criminal rules, but it is error for the district court to preclude the testimony without first considering alternative sanctions for violation of the rule. </w:t>
      </w:r>
    </w:p>
    <w:sectPr w:rsidR="00D76EDD" w:rsidRPr="000817D3" w:rsidSect="00A21731">
      <w:footerReference w:type="defaul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2FA" w:rsidRDefault="006E52FA" w:rsidP="006649FC">
      <w:r>
        <w:separator/>
      </w:r>
    </w:p>
  </w:endnote>
  <w:endnote w:type="continuationSeparator" w:id="0">
    <w:p w:rsidR="006E52FA" w:rsidRDefault="006E52FA" w:rsidP="0066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Century">
    <w:panose1 w:val="0204060405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82" w:rsidRDefault="00EE0182">
    <w:pPr>
      <w:pStyle w:val="Footer"/>
      <w:jc w:val="center"/>
    </w:pPr>
    <w:r>
      <w:t>i</w:t>
    </w:r>
  </w:p>
  <w:p w:rsidR="00EE0182" w:rsidRDefault="00EE01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740228"/>
      <w:docPartObj>
        <w:docPartGallery w:val="Page Numbers (Bottom of Page)"/>
        <w:docPartUnique/>
      </w:docPartObj>
    </w:sdtPr>
    <w:sdtEndPr>
      <w:rPr>
        <w:noProof/>
      </w:rPr>
    </w:sdtEndPr>
    <w:sdtContent>
      <w:p w:rsidR="00EE0182" w:rsidRDefault="00EE0182">
        <w:pPr>
          <w:pStyle w:val="Footer"/>
          <w:jc w:val="center"/>
        </w:pPr>
        <w:r>
          <w:fldChar w:fldCharType="begin"/>
        </w:r>
        <w:r>
          <w:instrText xml:space="preserve"> PAGE   \* MERGEFORMAT </w:instrText>
        </w:r>
        <w:r>
          <w:fldChar w:fldCharType="separate"/>
        </w:r>
        <w:r w:rsidR="00DF1DE7">
          <w:rPr>
            <w:noProof/>
          </w:rPr>
          <w:t>17</w:t>
        </w:r>
        <w:r>
          <w:rPr>
            <w:noProof/>
          </w:rPr>
          <w:fldChar w:fldCharType="end"/>
        </w:r>
      </w:p>
    </w:sdtContent>
  </w:sdt>
  <w:p w:rsidR="00EE0182" w:rsidRDefault="00EE01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186205"/>
      <w:docPartObj>
        <w:docPartGallery w:val="Page Numbers (Bottom of Page)"/>
        <w:docPartUnique/>
      </w:docPartObj>
    </w:sdtPr>
    <w:sdtEndPr>
      <w:rPr>
        <w:noProof/>
      </w:rPr>
    </w:sdtEndPr>
    <w:sdtContent>
      <w:p w:rsidR="00EE0182" w:rsidRDefault="00EE01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E0182" w:rsidRDefault="00EE0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2FA" w:rsidRDefault="006E52FA" w:rsidP="006649FC">
      <w:r>
        <w:separator/>
      </w:r>
    </w:p>
  </w:footnote>
  <w:footnote w:type="continuationSeparator" w:id="0">
    <w:p w:rsidR="006E52FA" w:rsidRDefault="006E52FA" w:rsidP="00664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F4D55A"/>
    <w:lvl w:ilvl="0">
      <w:start w:val="1"/>
      <w:numFmt w:val="bullet"/>
      <w:lvlText w:val=""/>
      <w:lvlJc w:val="left"/>
      <w:pPr>
        <w:tabs>
          <w:tab w:val="num" w:pos="360"/>
        </w:tabs>
        <w:ind w:left="360" w:hanging="360"/>
      </w:pPr>
      <w:rPr>
        <w:rFonts w:ascii="Symbol" w:hAnsi="Symbol" w:hint="default"/>
      </w:rPr>
    </w:lvl>
  </w:abstractNum>
  <w:abstractNum w:abstractNumId="1">
    <w:nsid w:val="06495E68"/>
    <w:multiLevelType w:val="hybridMultilevel"/>
    <w:tmpl w:val="C31A75E8"/>
    <w:lvl w:ilvl="0" w:tplc="BE78A372">
      <w:start w:val="1"/>
      <w:numFmt w:val="decimal"/>
      <w:lvlText w:val="%1."/>
      <w:lvlJc w:val="left"/>
      <w:pPr>
        <w:ind w:left="1440" w:hanging="360"/>
      </w:pPr>
      <w:rPr>
        <w:rFonts w:ascii="Times New Roman" w:hAnsi="Times New Roman" w:hint="default"/>
        <w:b w:val="0"/>
        <w:i w:val="0"/>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132E93"/>
    <w:multiLevelType w:val="hybridMultilevel"/>
    <w:tmpl w:val="B6EC10C4"/>
    <w:lvl w:ilvl="0" w:tplc="A1A6D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3777B9"/>
    <w:multiLevelType w:val="hybridMultilevel"/>
    <w:tmpl w:val="9C808142"/>
    <w:lvl w:ilvl="0" w:tplc="D40C6BC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F913EBA"/>
    <w:multiLevelType w:val="hybridMultilevel"/>
    <w:tmpl w:val="8D3EF212"/>
    <w:lvl w:ilvl="0" w:tplc="65328574">
      <w:start w:val="1"/>
      <w:numFmt w:val="decimal"/>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CD4A2E"/>
    <w:multiLevelType w:val="singleLevel"/>
    <w:tmpl w:val="F5381F42"/>
    <w:lvl w:ilvl="0">
      <w:start w:val="2"/>
      <w:numFmt w:val="decimal"/>
      <w:lvlText w:val="%1."/>
      <w:lvlJc w:val="left"/>
      <w:pPr>
        <w:tabs>
          <w:tab w:val="num" w:pos="1440"/>
        </w:tabs>
        <w:ind w:left="1440" w:hanging="720"/>
      </w:pPr>
      <w:rPr>
        <w:rFonts w:hint="default"/>
      </w:rPr>
    </w:lvl>
  </w:abstractNum>
  <w:abstractNum w:abstractNumId="6">
    <w:nsid w:val="27187691"/>
    <w:multiLevelType w:val="hybridMultilevel"/>
    <w:tmpl w:val="D64EF170"/>
    <w:lvl w:ilvl="0" w:tplc="40F6AB10">
      <w:start w:val="3"/>
      <w:numFmt w:val="decimal"/>
      <w:lvlText w:val="%1."/>
      <w:lvlJc w:val="left"/>
      <w:pPr>
        <w:tabs>
          <w:tab w:val="num" w:pos="1440"/>
        </w:tabs>
        <w:ind w:left="1440" w:hanging="720"/>
      </w:pPr>
      <w:rPr>
        <w:rFonts w:hint="default"/>
      </w:rPr>
    </w:lvl>
    <w:lvl w:ilvl="1" w:tplc="0A3E3D00" w:tentative="1">
      <w:start w:val="1"/>
      <w:numFmt w:val="lowerLetter"/>
      <w:lvlText w:val="%2."/>
      <w:lvlJc w:val="left"/>
      <w:pPr>
        <w:tabs>
          <w:tab w:val="num" w:pos="1800"/>
        </w:tabs>
        <w:ind w:left="1800" w:hanging="360"/>
      </w:pPr>
    </w:lvl>
    <w:lvl w:ilvl="2" w:tplc="99A28206" w:tentative="1">
      <w:start w:val="1"/>
      <w:numFmt w:val="lowerRoman"/>
      <w:lvlText w:val="%3."/>
      <w:lvlJc w:val="right"/>
      <w:pPr>
        <w:tabs>
          <w:tab w:val="num" w:pos="2520"/>
        </w:tabs>
        <w:ind w:left="2520" w:hanging="180"/>
      </w:pPr>
    </w:lvl>
    <w:lvl w:ilvl="3" w:tplc="B12C6AE6" w:tentative="1">
      <w:start w:val="1"/>
      <w:numFmt w:val="decimal"/>
      <w:lvlText w:val="%4."/>
      <w:lvlJc w:val="left"/>
      <w:pPr>
        <w:tabs>
          <w:tab w:val="num" w:pos="3240"/>
        </w:tabs>
        <w:ind w:left="3240" w:hanging="360"/>
      </w:pPr>
    </w:lvl>
    <w:lvl w:ilvl="4" w:tplc="5CC2D77C" w:tentative="1">
      <w:start w:val="1"/>
      <w:numFmt w:val="lowerLetter"/>
      <w:lvlText w:val="%5."/>
      <w:lvlJc w:val="left"/>
      <w:pPr>
        <w:tabs>
          <w:tab w:val="num" w:pos="3960"/>
        </w:tabs>
        <w:ind w:left="3960" w:hanging="360"/>
      </w:pPr>
    </w:lvl>
    <w:lvl w:ilvl="5" w:tplc="520E5794" w:tentative="1">
      <w:start w:val="1"/>
      <w:numFmt w:val="lowerRoman"/>
      <w:lvlText w:val="%6."/>
      <w:lvlJc w:val="right"/>
      <w:pPr>
        <w:tabs>
          <w:tab w:val="num" w:pos="4680"/>
        </w:tabs>
        <w:ind w:left="4680" w:hanging="180"/>
      </w:pPr>
    </w:lvl>
    <w:lvl w:ilvl="6" w:tplc="5FB4E344" w:tentative="1">
      <w:start w:val="1"/>
      <w:numFmt w:val="decimal"/>
      <w:lvlText w:val="%7."/>
      <w:lvlJc w:val="left"/>
      <w:pPr>
        <w:tabs>
          <w:tab w:val="num" w:pos="5400"/>
        </w:tabs>
        <w:ind w:left="5400" w:hanging="360"/>
      </w:pPr>
    </w:lvl>
    <w:lvl w:ilvl="7" w:tplc="4B6831E4" w:tentative="1">
      <w:start w:val="1"/>
      <w:numFmt w:val="lowerLetter"/>
      <w:lvlText w:val="%8."/>
      <w:lvlJc w:val="left"/>
      <w:pPr>
        <w:tabs>
          <w:tab w:val="num" w:pos="6120"/>
        </w:tabs>
        <w:ind w:left="6120" w:hanging="360"/>
      </w:pPr>
    </w:lvl>
    <w:lvl w:ilvl="8" w:tplc="84008C72" w:tentative="1">
      <w:start w:val="1"/>
      <w:numFmt w:val="lowerRoman"/>
      <w:lvlText w:val="%9."/>
      <w:lvlJc w:val="right"/>
      <w:pPr>
        <w:tabs>
          <w:tab w:val="num" w:pos="6840"/>
        </w:tabs>
        <w:ind w:left="6840" w:hanging="180"/>
      </w:pPr>
    </w:lvl>
  </w:abstractNum>
  <w:abstractNum w:abstractNumId="7">
    <w:nsid w:val="2E372E6A"/>
    <w:multiLevelType w:val="hybridMultilevel"/>
    <w:tmpl w:val="F7A2C9D6"/>
    <w:lvl w:ilvl="0" w:tplc="D2A8063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E3A146F"/>
    <w:multiLevelType w:val="hybridMultilevel"/>
    <w:tmpl w:val="D0CA6496"/>
    <w:lvl w:ilvl="0" w:tplc="627A6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F97302"/>
    <w:multiLevelType w:val="hybridMultilevel"/>
    <w:tmpl w:val="E1F87D2E"/>
    <w:lvl w:ilvl="0" w:tplc="43FEC73C">
      <w:start w:val="1"/>
      <w:numFmt w:val="upperRoman"/>
      <w:lvlText w:val="%1."/>
      <w:lvlJc w:val="left"/>
      <w:pPr>
        <w:tabs>
          <w:tab w:val="num" w:pos="1630"/>
        </w:tabs>
        <w:ind w:left="1630" w:hanging="720"/>
      </w:pPr>
      <w:rPr>
        <w:rFonts w:hint="default"/>
      </w:rPr>
    </w:lvl>
    <w:lvl w:ilvl="1" w:tplc="04090019" w:tentative="1">
      <w:start w:val="1"/>
      <w:numFmt w:val="lowerLetter"/>
      <w:lvlText w:val="%2."/>
      <w:lvlJc w:val="left"/>
      <w:pPr>
        <w:tabs>
          <w:tab w:val="num" w:pos="1990"/>
        </w:tabs>
        <w:ind w:left="1990" w:hanging="360"/>
      </w:pPr>
    </w:lvl>
    <w:lvl w:ilvl="2" w:tplc="0409001B" w:tentative="1">
      <w:start w:val="1"/>
      <w:numFmt w:val="lowerRoman"/>
      <w:lvlText w:val="%3."/>
      <w:lvlJc w:val="right"/>
      <w:pPr>
        <w:tabs>
          <w:tab w:val="num" w:pos="2710"/>
        </w:tabs>
        <w:ind w:left="2710" w:hanging="180"/>
      </w:pPr>
    </w:lvl>
    <w:lvl w:ilvl="3" w:tplc="0409000F" w:tentative="1">
      <w:start w:val="1"/>
      <w:numFmt w:val="decimal"/>
      <w:lvlText w:val="%4."/>
      <w:lvlJc w:val="left"/>
      <w:pPr>
        <w:tabs>
          <w:tab w:val="num" w:pos="3430"/>
        </w:tabs>
        <w:ind w:left="3430" w:hanging="360"/>
      </w:pPr>
    </w:lvl>
    <w:lvl w:ilvl="4" w:tplc="04090019" w:tentative="1">
      <w:start w:val="1"/>
      <w:numFmt w:val="lowerLetter"/>
      <w:lvlText w:val="%5."/>
      <w:lvlJc w:val="left"/>
      <w:pPr>
        <w:tabs>
          <w:tab w:val="num" w:pos="4150"/>
        </w:tabs>
        <w:ind w:left="4150" w:hanging="360"/>
      </w:pPr>
    </w:lvl>
    <w:lvl w:ilvl="5" w:tplc="0409001B" w:tentative="1">
      <w:start w:val="1"/>
      <w:numFmt w:val="lowerRoman"/>
      <w:lvlText w:val="%6."/>
      <w:lvlJc w:val="right"/>
      <w:pPr>
        <w:tabs>
          <w:tab w:val="num" w:pos="4870"/>
        </w:tabs>
        <w:ind w:left="4870" w:hanging="180"/>
      </w:pPr>
    </w:lvl>
    <w:lvl w:ilvl="6" w:tplc="0409000F" w:tentative="1">
      <w:start w:val="1"/>
      <w:numFmt w:val="decimal"/>
      <w:lvlText w:val="%7."/>
      <w:lvlJc w:val="left"/>
      <w:pPr>
        <w:tabs>
          <w:tab w:val="num" w:pos="5590"/>
        </w:tabs>
        <w:ind w:left="5590" w:hanging="360"/>
      </w:pPr>
    </w:lvl>
    <w:lvl w:ilvl="7" w:tplc="04090019" w:tentative="1">
      <w:start w:val="1"/>
      <w:numFmt w:val="lowerLetter"/>
      <w:lvlText w:val="%8."/>
      <w:lvlJc w:val="left"/>
      <w:pPr>
        <w:tabs>
          <w:tab w:val="num" w:pos="6310"/>
        </w:tabs>
        <w:ind w:left="6310" w:hanging="360"/>
      </w:pPr>
    </w:lvl>
    <w:lvl w:ilvl="8" w:tplc="0409001B" w:tentative="1">
      <w:start w:val="1"/>
      <w:numFmt w:val="lowerRoman"/>
      <w:lvlText w:val="%9."/>
      <w:lvlJc w:val="right"/>
      <w:pPr>
        <w:tabs>
          <w:tab w:val="num" w:pos="7030"/>
        </w:tabs>
        <w:ind w:left="7030" w:hanging="180"/>
      </w:pPr>
    </w:lvl>
  </w:abstractNum>
  <w:abstractNum w:abstractNumId="10">
    <w:nsid w:val="37545641"/>
    <w:multiLevelType w:val="hybridMultilevel"/>
    <w:tmpl w:val="5E5ED020"/>
    <w:lvl w:ilvl="0" w:tplc="E688A3B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114A3"/>
    <w:multiLevelType w:val="hybridMultilevel"/>
    <w:tmpl w:val="9B8CD8D6"/>
    <w:lvl w:ilvl="0" w:tplc="255204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7D0E90"/>
    <w:multiLevelType w:val="hybridMultilevel"/>
    <w:tmpl w:val="84A898E4"/>
    <w:lvl w:ilvl="0" w:tplc="A1DC14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641240"/>
    <w:multiLevelType w:val="hybridMultilevel"/>
    <w:tmpl w:val="67B88D72"/>
    <w:lvl w:ilvl="0" w:tplc="DFE297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D0449D"/>
    <w:multiLevelType w:val="singleLevel"/>
    <w:tmpl w:val="DD42AB4E"/>
    <w:lvl w:ilvl="0">
      <w:start w:val="2"/>
      <w:numFmt w:val="decimal"/>
      <w:lvlText w:val="%1."/>
      <w:lvlJc w:val="left"/>
      <w:pPr>
        <w:tabs>
          <w:tab w:val="num" w:pos="1080"/>
        </w:tabs>
        <w:ind w:left="1080" w:hanging="360"/>
      </w:pPr>
      <w:rPr>
        <w:rFonts w:hint="default"/>
      </w:rPr>
    </w:lvl>
  </w:abstractNum>
  <w:abstractNum w:abstractNumId="15">
    <w:nsid w:val="4F5A0354"/>
    <w:multiLevelType w:val="hybridMultilevel"/>
    <w:tmpl w:val="0074AD18"/>
    <w:lvl w:ilvl="0" w:tplc="64D49D24">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B6434C"/>
    <w:multiLevelType w:val="hybridMultilevel"/>
    <w:tmpl w:val="DACC7856"/>
    <w:lvl w:ilvl="0" w:tplc="E20EE99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292F8B"/>
    <w:multiLevelType w:val="hybridMultilevel"/>
    <w:tmpl w:val="0F9C47CC"/>
    <w:lvl w:ilvl="0" w:tplc="0F741EA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281570F"/>
    <w:multiLevelType w:val="hybridMultilevel"/>
    <w:tmpl w:val="8D3EF212"/>
    <w:lvl w:ilvl="0" w:tplc="65328574">
      <w:start w:val="1"/>
      <w:numFmt w:val="decimal"/>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4158E3"/>
    <w:multiLevelType w:val="hybridMultilevel"/>
    <w:tmpl w:val="9D72AAB2"/>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6803F14"/>
    <w:multiLevelType w:val="hybridMultilevel"/>
    <w:tmpl w:val="31D88902"/>
    <w:lvl w:ilvl="0" w:tplc="961410B4">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90737B0"/>
    <w:multiLevelType w:val="hybridMultilevel"/>
    <w:tmpl w:val="F702A948"/>
    <w:lvl w:ilvl="0" w:tplc="F6629EB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98C0A1D"/>
    <w:multiLevelType w:val="hybridMultilevel"/>
    <w:tmpl w:val="AD5666D2"/>
    <w:lvl w:ilvl="0" w:tplc="DB7CE5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D2332F"/>
    <w:multiLevelType w:val="singleLevel"/>
    <w:tmpl w:val="B046DE6E"/>
    <w:lvl w:ilvl="0">
      <w:start w:val="1"/>
      <w:numFmt w:val="decimal"/>
      <w:lvlText w:val="%1."/>
      <w:lvlJc w:val="left"/>
      <w:pPr>
        <w:tabs>
          <w:tab w:val="num" w:pos="360"/>
        </w:tabs>
        <w:ind w:left="360" w:hanging="360"/>
      </w:pPr>
      <w:rPr>
        <w:rFonts w:ascii="CG Times" w:hAnsi="CG Times" w:hint="default"/>
      </w:rPr>
    </w:lvl>
  </w:abstractNum>
  <w:abstractNum w:abstractNumId="24">
    <w:nsid w:val="5E1218CF"/>
    <w:multiLevelType w:val="hybridMultilevel"/>
    <w:tmpl w:val="A8020054"/>
    <w:lvl w:ilvl="0" w:tplc="50B6BA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64102B"/>
    <w:multiLevelType w:val="singleLevel"/>
    <w:tmpl w:val="04090013"/>
    <w:lvl w:ilvl="0">
      <w:start w:val="1"/>
      <w:numFmt w:val="upperRoman"/>
      <w:lvlText w:val="%1."/>
      <w:lvlJc w:val="left"/>
      <w:pPr>
        <w:tabs>
          <w:tab w:val="num" w:pos="720"/>
        </w:tabs>
        <w:ind w:left="720" w:hanging="720"/>
      </w:pPr>
      <w:rPr>
        <w:rFonts w:hint="default"/>
      </w:rPr>
    </w:lvl>
  </w:abstractNum>
  <w:abstractNum w:abstractNumId="26">
    <w:nsid w:val="6D273411"/>
    <w:multiLevelType w:val="hybridMultilevel"/>
    <w:tmpl w:val="3340A9E2"/>
    <w:lvl w:ilvl="0" w:tplc="9FE22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571DCC"/>
    <w:multiLevelType w:val="hybridMultilevel"/>
    <w:tmpl w:val="0B5C0774"/>
    <w:lvl w:ilvl="0" w:tplc="627A67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201C2F"/>
    <w:multiLevelType w:val="hybridMultilevel"/>
    <w:tmpl w:val="0C20A4E4"/>
    <w:lvl w:ilvl="0" w:tplc="14A44F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A1B435C"/>
    <w:multiLevelType w:val="hybridMultilevel"/>
    <w:tmpl w:val="D22A3D14"/>
    <w:lvl w:ilvl="0" w:tplc="A282CF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5"/>
  </w:num>
  <w:num w:numId="4">
    <w:abstractNumId w:val="14"/>
  </w:num>
  <w:num w:numId="5">
    <w:abstractNumId w:val="20"/>
  </w:num>
  <w:num w:numId="6">
    <w:abstractNumId w:val="3"/>
  </w:num>
  <w:num w:numId="7">
    <w:abstractNumId w:val="22"/>
  </w:num>
  <w:num w:numId="8">
    <w:abstractNumId w:val="15"/>
  </w:num>
  <w:num w:numId="9">
    <w:abstractNumId w:val="25"/>
  </w:num>
  <w:num w:numId="10">
    <w:abstractNumId w:val="28"/>
  </w:num>
  <w:num w:numId="11">
    <w:abstractNumId w:val="7"/>
  </w:num>
  <w:num w:numId="12">
    <w:abstractNumId w:val="21"/>
  </w:num>
  <w:num w:numId="13">
    <w:abstractNumId w:val="17"/>
  </w:num>
  <w:num w:numId="14">
    <w:abstractNumId w:val="29"/>
  </w:num>
  <w:num w:numId="15">
    <w:abstractNumId w:val="19"/>
  </w:num>
  <w:num w:numId="16">
    <w:abstractNumId w:val="9"/>
  </w:num>
  <w:num w:numId="17">
    <w:abstractNumId w:val="0"/>
  </w:num>
  <w:num w:numId="18">
    <w:abstractNumId w:val="16"/>
  </w:num>
  <w:num w:numId="19">
    <w:abstractNumId w:val="2"/>
  </w:num>
  <w:num w:numId="20">
    <w:abstractNumId w:val="1"/>
  </w:num>
  <w:num w:numId="21">
    <w:abstractNumId w:val="26"/>
  </w:num>
  <w:num w:numId="22">
    <w:abstractNumId w:val="8"/>
  </w:num>
  <w:num w:numId="23">
    <w:abstractNumId w:val="10"/>
  </w:num>
  <w:num w:numId="24">
    <w:abstractNumId w:val="27"/>
  </w:num>
  <w:num w:numId="25">
    <w:abstractNumId w:val="11"/>
  </w:num>
  <w:num w:numId="26">
    <w:abstractNumId w:val="13"/>
  </w:num>
  <w:num w:numId="27">
    <w:abstractNumId w:val="24"/>
  </w:num>
  <w:num w:numId="28">
    <w:abstractNumId w:val="4"/>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5A"/>
    <w:rsid w:val="000219B7"/>
    <w:rsid w:val="00024E96"/>
    <w:rsid w:val="00025EC1"/>
    <w:rsid w:val="000355FE"/>
    <w:rsid w:val="00042011"/>
    <w:rsid w:val="000618F1"/>
    <w:rsid w:val="00065615"/>
    <w:rsid w:val="000817D3"/>
    <w:rsid w:val="000A1536"/>
    <w:rsid w:val="000B14A3"/>
    <w:rsid w:val="000B2CF3"/>
    <w:rsid w:val="000B2F17"/>
    <w:rsid w:val="000B37F8"/>
    <w:rsid w:val="000C184A"/>
    <w:rsid w:val="000C5B83"/>
    <w:rsid w:val="000D0E88"/>
    <w:rsid w:val="000E32ED"/>
    <w:rsid w:val="000E5E27"/>
    <w:rsid w:val="00101EC2"/>
    <w:rsid w:val="00105B18"/>
    <w:rsid w:val="001125E3"/>
    <w:rsid w:val="0011412B"/>
    <w:rsid w:val="00124B0D"/>
    <w:rsid w:val="001329CC"/>
    <w:rsid w:val="001421AB"/>
    <w:rsid w:val="0015228D"/>
    <w:rsid w:val="001537EC"/>
    <w:rsid w:val="00156287"/>
    <w:rsid w:val="00161776"/>
    <w:rsid w:val="00164A23"/>
    <w:rsid w:val="001949BA"/>
    <w:rsid w:val="001B569D"/>
    <w:rsid w:val="001C2587"/>
    <w:rsid w:val="001D2E90"/>
    <w:rsid w:val="001D5C5B"/>
    <w:rsid w:val="001D74EB"/>
    <w:rsid w:val="001E7EAB"/>
    <w:rsid w:val="001F10CB"/>
    <w:rsid w:val="00200D5F"/>
    <w:rsid w:val="00204D1B"/>
    <w:rsid w:val="002157BD"/>
    <w:rsid w:val="00235FDA"/>
    <w:rsid w:val="002605E7"/>
    <w:rsid w:val="00265933"/>
    <w:rsid w:val="00272B74"/>
    <w:rsid w:val="00284DC7"/>
    <w:rsid w:val="00293FCE"/>
    <w:rsid w:val="002A643A"/>
    <w:rsid w:val="002B0B00"/>
    <w:rsid w:val="002B3C4D"/>
    <w:rsid w:val="002D4B3D"/>
    <w:rsid w:val="002E6326"/>
    <w:rsid w:val="002F3C7D"/>
    <w:rsid w:val="002F6286"/>
    <w:rsid w:val="002F76E3"/>
    <w:rsid w:val="003016C1"/>
    <w:rsid w:val="00301773"/>
    <w:rsid w:val="003076B9"/>
    <w:rsid w:val="003246E5"/>
    <w:rsid w:val="0033003D"/>
    <w:rsid w:val="0033521A"/>
    <w:rsid w:val="00341683"/>
    <w:rsid w:val="0034404A"/>
    <w:rsid w:val="00352BED"/>
    <w:rsid w:val="00370678"/>
    <w:rsid w:val="00373289"/>
    <w:rsid w:val="00377165"/>
    <w:rsid w:val="00384884"/>
    <w:rsid w:val="00395344"/>
    <w:rsid w:val="00395704"/>
    <w:rsid w:val="00396D85"/>
    <w:rsid w:val="003B00A2"/>
    <w:rsid w:val="003B0DC8"/>
    <w:rsid w:val="003C7EAF"/>
    <w:rsid w:val="003E38DA"/>
    <w:rsid w:val="00400BED"/>
    <w:rsid w:val="00403F68"/>
    <w:rsid w:val="0040749A"/>
    <w:rsid w:val="00407630"/>
    <w:rsid w:val="004103A9"/>
    <w:rsid w:val="004128C4"/>
    <w:rsid w:val="00431505"/>
    <w:rsid w:val="00436D9D"/>
    <w:rsid w:val="00444242"/>
    <w:rsid w:val="004471C8"/>
    <w:rsid w:val="00447510"/>
    <w:rsid w:val="00451B5F"/>
    <w:rsid w:val="004616E5"/>
    <w:rsid w:val="00476838"/>
    <w:rsid w:val="0048298E"/>
    <w:rsid w:val="00482A7B"/>
    <w:rsid w:val="00483A11"/>
    <w:rsid w:val="0048427F"/>
    <w:rsid w:val="00485804"/>
    <w:rsid w:val="0048786F"/>
    <w:rsid w:val="00487CF6"/>
    <w:rsid w:val="00494101"/>
    <w:rsid w:val="00496DC0"/>
    <w:rsid w:val="004A29A3"/>
    <w:rsid w:val="004C2EE1"/>
    <w:rsid w:val="004D43CA"/>
    <w:rsid w:val="004F2160"/>
    <w:rsid w:val="004F71C1"/>
    <w:rsid w:val="005021A8"/>
    <w:rsid w:val="00504462"/>
    <w:rsid w:val="00507717"/>
    <w:rsid w:val="00515947"/>
    <w:rsid w:val="00521E35"/>
    <w:rsid w:val="0052539A"/>
    <w:rsid w:val="00535D46"/>
    <w:rsid w:val="00536EE2"/>
    <w:rsid w:val="00537BE0"/>
    <w:rsid w:val="00553D64"/>
    <w:rsid w:val="0056165B"/>
    <w:rsid w:val="00562360"/>
    <w:rsid w:val="00566666"/>
    <w:rsid w:val="005714EC"/>
    <w:rsid w:val="0058662D"/>
    <w:rsid w:val="00586D37"/>
    <w:rsid w:val="00592C51"/>
    <w:rsid w:val="00594E1F"/>
    <w:rsid w:val="005A6654"/>
    <w:rsid w:val="005A6D08"/>
    <w:rsid w:val="005B1CFF"/>
    <w:rsid w:val="005C1387"/>
    <w:rsid w:val="005C2957"/>
    <w:rsid w:val="005C5CF1"/>
    <w:rsid w:val="005F472A"/>
    <w:rsid w:val="00601CAD"/>
    <w:rsid w:val="00605857"/>
    <w:rsid w:val="00616DB8"/>
    <w:rsid w:val="00620DB3"/>
    <w:rsid w:val="00632DB9"/>
    <w:rsid w:val="0063449C"/>
    <w:rsid w:val="00643C5C"/>
    <w:rsid w:val="006501A2"/>
    <w:rsid w:val="00650405"/>
    <w:rsid w:val="006576F7"/>
    <w:rsid w:val="006649FC"/>
    <w:rsid w:val="00666E96"/>
    <w:rsid w:val="00682B2E"/>
    <w:rsid w:val="006A04E3"/>
    <w:rsid w:val="006A408B"/>
    <w:rsid w:val="006A48C8"/>
    <w:rsid w:val="006B658C"/>
    <w:rsid w:val="006B7900"/>
    <w:rsid w:val="006E3FD6"/>
    <w:rsid w:val="006E479E"/>
    <w:rsid w:val="006E52FA"/>
    <w:rsid w:val="006E6AB3"/>
    <w:rsid w:val="00704ACD"/>
    <w:rsid w:val="00711F5A"/>
    <w:rsid w:val="00723ADC"/>
    <w:rsid w:val="00744945"/>
    <w:rsid w:val="00750E5A"/>
    <w:rsid w:val="007623C1"/>
    <w:rsid w:val="00773B06"/>
    <w:rsid w:val="007A43DA"/>
    <w:rsid w:val="007A4C36"/>
    <w:rsid w:val="007D1413"/>
    <w:rsid w:val="007D5541"/>
    <w:rsid w:val="007E1CE8"/>
    <w:rsid w:val="007E778E"/>
    <w:rsid w:val="007F1CFC"/>
    <w:rsid w:val="00803A3E"/>
    <w:rsid w:val="00813251"/>
    <w:rsid w:val="0081753B"/>
    <w:rsid w:val="00831759"/>
    <w:rsid w:val="00837EF7"/>
    <w:rsid w:val="00845711"/>
    <w:rsid w:val="00851538"/>
    <w:rsid w:val="008537C0"/>
    <w:rsid w:val="00857146"/>
    <w:rsid w:val="00864687"/>
    <w:rsid w:val="0086635F"/>
    <w:rsid w:val="008676C7"/>
    <w:rsid w:val="0087000C"/>
    <w:rsid w:val="00885BB6"/>
    <w:rsid w:val="00891758"/>
    <w:rsid w:val="00891FED"/>
    <w:rsid w:val="008927E6"/>
    <w:rsid w:val="008A1800"/>
    <w:rsid w:val="008A27C8"/>
    <w:rsid w:val="008A534F"/>
    <w:rsid w:val="008B3123"/>
    <w:rsid w:val="008C1D4E"/>
    <w:rsid w:val="008F6BA9"/>
    <w:rsid w:val="009044D3"/>
    <w:rsid w:val="00910C4F"/>
    <w:rsid w:val="009137A1"/>
    <w:rsid w:val="0091619B"/>
    <w:rsid w:val="00920CEC"/>
    <w:rsid w:val="00930EEE"/>
    <w:rsid w:val="00932503"/>
    <w:rsid w:val="00935494"/>
    <w:rsid w:val="00954216"/>
    <w:rsid w:val="0095710D"/>
    <w:rsid w:val="00961221"/>
    <w:rsid w:val="00970DA5"/>
    <w:rsid w:val="00971004"/>
    <w:rsid w:val="0097403E"/>
    <w:rsid w:val="00975858"/>
    <w:rsid w:val="009855F3"/>
    <w:rsid w:val="00993DB4"/>
    <w:rsid w:val="009A01D3"/>
    <w:rsid w:val="009A1F15"/>
    <w:rsid w:val="009B6805"/>
    <w:rsid w:val="009C6DB7"/>
    <w:rsid w:val="009D1686"/>
    <w:rsid w:val="009D7AB5"/>
    <w:rsid w:val="009E2E33"/>
    <w:rsid w:val="00A1090C"/>
    <w:rsid w:val="00A13C2F"/>
    <w:rsid w:val="00A21731"/>
    <w:rsid w:val="00A24093"/>
    <w:rsid w:val="00A348C5"/>
    <w:rsid w:val="00A40655"/>
    <w:rsid w:val="00A514BE"/>
    <w:rsid w:val="00A57FA0"/>
    <w:rsid w:val="00AA2959"/>
    <w:rsid w:val="00AA4421"/>
    <w:rsid w:val="00AA4E20"/>
    <w:rsid w:val="00AB18A0"/>
    <w:rsid w:val="00AB5D4C"/>
    <w:rsid w:val="00AC0D91"/>
    <w:rsid w:val="00AC3AB6"/>
    <w:rsid w:val="00AD0D78"/>
    <w:rsid w:val="00AE00B7"/>
    <w:rsid w:val="00B36CA2"/>
    <w:rsid w:val="00B37CED"/>
    <w:rsid w:val="00B4522B"/>
    <w:rsid w:val="00B55A34"/>
    <w:rsid w:val="00B56EAB"/>
    <w:rsid w:val="00B60F4E"/>
    <w:rsid w:val="00B63DB1"/>
    <w:rsid w:val="00B6495A"/>
    <w:rsid w:val="00B70FB2"/>
    <w:rsid w:val="00B7596C"/>
    <w:rsid w:val="00B80352"/>
    <w:rsid w:val="00B91164"/>
    <w:rsid w:val="00B977F0"/>
    <w:rsid w:val="00BA7A4D"/>
    <w:rsid w:val="00BC5F0C"/>
    <w:rsid w:val="00BC740D"/>
    <w:rsid w:val="00BD499D"/>
    <w:rsid w:val="00BD6DBE"/>
    <w:rsid w:val="00BF3B3D"/>
    <w:rsid w:val="00C01D8A"/>
    <w:rsid w:val="00C116AC"/>
    <w:rsid w:val="00C158E4"/>
    <w:rsid w:val="00C301D1"/>
    <w:rsid w:val="00C366CF"/>
    <w:rsid w:val="00C57736"/>
    <w:rsid w:val="00C87EA9"/>
    <w:rsid w:val="00CA724E"/>
    <w:rsid w:val="00CB139B"/>
    <w:rsid w:val="00CB322E"/>
    <w:rsid w:val="00CB6F2E"/>
    <w:rsid w:val="00CC0A6F"/>
    <w:rsid w:val="00CD261D"/>
    <w:rsid w:val="00CD569F"/>
    <w:rsid w:val="00CE15C4"/>
    <w:rsid w:val="00D0325C"/>
    <w:rsid w:val="00D03610"/>
    <w:rsid w:val="00D156E1"/>
    <w:rsid w:val="00D34FB5"/>
    <w:rsid w:val="00D64208"/>
    <w:rsid w:val="00D72DC0"/>
    <w:rsid w:val="00D73632"/>
    <w:rsid w:val="00D76EDD"/>
    <w:rsid w:val="00D835BB"/>
    <w:rsid w:val="00D94D24"/>
    <w:rsid w:val="00DA5624"/>
    <w:rsid w:val="00DA5FAA"/>
    <w:rsid w:val="00DA62BD"/>
    <w:rsid w:val="00DB4386"/>
    <w:rsid w:val="00DB75EE"/>
    <w:rsid w:val="00DC5AA5"/>
    <w:rsid w:val="00DF1DE7"/>
    <w:rsid w:val="00DF2D5A"/>
    <w:rsid w:val="00E0265D"/>
    <w:rsid w:val="00E06E66"/>
    <w:rsid w:val="00E10125"/>
    <w:rsid w:val="00E13297"/>
    <w:rsid w:val="00E328D8"/>
    <w:rsid w:val="00E35F28"/>
    <w:rsid w:val="00E42891"/>
    <w:rsid w:val="00E43228"/>
    <w:rsid w:val="00E440C5"/>
    <w:rsid w:val="00E52D52"/>
    <w:rsid w:val="00E71943"/>
    <w:rsid w:val="00E73FD4"/>
    <w:rsid w:val="00E74AC1"/>
    <w:rsid w:val="00E7782B"/>
    <w:rsid w:val="00EA6430"/>
    <w:rsid w:val="00EB44E3"/>
    <w:rsid w:val="00EC1929"/>
    <w:rsid w:val="00EC563A"/>
    <w:rsid w:val="00ED2981"/>
    <w:rsid w:val="00ED6456"/>
    <w:rsid w:val="00EE0182"/>
    <w:rsid w:val="00F00EC9"/>
    <w:rsid w:val="00F24CEC"/>
    <w:rsid w:val="00F6189C"/>
    <w:rsid w:val="00F765F3"/>
    <w:rsid w:val="00F7688D"/>
    <w:rsid w:val="00FA1084"/>
    <w:rsid w:val="00FA355C"/>
    <w:rsid w:val="00FB132D"/>
    <w:rsid w:val="00FE5726"/>
    <w:rsid w:val="00FF3FD4"/>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F5A"/>
    <w:pPr>
      <w:suppressAutoHyphens/>
      <w:jc w:val="both"/>
    </w:pPr>
    <w:rPr>
      <w:sz w:val="26"/>
    </w:rPr>
  </w:style>
  <w:style w:type="paragraph" w:styleId="Heading1">
    <w:name w:val="heading 1"/>
    <w:basedOn w:val="Normal"/>
    <w:next w:val="Normal"/>
    <w:link w:val="Heading1Char"/>
    <w:qFormat/>
    <w:rsid w:val="001949BA"/>
    <w:pPr>
      <w:keepNext/>
      <w:jc w:val="center"/>
      <w:outlineLvl w:val="0"/>
    </w:pPr>
    <w:rPr>
      <w:b/>
    </w:rPr>
  </w:style>
  <w:style w:type="paragraph" w:styleId="Heading2">
    <w:name w:val="heading 2"/>
    <w:basedOn w:val="Normal"/>
    <w:next w:val="Normal"/>
    <w:link w:val="Heading2Char"/>
    <w:qFormat/>
    <w:rsid w:val="00711F5A"/>
    <w:pPr>
      <w:keepNext/>
      <w:jc w:val="center"/>
      <w:outlineLvl w:val="1"/>
    </w:pPr>
    <w:rPr>
      <w:b/>
    </w:rPr>
  </w:style>
  <w:style w:type="paragraph" w:styleId="Heading3">
    <w:name w:val="heading 3"/>
    <w:basedOn w:val="Normal"/>
    <w:next w:val="Normal"/>
    <w:link w:val="Heading3Char"/>
    <w:qFormat/>
    <w:rsid w:val="00711F5A"/>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949BA"/>
    <w:rPr>
      <w:rFonts w:ascii="Times New Roman" w:hAnsi="Times New Roman"/>
      <w:sz w:val="26"/>
    </w:rPr>
  </w:style>
  <w:style w:type="character" w:styleId="FootnoteReference">
    <w:name w:val="footnote reference"/>
    <w:basedOn w:val="DefaultParagraphFont"/>
    <w:semiHidden/>
    <w:rsid w:val="001949BA"/>
    <w:rPr>
      <w:rFonts w:ascii="CG Times" w:hAnsi="CG Times"/>
      <w:sz w:val="26"/>
      <w:vertAlign w:val="superscript"/>
    </w:rPr>
  </w:style>
  <w:style w:type="paragraph" w:styleId="FootnoteText">
    <w:name w:val="footnote text"/>
    <w:basedOn w:val="Normal"/>
    <w:link w:val="FootnoteTextChar"/>
    <w:semiHidden/>
    <w:rsid w:val="001949BA"/>
  </w:style>
  <w:style w:type="character" w:customStyle="1" w:styleId="Heading2Char">
    <w:name w:val="Heading 2 Char"/>
    <w:basedOn w:val="DefaultParagraphFont"/>
    <w:link w:val="Heading2"/>
    <w:rsid w:val="00711F5A"/>
    <w:rPr>
      <w:b/>
      <w:sz w:val="26"/>
    </w:rPr>
  </w:style>
  <w:style w:type="character" w:customStyle="1" w:styleId="Heading3Char">
    <w:name w:val="Heading 3 Char"/>
    <w:basedOn w:val="DefaultParagraphFont"/>
    <w:link w:val="Heading3"/>
    <w:rsid w:val="00711F5A"/>
    <w:rPr>
      <w:b/>
      <w:sz w:val="26"/>
      <w:u w:val="single"/>
    </w:rPr>
  </w:style>
  <w:style w:type="paragraph" w:styleId="Title">
    <w:name w:val="Title"/>
    <w:basedOn w:val="Normal"/>
    <w:link w:val="TitleChar"/>
    <w:qFormat/>
    <w:rsid w:val="001949BA"/>
    <w:pPr>
      <w:jc w:val="center"/>
    </w:pPr>
    <w:rPr>
      <w:b/>
    </w:rPr>
  </w:style>
  <w:style w:type="paragraph" w:styleId="Subtitle">
    <w:name w:val="Subtitle"/>
    <w:basedOn w:val="Normal"/>
    <w:link w:val="SubtitleChar"/>
    <w:qFormat/>
    <w:rsid w:val="001949BA"/>
    <w:rPr>
      <w:b/>
    </w:rPr>
  </w:style>
  <w:style w:type="character" w:customStyle="1" w:styleId="Heading1Char">
    <w:name w:val="Heading 1 Char"/>
    <w:basedOn w:val="DefaultParagraphFont"/>
    <w:link w:val="Heading1"/>
    <w:rsid w:val="00711F5A"/>
    <w:rPr>
      <w:b/>
      <w:sz w:val="26"/>
    </w:rPr>
  </w:style>
  <w:style w:type="paragraph" w:styleId="EnvelopeAddress">
    <w:name w:val="envelope address"/>
    <w:basedOn w:val="Normal"/>
    <w:rsid w:val="00711F5A"/>
    <w:pPr>
      <w:framePr w:w="7920" w:h="1980" w:hRule="exact" w:hSpace="180" w:wrap="auto" w:hAnchor="page" w:xAlign="center" w:yAlign="bottom"/>
      <w:ind w:left="2448" w:right="-2880"/>
      <w:jc w:val="left"/>
    </w:pPr>
    <w:rPr>
      <w:caps/>
      <w:sz w:val="22"/>
    </w:rPr>
  </w:style>
  <w:style w:type="paragraph" w:styleId="EnvelopeReturn">
    <w:name w:val="envelope return"/>
    <w:basedOn w:val="Normal"/>
    <w:rsid w:val="00711F5A"/>
    <w:rPr>
      <w:caps/>
      <w:sz w:val="20"/>
    </w:rPr>
  </w:style>
  <w:style w:type="paragraph" w:styleId="BlockText">
    <w:name w:val="Block Text"/>
    <w:basedOn w:val="Normal"/>
    <w:rsid w:val="00711F5A"/>
    <w:pPr>
      <w:ind w:left="720" w:right="720"/>
    </w:pPr>
  </w:style>
  <w:style w:type="character" w:customStyle="1" w:styleId="FootnoteTextChar">
    <w:name w:val="Footnote Text Char"/>
    <w:basedOn w:val="DefaultParagraphFont"/>
    <w:link w:val="FootnoteText"/>
    <w:semiHidden/>
    <w:rsid w:val="00711F5A"/>
    <w:rPr>
      <w:sz w:val="26"/>
    </w:rPr>
  </w:style>
  <w:style w:type="paragraph" w:styleId="Footer">
    <w:name w:val="footer"/>
    <w:basedOn w:val="Normal"/>
    <w:link w:val="FooterChar"/>
    <w:uiPriority w:val="99"/>
    <w:rsid w:val="00711F5A"/>
    <w:pPr>
      <w:tabs>
        <w:tab w:val="center" w:pos="4320"/>
        <w:tab w:val="right" w:pos="8640"/>
      </w:tabs>
      <w:suppressAutoHyphens w:val="0"/>
    </w:pPr>
    <w:rPr>
      <w:snapToGrid w:val="0"/>
    </w:rPr>
  </w:style>
  <w:style w:type="character" w:customStyle="1" w:styleId="FooterChar">
    <w:name w:val="Footer Char"/>
    <w:basedOn w:val="DefaultParagraphFont"/>
    <w:link w:val="Footer"/>
    <w:uiPriority w:val="99"/>
    <w:rsid w:val="00711F5A"/>
    <w:rPr>
      <w:snapToGrid w:val="0"/>
      <w:sz w:val="26"/>
    </w:rPr>
  </w:style>
  <w:style w:type="paragraph" w:styleId="BodyText">
    <w:name w:val="Body Text"/>
    <w:basedOn w:val="Normal"/>
    <w:link w:val="BodyTextChar"/>
    <w:rsid w:val="00711F5A"/>
    <w:pPr>
      <w:spacing w:line="480" w:lineRule="auto"/>
    </w:pPr>
  </w:style>
  <w:style w:type="character" w:customStyle="1" w:styleId="BodyTextChar">
    <w:name w:val="Body Text Char"/>
    <w:basedOn w:val="DefaultParagraphFont"/>
    <w:link w:val="BodyText"/>
    <w:rsid w:val="00711F5A"/>
    <w:rPr>
      <w:sz w:val="26"/>
    </w:rPr>
  </w:style>
  <w:style w:type="paragraph" w:styleId="BodyTextIndent2">
    <w:name w:val="Body Text Indent 2"/>
    <w:basedOn w:val="Normal"/>
    <w:link w:val="BodyTextIndent2Char"/>
    <w:rsid w:val="00711F5A"/>
    <w:pPr>
      <w:suppressAutoHyphens w:val="0"/>
      <w:ind w:firstLine="720"/>
    </w:pPr>
    <w:rPr>
      <w:snapToGrid w:val="0"/>
    </w:rPr>
  </w:style>
  <w:style w:type="character" w:customStyle="1" w:styleId="BodyTextIndent2Char">
    <w:name w:val="Body Text Indent 2 Char"/>
    <w:basedOn w:val="DefaultParagraphFont"/>
    <w:link w:val="BodyTextIndent2"/>
    <w:rsid w:val="00711F5A"/>
    <w:rPr>
      <w:snapToGrid w:val="0"/>
      <w:sz w:val="26"/>
    </w:rPr>
  </w:style>
  <w:style w:type="character" w:customStyle="1" w:styleId="TitleChar">
    <w:name w:val="Title Char"/>
    <w:basedOn w:val="DefaultParagraphFont"/>
    <w:link w:val="Title"/>
    <w:rsid w:val="00711F5A"/>
    <w:rPr>
      <w:b/>
      <w:sz w:val="26"/>
    </w:rPr>
  </w:style>
  <w:style w:type="paragraph" w:styleId="BodyTextIndent">
    <w:name w:val="Body Text Indent"/>
    <w:basedOn w:val="Normal"/>
    <w:link w:val="BodyTextIndentChar"/>
    <w:rsid w:val="00711F5A"/>
    <w:pPr>
      <w:ind w:firstLine="720"/>
    </w:pPr>
    <w:rPr>
      <w:snapToGrid w:val="0"/>
    </w:rPr>
  </w:style>
  <w:style w:type="character" w:customStyle="1" w:styleId="BodyTextIndentChar">
    <w:name w:val="Body Text Indent Char"/>
    <w:basedOn w:val="DefaultParagraphFont"/>
    <w:link w:val="BodyTextIndent"/>
    <w:rsid w:val="00711F5A"/>
    <w:rPr>
      <w:snapToGrid w:val="0"/>
      <w:sz w:val="26"/>
    </w:rPr>
  </w:style>
  <w:style w:type="paragraph" w:styleId="BodyTextIndent3">
    <w:name w:val="Body Text Indent 3"/>
    <w:basedOn w:val="Normal"/>
    <w:link w:val="BodyTextIndent3Char"/>
    <w:rsid w:val="00711F5A"/>
    <w:pPr>
      <w:suppressAutoHyphens w:val="0"/>
      <w:ind w:left="900" w:hanging="900"/>
    </w:pPr>
  </w:style>
  <w:style w:type="character" w:customStyle="1" w:styleId="BodyTextIndent3Char">
    <w:name w:val="Body Text Indent 3 Char"/>
    <w:basedOn w:val="DefaultParagraphFont"/>
    <w:link w:val="BodyTextIndent3"/>
    <w:rsid w:val="00711F5A"/>
    <w:rPr>
      <w:sz w:val="26"/>
    </w:rPr>
  </w:style>
  <w:style w:type="character" w:styleId="Hyperlink">
    <w:name w:val="Hyperlink"/>
    <w:basedOn w:val="DefaultParagraphFont"/>
    <w:rsid w:val="00711F5A"/>
    <w:rPr>
      <w:color w:val="0000FF"/>
      <w:u w:val="single"/>
    </w:rPr>
  </w:style>
  <w:style w:type="paragraph" w:styleId="BodyText2">
    <w:name w:val="Body Text 2"/>
    <w:basedOn w:val="Normal"/>
    <w:link w:val="BodyText2Char"/>
    <w:rsid w:val="00711F5A"/>
    <w:pPr>
      <w:suppressAutoHyphens w:val="0"/>
      <w:spacing w:line="480" w:lineRule="auto"/>
    </w:pPr>
  </w:style>
  <w:style w:type="character" w:customStyle="1" w:styleId="BodyText2Char">
    <w:name w:val="Body Text 2 Char"/>
    <w:basedOn w:val="DefaultParagraphFont"/>
    <w:link w:val="BodyText2"/>
    <w:rsid w:val="00711F5A"/>
    <w:rPr>
      <w:sz w:val="26"/>
    </w:rPr>
  </w:style>
  <w:style w:type="paragraph" w:styleId="Header">
    <w:name w:val="header"/>
    <w:basedOn w:val="Normal"/>
    <w:link w:val="HeaderChar"/>
    <w:rsid w:val="00711F5A"/>
    <w:pPr>
      <w:tabs>
        <w:tab w:val="center" w:pos="4320"/>
        <w:tab w:val="right" w:pos="8640"/>
      </w:tabs>
    </w:pPr>
  </w:style>
  <w:style w:type="character" w:customStyle="1" w:styleId="HeaderChar">
    <w:name w:val="Header Char"/>
    <w:basedOn w:val="DefaultParagraphFont"/>
    <w:link w:val="Header"/>
    <w:rsid w:val="00711F5A"/>
    <w:rPr>
      <w:sz w:val="26"/>
    </w:rPr>
  </w:style>
  <w:style w:type="paragraph" w:customStyle="1" w:styleId="1Category">
    <w:name w:val="__1 Category"/>
    <w:basedOn w:val="Normal"/>
    <w:next w:val="Normal"/>
    <w:rsid w:val="00711F5A"/>
    <w:pPr>
      <w:keepNext/>
      <w:spacing w:before="460"/>
      <w:jc w:val="center"/>
    </w:pPr>
    <w:rPr>
      <w:b/>
      <w:bCs/>
      <w:smallCaps/>
      <w:sz w:val="28"/>
      <w14:shadow w14:blurRad="50800" w14:dist="38100" w14:dir="2700000" w14:sx="100000" w14:sy="100000" w14:kx="0" w14:ky="0" w14:algn="tl">
        <w14:srgbClr w14:val="000000">
          <w14:alpha w14:val="60000"/>
        </w14:srgbClr>
      </w14:shadow>
    </w:rPr>
  </w:style>
  <w:style w:type="paragraph" w:customStyle="1" w:styleId="2Subcat">
    <w:name w:val="__2 Subcat"/>
    <w:basedOn w:val="Normal"/>
    <w:rsid w:val="00711F5A"/>
    <w:pPr>
      <w:keepNext/>
      <w:spacing w:before="260"/>
    </w:pPr>
    <w:rPr>
      <w:b/>
      <w:bCs/>
      <w:smallCaps/>
      <w:sz w:val="30"/>
      <w:u w:val="single"/>
      <w14:shadow w14:blurRad="50800" w14:dist="38100" w14:dir="2700000" w14:sx="100000" w14:sy="100000" w14:kx="0" w14:ky="0" w14:algn="tl">
        <w14:srgbClr w14:val="000000">
          <w14:alpha w14:val="60000"/>
        </w14:srgbClr>
      </w14:shadow>
    </w:rPr>
  </w:style>
  <w:style w:type="paragraph" w:customStyle="1" w:styleId="3Cases">
    <w:name w:val="__3 Cases"/>
    <w:basedOn w:val="BodyText"/>
    <w:rsid w:val="00711F5A"/>
    <w:pPr>
      <w:keepNext/>
      <w:keepLines/>
      <w:spacing w:before="260" w:after="120" w:line="240" w:lineRule="auto"/>
      <w:outlineLvl w:val="2"/>
    </w:pPr>
    <w:rPr>
      <w:b/>
      <w:iCs/>
    </w:rPr>
  </w:style>
  <w:style w:type="paragraph" w:customStyle="1" w:styleId="4PlainDescription">
    <w:name w:val="__4 Plain Description"/>
    <w:basedOn w:val="Normal"/>
    <w:rsid w:val="00711F5A"/>
    <w:pPr>
      <w:tabs>
        <w:tab w:val="left" w:pos="1080"/>
      </w:tabs>
      <w:spacing w:after="60"/>
    </w:pPr>
  </w:style>
  <w:style w:type="paragraph" w:customStyle="1" w:styleId="4Numbers">
    <w:name w:val="__4 Numbers"/>
    <w:basedOn w:val="4PlainDescription"/>
    <w:rsid w:val="00711F5A"/>
    <w:pPr>
      <w:ind w:left="360" w:hanging="360"/>
    </w:pPr>
  </w:style>
  <w:style w:type="character" w:styleId="FollowedHyperlink">
    <w:name w:val="FollowedHyperlink"/>
    <w:basedOn w:val="DefaultParagraphFont"/>
    <w:rsid w:val="00711F5A"/>
    <w:rPr>
      <w:color w:val="800080"/>
      <w:u w:val="single"/>
    </w:rPr>
  </w:style>
  <w:style w:type="paragraph" w:customStyle="1" w:styleId="Style1">
    <w:name w:val="Style1"/>
    <w:basedOn w:val="Normal"/>
    <w:rsid w:val="00711F5A"/>
    <w:pPr>
      <w:tabs>
        <w:tab w:val="left" w:pos="720"/>
      </w:tabs>
      <w:suppressAutoHyphens w:val="0"/>
      <w:spacing w:line="480" w:lineRule="auto"/>
    </w:pPr>
  </w:style>
  <w:style w:type="paragraph" w:styleId="TOC1">
    <w:name w:val="toc 1"/>
    <w:basedOn w:val="Normal"/>
    <w:next w:val="Normal"/>
    <w:rsid w:val="00711F5A"/>
    <w:pPr>
      <w:keepNext/>
      <w:tabs>
        <w:tab w:val="right" w:leader="dot" w:pos="5040"/>
      </w:tabs>
    </w:pPr>
    <w:rPr>
      <w:b/>
      <w:bCs/>
      <w:smallCaps/>
      <w:noProof/>
      <w:szCs w:val="28"/>
    </w:rPr>
  </w:style>
  <w:style w:type="paragraph" w:styleId="TOC2">
    <w:name w:val="toc 2"/>
    <w:basedOn w:val="Normal"/>
    <w:next w:val="Normal"/>
    <w:rsid w:val="00711F5A"/>
    <w:pPr>
      <w:ind w:left="260"/>
    </w:pPr>
    <w:rPr>
      <w:sz w:val="20"/>
    </w:rPr>
  </w:style>
  <w:style w:type="paragraph" w:styleId="TOC3">
    <w:name w:val="toc 3"/>
    <w:basedOn w:val="Normal"/>
    <w:next w:val="Normal"/>
    <w:rsid w:val="00711F5A"/>
    <w:pPr>
      <w:ind w:left="520"/>
    </w:pPr>
  </w:style>
  <w:style w:type="paragraph" w:styleId="TOC4">
    <w:name w:val="toc 4"/>
    <w:basedOn w:val="Normal"/>
    <w:next w:val="Normal"/>
    <w:rsid w:val="00711F5A"/>
    <w:pPr>
      <w:ind w:left="780"/>
    </w:pPr>
  </w:style>
  <w:style w:type="paragraph" w:styleId="TOC5">
    <w:name w:val="toc 5"/>
    <w:basedOn w:val="Normal"/>
    <w:next w:val="Normal"/>
    <w:rsid w:val="00711F5A"/>
    <w:pPr>
      <w:ind w:left="1040"/>
    </w:pPr>
  </w:style>
  <w:style w:type="paragraph" w:styleId="TOC6">
    <w:name w:val="toc 6"/>
    <w:basedOn w:val="Normal"/>
    <w:next w:val="Normal"/>
    <w:rsid w:val="00711F5A"/>
    <w:pPr>
      <w:ind w:left="1300"/>
    </w:pPr>
  </w:style>
  <w:style w:type="paragraph" w:styleId="TOC7">
    <w:name w:val="toc 7"/>
    <w:basedOn w:val="Normal"/>
    <w:next w:val="Normal"/>
    <w:rsid w:val="00711F5A"/>
    <w:pPr>
      <w:ind w:left="1560"/>
    </w:pPr>
  </w:style>
  <w:style w:type="paragraph" w:styleId="TOC8">
    <w:name w:val="toc 8"/>
    <w:basedOn w:val="Normal"/>
    <w:next w:val="Normal"/>
    <w:rsid w:val="00711F5A"/>
    <w:pPr>
      <w:ind w:left="1820"/>
    </w:pPr>
  </w:style>
  <w:style w:type="paragraph" w:styleId="TOC9">
    <w:name w:val="toc 9"/>
    <w:basedOn w:val="Normal"/>
    <w:next w:val="Normal"/>
    <w:autoRedefine/>
    <w:rsid w:val="00711F5A"/>
    <w:pPr>
      <w:ind w:left="2080"/>
    </w:pPr>
  </w:style>
  <w:style w:type="character" w:customStyle="1" w:styleId="SubtitleChar">
    <w:name w:val="Subtitle Char"/>
    <w:basedOn w:val="DefaultParagraphFont"/>
    <w:link w:val="Subtitle"/>
    <w:rsid w:val="00711F5A"/>
    <w:rPr>
      <w:b/>
      <w:sz w:val="26"/>
    </w:rPr>
  </w:style>
  <w:style w:type="paragraph" w:styleId="BodyText3">
    <w:name w:val="Body Text 3"/>
    <w:basedOn w:val="Normal"/>
    <w:link w:val="BodyText3Char"/>
    <w:rsid w:val="00711F5A"/>
    <w:pPr>
      <w:suppressAutoHyphens w:val="0"/>
    </w:pPr>
    <w:rPr>
      <w:sz w:val="24"/>
      <w:szCs w:val="24"/>
    </w:rPr>
  </w:style>
  <w:style w:type="character" w:customStyle="1" w:styleId="BodyText3Char">
    <w:name w:val="Body Text 3 Char"/>
    <w:basedOn w:val="DefaultParagraphFont"/>
    <w:link w:val="BodyText3"/>
    <w:rsid w:val="00711F5A"/>
    <w:rPr>
      <w:sz w:val="24"/>
      <w:szCs w:val="24"/>
    </w:rPr>
  </w:style>
  <w:style w:type="paragraph" w:customStyle="1" w:styleId="BlockQuote">
    <w:name w:val="Block Quote"/>
    <w:basedOn w:val="Normal"/>
    <w:next w:val="Normal"/>
    <w:rsid w:val="00711F5A"/>
    <w:pPr>
      <w:suppressAutoHyphens w:val="0"/>
      <w:spacing w:after="240"/>
      <w:ind w:left="1440" w:right="1440"/>
    </w:pPr>
  </w:style>
  <w:style w:type="paragraph" w:styleId="ListBullet">
    <w:name w:val="List Bullet"/>
    <w:basedOn w:val="Normal"/>
    <w:autoRedefine/>
    <w:rsid w:val="00813251"/>
    <w:pPr>
      <w:tabs>
        <w:tab w:val="left" w:pos="720"/>
      </w:tabs>
      <w:suppressAutoHyphens w:val="0"/>
      <w:ind w:firstLine="720"/>
    </w:pPr>
  </w:style>
  <w:style w:type="paragraph" w:styleId="PlainText">
    <w:name w:val="Plain Text"/>
    <w:basedOn w:val="Normal"/>
    <w:link w:val="PlainTextChar"/>
    <w:uiPriority w:val="99"/>
    <w:unhideWhenUsed/>
    <w:rsid w:val="00711F5A"/>
    <w:pPr>
      <w:suppressAutoHyphens w:val="0"/>
      <w:jc w:val="left"/>
    </w:pPr>
    <w:rPr>
      <w:rFonts w:ascii="Century" w:hAnsi="Century"/>
      <w:sz w:val="24"/>
      <w:szCs w:val="21"/>
    </w:rPr>
  </w:style>
  <w:style w:type="character" w:customStyle="1" w:styleId="PlainTextChar">
    <w:name w:val="Plain Text Char"/>
    <w:basedOn w:val="DefaultParagraphFont"/>
    <w:link w:val="PlainText"/>
    <w:uiPriority w:val="99"/>
    <w:rsid w:val="00711F5A"/>
    <w:rPr>
      <w:rFonts w:ascii="Century" w:hAnsi="Century"/>
      <w:sz w:val="24"/>
      <w:szCs w:val="21"/>
    </w:rPr>
  </w:style>
  <w:style w:type="paragraph" w:customStyle="1" w:styleId="MemoBody">
    <w:name w:val="Memo Body"/>
    <w:basedOn w:val="Normal"/>
    <w:uiPriority w:val="99"/>
    <w:qFormat/>
    <w:rsid w:val="00711F5A"/>
    <w:pPr>
      <w:suppressAutoHyphens w:val="0"/>
      <w:spacing w:line="480" w:lineRule="auto"/>
      <w:ind w:firstLine="720"/>
    </w:pPr>
    <w:rPr>
      <w:szCs w:val="24"/>
    </w:rPr>
  </w:style>
  <w:style w:type="character" w:customStyle="1" w:styleId="informationalsmall4">
    <w:name w:val="informationalsmall4"/>
    <w:basedOn w:val="DefaultParagraphFont"/>
    <w:rsid w:val="00711F5A"/>
    <w:rPr>
      <w:rFonts w:ascii="Verdana" w:hAnsi="Verdana" w:hint="default"/>
      <w:sz w:val="14"/>
      <w:szCs w:val="14"/>
    </w:rPr>
  </w:style>
  <w:style w:type="character" w:customStyle="1" w:styleId="groupheading5">
    <w:name w:val="groupheading5"/>
    <w:basedOn w:val="DefaultParagraphFont"/>
    <w:rsid w:val="00711F5A"/>
    <w:rPr>
      <w:rFonts w:ascii="Verdana" w:hAnsi="Verdana" w:hint="default"/>
      <w:b/>
      <w:bCs/>
      <w:sz w:val="19"/>
      <w:szCs w:val="19"/>
    </w:rPr>
  </w:style>
  <w:style w:type="character" w:customStyle="1" w:styleId="IndentedChar">
    <w:name w:val="Indented Char"/>
    <w:basedOn w:val="DefaultParagraphFont"/>
    <w:link w:val="Indented"/>
    <w:locked/>
    <w:rsid w:val="00711F5A"/>
    <w:rPr>
      <w:rFonts w:ascii="Calibri" w:eastAsiaTheme="minorHAnsi" w:hAnsi="Calibri"/>
      <w:sz w:val="26"/>
      <w:szCs w:val="26"/>
    </w:rPr>
  </w:style>
  <w:style w:type="paragraph" w:customStyle="1" w:styleId="Indented">
    <w:name w:val="Indented"/>
    <w:basedOn w:val="Normal"/>
    <w:link w:val="IndentedChar"/>
    <w:qFormat/>
    <w:rsid w:val="00711F5A"/>
    <w:pPr>
      <w:suppressAutoHyphens w:val="0"/>
      <w:spacing w:line="480" w:lineRule="auto"/>
      <w:ind w:firstLine="720"/>
    </w:pPr>
    <w:rPr>
      <w:rFonts w:ascii="Calibri" w:eastAsiaTheme="minorHAnsi" w:hAnsi="Calibri"/>
      <w:szCs w:val="26"/>
    </w:rPr>
  </w:style>
  <w:style w:type="paragraph" w:styleId="ListParagraph">
    <w:name w:val="List Paragraph"/>
    <w:basedOn w:val="Normal"/>
    <w:uiPriority w:val="34"/>
    <w:qFormat/>
    <w:rsid w:val="00711F5A"/>
    <w:pPr>
      <w:suppressAutoHyphens w:val="0"/>
      <w:ind w:left="720"/>
      <w:contextualSpacing/>
    </w:pPr>
    <w:rPr>
      <w:rFonts w:eastAsiaTheme="minorHAnsi"/>
      <w:szCs w:val="26"/>
    </w:rPr>
  </w:style>
  <w:style w:type="paragraph" w:styleId="BalloonText">
    <w:name w:val="Balloon Text"/>
    <w:basedOn w:val="Normal"/>
    <w:link w:val="BalloonTextChar"/>
    <w:rsid w:val="00124B0D"/>
    <w:rPr>
      <w:rFonts w:ascii="Tahoma" w:hAnsi="Tahoma" w:cs="Tahoma"/>
      <w:sz w:val="16"/>
      <w:szCs w:val="16"/>
    </w:rPr>
  </w:style>
  <w:style w:type="character" w:customStyle="1" w:styleId="BalloonTextChar">
    <w:name w:val="Balloon Text Char"/>
    <w:basedOn w:val="DefaultParagraphFont"/>
    <w:link w:val="BalloonText"/>
    <w:rsid w:val="00124B0D"/>
    <w:rPr>
      <w:rFonts w:ascii="Tahoma" w:hAnsi="Tahoma" w:cs="Tahoma"/>
      <w:sz w:val="16"/>
      <w:szCs w:val="16"/>
    </w:rPr>
  </w:style>
  <w:style w:type="paragraph" w:styleId="NormalWeb">
    <w:name w:val="Normal (Web)"/>
    <w:basedOn w:val="Normal"/>
    <w:uiPriority w:val="99"/>
    <w:unhideWhenUsed/>
    <w:rsid w:val="005C2957"/>
    <w:pPr>
      <w:suppressAutoHyphens w:val="0"/>
      <w:spacing w:before="100" w:beforeAutospacing="1" w:after="100" w:afterAutospacing="1"/>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F5A"/>
    <w:pPr>
      <w:suppressAutoHyphens/>
      <w:jc w:val="both"/>
    </w:pPr>
    <w:rPr>
      <w:sz w:val="26"/>
    </w:rPr>
  </w:style>
  <w:style w:type="paragraph" w:styleId="Heading1">
    <w:name w:val="heading 1"/>
    <w:basedOn w:val="Normal"/>
    <w:next w:val="Normal"/>
    <w:link w:val="Heading1Char"/>
    <w:qFormat/>
    <w:rsid w:val="001949BA"/>
    <w:pPr>
      <w:keepNext/>
      <w:jc w:val="center"/>
      <w:outlineLvl w:val="0"/>
    </w:pPr>
    <w:rPr>
      <w:b/>
    </w:rPr>
  </w:style>
  <w:style w:type="paragraph" w:styleId="Heading2">
    <w:name w:val="heading 2"/>
    <w:basedOn w:val="Normal"/>
    <w:next w:val="Normal"/>
    <w:link w:val="Heading2Char"/>
    <w:qFormat/>
    <w:rsid w:val="00711F5A"/>
    <w:pPr>
      <w:keepNext/>
      <w:jc w:val="center"/>
      <w:outlineLvl w:val="1"/>
    </w:pPr>
    <w:rPr>
      <w:b/>
    </w:rPr>
  </w:style>
  <w:style w:type="paragraph" w:styleId="Heading3">
    <w:name w:val="heading 3"/>
    <w:basedOn w:val="Normal"/>
    <w:next w:val="Normal"/>
    <w:link w:val="Heading3Char"/>
    <w:qFormat/>
    <w:rsid w:val="00711F5A"/>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949BA"/>
    <w:rPr>
      <w:rFonts w:ascii="Times New Roman" w:hAnsi="Times New Roman"/>
      <w:sz w:val="26"/>
    </w:rPr>
  </w:style>
  <w:style w:type="character" w:styleId="FootnoteReference">
    <w:name w:val="footnote reference"/>
    <w:basedOn w:val="DefaultParagraphFont"/>
    <w:semiHidden/>
    <w:rsid w:val="001949BA"/>
    <w:rPr>
      <w:rFonts w:ascii="CG Times" w:hAnsi="CG Times"/>
      <w:sz w:val="26"/>
      <w:vertAlign w:val="superscript"/>
    </w:rPr>
  </w:style>
  <w:style w:type="paragraph" w:styleId="FootnoteText">
    <w:name w:val="footnote text"/>
    <w:basedOn w:val="Normal"/>
    <w:link w:val="FootnoteTextChar"/>
    <w:semiHidden/>
    <w:rsid w:val="001949BA"/>
  </w:style>
  <w:style w:type="character" w:customStyle="1" w:styleId="Heading2Char">
    <w:name w:val="Heading 2 Char"/>
    <w:basedOn w:val="DefaultParagraphFont"/>
    <w:link w:val="Heading2"/>
    <w:rsid w:val="00711F5A"/>
    <w:rPr>
      <w:b/>
      <w:sz w:val="26"/>
    </w:rPr>
  </w:style>
  <w:style w:type="character" w:customStyle="1" w:styleId="Heading3Char">
    <w:name w:val="Heading 3 Char"/>
    <w:basedOn w:val="DefaultParagraphFont"/>
    <w:link w:val="Heading3"/>
    <w:rsid w:val="00711F5A"/>
    <w:rPr>
      <w:b/>
      <w:sz w:val="26"/>
      <w:u w:val="single"/>
    </w:rPr>
  </w:style>
  <w:style w:type="paragraph" w:styleId="Title">
    <w:name w:val="Title"/>
    <w:basedOn w:val="Normal"/>
    <w:link w:val="TitleChar"/>
    <w:qFormat/>
    <w:rsid w:val="001949BA"/>
    <w:pPr>
      <w:jc w:val="center"/>
    </w:pPr>
    <w:rPr>
      <w:b/>
    </w:rPr>
  </w:style>
  <w:style w:type="paragraph" w:styleId="Subtitle">
    <w:name w:val="Subtitle"/>
    <w:basedOn w:val="Normal"/>
    <w:link w:val="SubtitleChar"/>
    <w:qFormat/>
    <w:rsid w:val="001949BA"/>
    <w:rPr>
      <w:b/>
    </w:rPr>
  </w:style>
  <w:style w:type="character" w:customStyle="1" w:styleId="Heading1Char">
    <w:name w:val="Heading 1 Char"/>
    <w:basedOn w:val="DefaultParagraphFont"/>
    <w:link w:val="Heading1"/>
    <w:rsid w:val="00711F5A"/>
    <w:rPr>
      <w:b/>
      <w:sz w:val="26"/>
    </w:rPr>
  </w:style>
  <w:style w:type="paragraph" w:styleId="EnvelopeAddress">
    <w:name w:val="envelope address"/>
    <w:basedOn w:val="Normal"/>
    <w:rsid w:val="00711F5A"/>
    <w:pPr>
      <w:framePr w:w="7920" w:h="1980" w:hRule="exact" w:hSpace="180" w:wrap="auto" w:hAnchor="page" w:xAlign="center" w:yAlign="bottom"/>
      <w:ind w:left="2448" w:right="-2880"/>
      <w:jc w:val="left"/>
    </w:pPr>
    <w:rPr>
      <w:caps/>
      <w:sz w:val="22"/>
    </w:rPr>
  </w:style>
  <w:style w:type="paragraph" w:styleId="EnvelopeReturn">
    <w:name w:val="envelope return"/>
    <w:basedOn w:val="Normal"/>
    <w:rsid w:val="00711F5A"/>
    <w:rPr>
      <w:caps/>
      <w:sz w:val="20"/>
    </w:rPr>
  </w:style>
  <w:style w:type="paragraph" w:styleId="BlockText">
    <w:name w:val="Block Text"/>
    <w:basedOn w:val="Normal"/>
    <w:rsid w:val="00711F5A"/>
    <w:pPr>
      <w:ind w:left="720" w:right="720"/>
    </w:pPr>
  </w:style>
  <w:style w:type="character" w:customStyle="1" w:styleId="FootnoteTextChar">
    <w:name w:val="Footnote Text Char"/>
    <w:basedOn w:val="DefaultParagraphFont"/>
    <w:link w:val="FootnoteText"/>
    <w:semiHidden/>
    <w:rsid w:val="00711F5A"/>
    <w:rPr>
      <w:sz w:val="26"/>
    </w:rPr>
  </w:style>
  <w:style w:type="paragraph" w:styleId="Footer">
    <w:name w:val="footer"/>
    <w:basedOn w:val="Normal"/>
    <w:link w:val="FooterChar"/>
    <w:uiPriority w:val="99"/>
    <w:rsid w:val="00711F5A"/>
    <w:pPr>
      <w:tabs>
        <w:tab w:val="center" w:pos="4320"/>
        <w:tab w:val="right" w:pos="8640"/>
      </w:tabs>
      <w:suppressAutoHyphens w:val="0"/>
    </w:pPr>
    <w:rPr>
      <w:snapToGrid w:val="0"/>
    </w:rPr>
  </w:style>
  <w:style w:type="character" w:customStyle="1" w:styleId="FooterChar">
    <w:name w:val="Footer Char"/>
    <w:basedOn w:val="DefaultParagraphFont"/>
    <w:link w:val="Footer"/>
    <w:uiPriority w:val="99"/>
    <w:rsid w:val="00711F5A"/>
    <w:rPr>
      <w:snapToGrid w:val="0"/>
      <w:sz w:val="26"/>
    </w:rPr>
  </w:style>
  <w:style w:type="paragraph" w:styleId="BodyText">
    <w:name w:val="Body Text"/>
    <w:basedOn w:val="Normal"/>
    <w:link w:val="BodyTextChar"/>
    <w:rsid w:val="00711F5A"/>
    <w:pPr>
      <w:spacing w:line="480" w:lineRule="auto"/>
    </w:pPr>
  </w:style>
  <w:style w:type="character" w:customStyle="1" w:styleId="BodyTextChar">
    <w:name w:val="Body Text Char"/>
    <w:basedOn w:val="DefaultParagraphFont"/>
    <w:link w:val="BodyText"/>
    <w:rsid w:val="00711F5A"/>
    <w:rPr>
      <w:sz w:val="26"/>
    </w:rPr>
  </w:style>
  <w:style w:type="paragraph" w:styleId="BodyTextIndent2">
    <w:name w:val="Body Text Indent 2"/>
    <w:basedOn w:val="Normal"/>
    <w:link w:val="BodyTextIndent2Char"/>
    <w:rsid w:val="00711F5A"/>
    <w:pPr>
      <w:suppressAutoHyphens w:val="0"/>
      <w:ind w:firstLine="720"/>
    </w:pPr>
    <w:rPr>
      <w:snapToGrid w:val="0"/>
    </w:rPr>
  </w:style>
  <w:style w:type="character" w:customStyle="1" w:styleId="BodyTextIndent2Char">
    <w:name w:val="Body Text Indent 2 Char"/>
    <w:basedOn w:val="DefaultParagraphFont"/>
    <w:link w:val="BodyTextIndent2"/>
    <w:rsid w:val="00711F5A"/>
    <w:rPr>
      <w:snapToGrid w:val="0"/>
      <w:sz w:val="26"/>
    </w:rPr>
  </w:style>
  <w:style w:type="character" w:customStyle="1" w:styleId="TitleChar">
    <w:name w:val="Title Char"/>
    <w:basedOn w:val="DefaultParagraphFont"/>
    <w:link w:val="Title"/>
    <w:rsid w:val="00711F5A"/>
    <w:rPr>
      <w:b/>
      <w:sz w:val="26"/>
    </w:rPr>
  </w:style>
  <w:style w:type="paragraph" w:styleId="BodyTextIndent">
    <w:name w:val="Body Text Indent"/>
    <w:basedOn w:val="Normal"/>
    <w:link w:val="BodyTextIndentChar"/>
    <w:rsid w:val="00711F5A"/>
    <w:pPr>
      <w:ind w:firstLine="720"/>
    </w:pPr>
    <w:rPr>
      <w:snapToGrid w:val="0"/>
    </w:rPr>
  </w:style>
  <w:style w:type="character" w:customStyle="1" w:styleId="BodyTextIndentChar">
    <w:name w:val="Body Text Indent Char"/>
    <w:basedOn w:val="DefaultParagraphFont"/>
    <w:link w:val="BodyTextIndent"/>
    <w:rsid w:val="00711F5A"/>
    <w:rPr>
      <w:snapToGrid w:val="0"/>
      <w:sz w:val="26"/>
    </w:rPr>
  </w:style>
  <w:style w:type="paragraph" w:styleId="BodyTextIndent3">
    <w:name w:val="Body Text Indent 3"/>
    <w:basedOn w:val="Normal"/>
    <w:link w:val="BodyTextIndent3Char"/>
    <w:rsid w:val="00711F5A"/>
    <w:pPr>
      <w:suppressAutoHyphens w:val="0"/>
      <w:ind w:left="900" w:hanging="900"/>
    </w:pPr>
  </w:style>
  <w:style w:type="character" w:customStyle="1" w:styleId="BodyTextIndent3Char">
    <w:name w:val="Body Text Indent 3 Char"/>
    <w:basedOn w:val="DefaultParagraphFont"/>
    <w:link w:val="BodyTextIndent3"/>
    <w:rsid w:val="00711F5A"/>
    <w:rPr>
      <w:sz w:val="26"/>
    </w:rPr>
  </w:style>
  <w:style w:type="character" w:styleId="Hyperlink">
    <w:name w:val="Hyperlink"/>
    <w:basedOn w:val="DefaultParagraphFont"/>
    <w:rsid w:val="00711F5A"/>
    <w:rPr>
      <w:color w:val="0000FF"/>
      <w:u w:val="single"/>
    </w:rPr>
  </w:style>
  <w:style w:type="paragraph" w:styleId="BodyText2">
    <w:name w:val="Body Text 2"/>
    <w:basedOn w:val="Normal"/>
    <w:link w:val="BodyText2Char"/>
    <w:rsid w:val="00711F5A"/>
    <w:pPr>
      <w:suppressAutoHyphens w:val="0"/>
      <w:spacing w:line="480" w:lineRule="auto"/>
    </w:pPr>
  </w:style>
  <w:style w:type="character" w:customStyle="1" w:styleId="BodyText2Char">
    <w:name w:val="Body Text 2 Char"/>
    <w:basedOn w:val="DefaultParagraphFont"/>
    <w:link w:val="BodyText2"/>
    <w:rsid w:val="00711F5A"/>
    <w:rPr>
      <w:sz w:val="26"/>
    </w:rPr>
  </w:style>
  <w:style w:type="paragraph" w:styleId="Header">
    <w:name w:val="header"/>
    <w:basedOn w:val="Normal"/>
    <w:link w:val="HeaderChar"/>
    <w:rsid w:val="00711F5A"/>
    <w:pPr>
      <w:tabs>
        <w:tab w:val="center" w:pos="4320"/>
        <w:tab w:val="right" w:pos="8640"/>
      </w:tabs>
    </w:pPr>
  </w:style>
  <w:style w:type="character" w:customStyle="1" w:styleId="HeaderChar">
    <w:name w:val="Header Char"/>
    <w:basedOn w:val="DefaultParagraphFont"/>
    <w:link w:val="Header"/>
    <w:rsid w:val="00711F5A"/>
    <w:rPr>
      <w:sz w:val="26"/>
    </w:rPr>
  </w:style>
  <w:style w:type="paragraph" w:customStyle="1" w:styleId="1Category">
    <w:name w:val="__1 Category"/>
    <w:basedOn w:val="Normal"/>
    <w:next w:val="Normal"/>
    <w:rsid w:val="00711F5A"/>
    <w:pPr>
      <w:keepNext/>
      <w:spacing w:before="460"/>
      <w:jc w:val="center"/>
    </w:pPr>
    <w:rPr>
      <w:b/>
      <w:bCs/>
      <w:smallCaps/>
      <w:sz w:val="28"/>
      <w14:shadow w14:blurRad="50800" w14:dist="38100" w14:dir="2700000" w14:sx="100000" w14:sy="100000" w14:kx="0" w14:ky="0" w14:algn="tl">
        <w14:srgbClr w14:val="000000">
          <w14:alpha w14:val="60000"/>
        </w14:srgbClr>
      </w14:shadow>
    </w:rPr>
  </w:style>
  <w:style w:type="paragraph" w:customStyle="1" w:styleId="2Subcat">
    <w:name w:val="__2 Subcat"/>
    <w:basedOn w:val="Normal"/>
    <w:rsid w:val="00711F5A"/>
    <w:pPr>
      <w:keepNext/>
      <w:spacing w:before="260"/>
    </w:pPr>
    <w:rPr>
      <w:b/>
      <w:bCs/>
      <w:smallCaps/>
      <w:sz w:val="30"/>
      <w:u w:val="single"/>
      <w14:shadow w14:blurRad="50800" w14:dist="38100" w14:dir="2700000" w14:sx="100000" w14:sy="100000" w14:kx="0" w14:ky="0" w14:algn="tl">
        <w14:srgbClr w14:val="000000">
          <w14:alpha w14:val="60000"/>
        </w14:srgbClr>
      </w14:shadow>
    </w:rPr>
  </w:style>
  <w:style w:type="paragraph" w:customStyle="1" w:styleId="3Cases">
    <w:name w:val="__3 Cases"/>
    <w:basedOn w:val="BodyText"/>
    <w:rsid w:val="00711F5A"/>
    <w:pPr>
      <w:keepNext/>
      <w:keepLines/>
      <w:spacing w:before="260" w:after="120" w:line="240" w:lineRule="auto"/>
      <w:outlineLvl w:val="2"/>
    </w:pPr>
    <w:rPr>
      <w:b/>
      <w:iCs/>
    </w:rPr>
  </w:style>
  <w:style w:type="paragraph" w:customStyle="1" w:styleId="4PlainDescription">
    <w:name w:val="__4 Plain Description"/>
    <w:basedOn w:val="Normal"/>
    <w:rsid w:val="00711F5A"/>
    <w:pPr>
      <w:tabs>
        <w:tab w:val="left" w:pos="1080"/>
      </w:tabs>
      <w:spacing w:after="60"/>
    </w:pPr>
  </w:style>
  <w:style w:type="paragraph" w:customStyle="1" w:styleId="4Numbers">
    <w:name w:val="__4 Numbers"/>
    <w:basedOn w:val="4PlainDescription"/>
    <w:rsid w:val="00711F5A"/>
    <w:pPr>
      <w:ind w:left="360" w:hanging="360"/>
    </w:pPr>
  </w:style>
  <w:style w:type="character" w:styleId="FollowedHyperlink">
    <w:name w:val="FollowedHyperlink"/>
    <w:basedOn w:val="DefaultParagraphFont"/>
    <w:rsid w:val="00711F5A"/>
    <w:rPr>
      <w:color w:val="800080"/>
      <w:u w:val="single"/>
    </w:rPr>
  </w:style>
  <w:style w:type="paragraph" w:customStyle="1" w:styleId="Style1">
    <w:name w:val="Style1"/>
    <w:basedOn w:val="Normal"/>
    <w:rsid w:val="00711F5A"/>
    <w:pPr>
      <w:tabs>
        <w:tab w:val="left" w:pos="720"/>
      </w:tabs>
      <w:suppressAutoHyphens w:val="0"/>
      <w:spacing w:line="480" w:lineRule="auto"/>
    </w:pPr>
  </w:style>
  <w:style w:type="paragraph" w:styleId="TOC1">
    <w:name w:val="toc 1"/>
    <w:basedOn w:val="Normal"/>
    <w:next w:val="Normal"/>
    <w:rsid w:val="00711F5A"/>
    <w:pPr>
      <w:keepNext/>
      <w:tabs>
        <w:tab w:val="right" w:leader="dot" w:pos="5040"/>
      </w:tabs>
    </w:pPr>
    <w:rPr>
      <w:b/>
      <w:bCs/>
      <w:smallCaps/>
      <w:noProof/>
      <w:szCs w:val="28"/>
    </w:rPr>
  </w:style>
  <w:style w:type="paragraph" w:styleId="TOC2">
    <w:name w:val="toc 2"/>
    <w:basedOn w:val="Normal"/>
    <w:next w:val="Normal"/>
    <w:rsid w:val="00711F5A"/>
    <w:pPr>
      <w:ind w:left="260"/>
    </w:pPr>
    <w:rPr>
      <w:sz w:val="20"/>
    </w:rPr>
  </w:style>
  <w:style w:type="paragraph" w:styleId="TOC3">
    <w:name w:val="toc 3"/>
    <w:basedOn w:val="Normal"/>
    <w:next w:val="Normal"/>
    <w:rsid w:val="00711F5A"/>
    <w:pPr>
      <w:ind w:left="520"/>
    </w:pPr>
  </w:style>
  <w:style w:type="paragraph" w:styleId="TOC4">
    <w:name w:val="toc 4"/>
    <w:basedOn w:val="Normal"/>
    <w:next w:val="Normal"/>
    <w:rsid w:val="00711F5A"/>
    <w:pPr>
      <w:ind w:left="780"/>
    </w:pPr>
  </w:style>
  <w:style w:type="paragraph" w:styleId="TOC5">
    <w:name w:val="toc 5"/>
    <w:basedOn w:val="Normal"/>
    <w:next w:val="Normal"/>
    <w:rsid w:val="00711F5A"/>
    <w:pPr>
      <w:ind w:left="1040"/>
    </w:pPr>
  </w:style>
  <w:style w:type="paragraph" w:styleId="TOC6">
    <w:name w:val="toc 6"/>
    <w:basedOn w:val="Normal"/>
    <w:next w:val="Normal"/>
    <w:rsid w:val="00711F5A"/>
    <w:pPr>
      <w:ind w:left="1300"/>
    </w:pPr>
  </w:style>
  <w:style w:type="paragraph" w:styleId="TOC7">
    <w:name w:val="toc 7"/>
    <w:basedOn w:val="Normal"/>
    <w:next w:val="Normal"/>
    <w:rsid w:val="00711F5A"/>
    <w:pPr>
      <w:ind w:left="1560"/>
    </w:pPr>
  </w:style>
  <w:style w:type="paragraph" w:styleId="TOC8">
    <w:name w:val="toc 8"/>
    <w:basedOn w:val="Normal"/>
    <w:next w:val="Normal"/>
    <w:rsid w:val="00711F5A"/>
    <w:pPr>
      <w:ind w:left="1820"/>
    </w:pPr>
  </w:style>
  <w:style w:type="paragraph" w:styleId="TOC9">
    <w:name w:val="toc 9"/>
    <w:basedOn w:val="Normal"/>
    <w:next w:val="Normal"/>
    <w:autoRedefine/>
    <w:rsid w:val="00711F5A"/>
    <w:pPr>
      <w:ind w:left="2080"/>
    </w:pPr>
  </w:style>
  <w:style w:type="character" w:customStyle="1" w:styleId="SubtitleChar">
    <w:name w:val="Subtitle Char"/>
    <w:basedOn w:val="DefaultParagraphFont"/>
    <w:link w:val="Subtitle"/>
    <w:rsid w:val="00711F5A"/>
    <w:rPr>
      <w:b/>
      <w:sz w:val="26"/>
    </w:rPr>
  </w:style>
  <w:style w:type="paragraph" w:styleId="BodyText3">
    <w:name w:val="Body Text 3"/>
    <w:basedOn w:val="Normal"/>
    <w:link w:val="BodyText3Char"/>
    <w:rsid w:val="00711F5A"/>
    <w:pPr>
      <w:suppressAutoHyphens w:val="0"/>
    </w:pPr>
    <w:rPr>
      <w:sz w:val="24"/>
      <w:szCs w:val="24"/>
    </w:rPr>
  </w:style>
  <w:style w:type="character" w:customStyle="1" w:styleId="BodyText3Char">
    <w:name w:val="Body Text 3 Char"/>
    <w:basedOn w:val="DefaultParagraphFont"/>
    <w:link w:val="BodyText3"/>
    <w:rsid w:val="00711F5A"/>
    <w:rPr>
      <w:sz w:val="24"/>
      <w:szCs w:val="24"/>
    </w:rPr>
  </w:style>
  <w:style w:type="paragraph" w:customStyle="1" w:styleId="BlockQuote">
    <w:name w:val="Block Quote"/>
    <w:basedOn w:val="Normal"/>
    <w:next w:val="Normal"/>
    <w:rsid w:val="00711F5A"/>
    <w:pPr>
      <w:suppressAutoHyphens w:val="0"/>
      <w:spacing w:after="240"/>
      <w:ind w:left="1440" w:right="1440"/>
    </w:pPr>
  </w:style>
  <w:style w:type="paragraph" w:styleId="ListBullet">
    <w:name w:val="List Bullet"/>
    <w:basedOn w:val="Normal"/>
    <w:autoRedefine/>
    <w:rsid w:val="00813251"/>
    <w:pPr>
      <w:tabs>
        <w:tab w:val="left" w:pos="720"/>
      </w:tabs>
      <w:suppressAutoHyphens w:val="0"/>
      <w:ind w:firstLine="720"/>
    </w:pPr>
  </w:style>
  <w:style w:type="paragraph" w:styleId="PlainText">
    <w:name w:val="Plain Text"/>
    <w:basedOn w:val="Normal"/>
    <w:link w:val="PlainTextChar"/>
    <w:uiPriority w:val="99"/>
    <w:unhideWhenUsed/>
    <w:rsid w:val="00711F5A"/>
    <w:pPr>
      <w:suppressAutoHyphens w:val="0"/>
      <w:jc w:val="left"/>
    </w:pPr>
    <w:rPr>
      <w:rFonts w:ascii="Century" w:hAnsi="Century"/>
      <w:sz w:val="24"/>
      <w:szCs w:val="21"/>
    </w:rPr>
  </w:style>
  <w:style w:type="character" w:customStyle="1" w:styleId="PlainTextChar">
    <w:name w:val="Plain Text Char"/>
    <w:basedOn w:val="DefaultParagraphFont"/>
    <w:link w:val="PlainText"/>
    <w:uiPriority w:val="99"/>
    <w:rsid w:val="00711F5A"/>
    <w:rPr>
      <w:rFonts w:ascii="Century" w:hAnsi="Century"/>
      <w:sz w:val="24"/>
      <w:szCs w:val="21"/>
    </w:rPr>
  </w:style>
  <w:style w:type="paragraph" w:customStyle="1" w:styleId="MemoBody">
    <w:name w:val="Memo Body"/>
    <w:basedOn w:val="Normal"/>
    <w:uiPriority w:val="99"/>
    <w:qFormat/>
    <w:rsid w:val="00711F5A"/>
    <w:pPr>
      <w:suppressAutoHyphens w:val="0"/>
      <w:spacing w:line="480" w:lineRule="auto"/>
      <w:ind w:firstLine="720"/>
    </w:pPr>
    <w:rPr>
      <w:szCs w:val="24"/>
    </w:rPr>
  </w:style>
  <w:style w:type="character" w:customStyle="1" w:styleId="informationalsmall4">
    <w:name w:val="informationalsmall4"/>
    <w:basedOn w:val="DefaultParagraphFont"/>
    <w:rsid w:val="00711F5A"/>
    <w:rPr>
      <w:rFonts w:ascii="Verdana" w:hAnsi="Verdana" w:hint="default"/>
      <w:sz w:val="14"/>
      <w:szCs w:val="14"/>
    </w:rPr>
  </w:style>
  <w:style w:type="character" w:customStyle="1" w:styleId="groupheading5">
    <w:name w:val="groupheading5"/>
    <w:basedOn w:val="DefaultParagraphFont"/>
    <w:rsid w:val="00711F5A"/>
    <w:rPr>
      <w:rFonts w:ascii="Verdana" w:hAnsi="Verdana" w:hint="default"/>
      <w:b/>
      <w:bCs/>
      <w:sz w:val="19"/>
      <w:szCs w:val="19"/>
    </w:rPr>
  </w:style>
  <w:style w:type="character" w:customStyle="1" w:styleId="IndentedChar">
    <w:name w:val="Indented Char"/>
    <w:basedOn w:val="DefaultParagraphFont"/>
    <w:link w:val="Indented"/>
    <w:locked/>
    <w:rsid w:val="00711F5A"/>
    <w:rPr>
      <w:rFonts w:ascii="Calibri" w:eastAsiaTheme="minorHAnsi" w:hAnsi="Calibri"/>
      <w:sz w:val="26"/>
      <w:szCs w:val="26"/>
    </w:rPr>
  </w:style>
  <w:style w:type="paragraph" w:customStyle="1" w:styleId="Indented">
    <w:name w:val="Indented"/>
    <w:basedOn w:val="Normal"/>
    <w:link w:val="IndentedChar"/>
    <w:qFormat/>
    <w:rsid w:val="00711F5A"/>
    <w:pPr>
      <w:suppressAutoHyphens w:val="0"/>
      <w:spacing w:line="480" w:lineRule="auto"/>
      <w:ind w:firstLine="720"/>
    </w:pPr>
    <w:rPr>
      <w:rFonts w:ascii="Calibri" w:eastAsiaTheme="minorHAnsi" w:hAnsi="Calibri"/>
      <w:szCs w:val="26"/>
    </w:rPr>
  </w:style>
  <w:style w:type="paragraph" w:styleId="ListParagraph">
    <w:name w:val="List Paragraph"/>
    <w:basedOn w:val="Normal"/>
    <w:uiPriority w:val="34"/>
    <w:qFormat/>
    <w:rsid w:val="00711F5A"/>
    <w:pPr>
      <w:suppressAutoHyphens w:val="0"/>
      <w:ind w:left="720"/>
      <w:contextualSpacing/>
    </w:pPr>
    <w:rPr>
      <w:rFonts w:eastAsiaTheme="minorHAnsi"/>
      <w:szCs w:val="26"/>
    </w:rPr>
  </w:style>
  <w:style w:type="paragraph" w:styleId="BalloonText">
    <w:name w:val="Balloon Text"/>
    <w:basedOn w:val="Normal"/>
    <w:link w:val="BalloonTextChar"/>
    <w:rsid w:val="00124B0D"/>
    <w:rPr>
      <w:rFonts w:ascii="Tahoma" w:hAnsi="Tahoma" w:cs="Tahoma"/>
      <w:sz w:val="16"/>
      <w:szCs w:val="16"/>
    </w:rPr>
  </w:style>
  <w:style w:type="character" w:customStyle="1" w:styleId="BalloonTextChar">
    <w:name w:val="Balloon Text Char"/>
    <w:basedOn w:val="DefaultParagraphFont"/>
    <w:link w:val="BalloonText"/>
    <w:rsid w:val="00124B0D"/>
    <w:rPr>
      <w:rFonts w:ascii="Tahoma" w:hAnsi="Tahoma" w:cs="Tahoma"/>
      <w:sz w:val="16"/>
      <w:szCs w:val="16"/>
    </w:rPr>
  </w:style>
  <w:style w:type="paragraph" w:styleId="NormalWeb">
    <w:name w:val="Normal (Web)"/>
    <w:basedOn w:val="Normal"/>
    <w:uiPriority w:val="99"/>
    <w:unhideWhenUsed/>
    <w:rsid w:val="005C2957"/>
    <w:pPr>
      <w:suppressAutoHyphens w:val="0"/>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3317">
      <w:bodyDiv w:val="1"/>
      <w:marLeft w:val="31"/>
      <w:marRight w:val="31"/>
      <w:marTop w:val="31"/>
      <w:marBottom w:val="31"/>
      <w:divBdr>
        <w:top w:val="none" w:sz="0" w:space="0" w:color="auto"/>
        <w:left w:val="none" w:sz="0" w:space="0" w:color="auto"/>
        <w:bottom w:val="none" w:sz="0" w:space="0" w:color="auto"/>
        <w:right w:val="none" w:sz="0" w:space="0" w:color="auto"/>
      </w:divBdr>
      <w:divsChild>
        <w:div w:id="79640596">
          <w:marLeft w:val="0"/>
          <w:marRight w:val="0"/>
          <w:marTop w:val="0"/>
          <w:marBottom w:val="0"/>
          <w:divBdr>
            <w:top w:val="none" w:sz="0" w:space="0" w:color="auto"/>
            <w:left w:val="none" w:sz="0" w:space="0" w:color="auto"/>
            <w:bottom w:val="none" w:sz="0" w:space="0" w:color="auto"/>
            <w:right w:val="none" w:sz="0" w:space="0" w:color="auto"/>
          </w:divBdr>
          <w:divsChild>
            <w:div w:id="808133137">
              <w:marLeft w:val="0"/>
              <w:marRight w:val="0"/>
              <w:marTop w:val="0"/>
              <w:marBottom w:val="0"/>
              <w:divBdr>
                <w:top w:val="none" w:sz="0" w:space="0" w:color="auto"/>
                <w:left w:val="none" w:sz="0" w:space="0" w:color="auto"/>
                <w:bottom w:val="none" w:sz="0" w:space="0" w:color="auto"/>
                <w:right w:val="none" w:sz="0" w:space="0" w:color="auto"/>
              </w:divBdr>
              <w:divsChild>
                <w:div w:id="1615818794">
                  <w:marLeft w:val="46"/>
                  <w:marRight w:val="46"/>
                  <w:marTop w:val="46"/>
                  <w:marBottom w:val="46"/>
                  <w:divBdr>
                    <w:top w:val="none" w:sz="0" w:space="0" w:color="auto"/>
                    <w:left w:val="none" w:sz="0" w:space="0" w:color="auto"/>
                    <w:bottom w:val="none" w:sz="0" w:space="0" w:color="auto"/>
                    <w:right w:val="none" w:sz="0" w:space="0" w:color="auto"/>
                  </w:divBdr>
                  <w:divsChild>
                    <w:div w:id="585774229">
                      <w:marLeft w:val="0"/>
                      <w:marRight w:val="0"/>
                      <w:marTop w:val="0"/>
                      <w:marBottom w:val="0"/>
                      <w:divBdr>
                        <w:top w:val="none" w:sz="0" w:space="0" w:color="auto"/>
                        <w:left w:val="none" w:sz="0" w:space="0" w:color="auto"/>
                        <w:bottom w:val="none" w:sz="0" w:space="0" w:color="auto"/>
                        <w:right w:val="none" w:sz="0" w:space="0" w:color="auto"/>
                      </w:divBdr>
                      <w:divsChild>
                        <w:div w:id="1731806453">
                          <w:marLeft w:val="0"/>
                          <w:marRight w:val="0"/>
                          <w:marTop w:val="0"/>
                          <w:marBottom w:val="0"/>
                          <w:divBdr>
                            <w:top w:val="none" w:sz="0" w:space="0" w:color="auto"/>
                            <w:left w:val="none" w:sz="0" w:space="0" w:color="auto"/>
                            <w:bottom w:val="none" w:sz="0" w:space="0" w:color="auto"/>
                            <w:right w:val="none" w:sz="0" w:space="0" w:color="auto"/>
                          </w:divBdr>
                        </w:div>
                        <w:div w:id="21193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928127">
      <w:bodyDiv w:val="1"/>
      <w:marLeft w:val="31"/>
      <w:marRight w:val="31"/>
      <w:marTop w:val="31"/>
      <w:marBottom w:val="31"/>
      <w:divBdr>
        <w:top w:val="none" w:sz="0" w:space="0" w:color="auto"/>
        <w:left w:val="none" w:sz="0" w:space="0" w:color="auto"/>
        <w:bottom w:val="none" w:sz="0" w:space="0" w:color="auto"/>
        <w:right w:val="none" w:sz="0" w:space="0" w:color="auto"/>
      </w:divBdr>
      <w:divsChild>
        <w:div w:id="785544735">
          <w:marLeft w:val="0"/>
          <w:marRight w:val="0"/>
          <w:marTop w:val="0"/>
          <w:marBottom w:val="0"/>
          <w:divBdr>
            <w:top w:val="none" w:sz="0" w:space="0" w:color="auto"/>
            <w:left w:val="none" w:sz="0" w:space="0" w:color="auto"/>
            <w:bottom w:val="none" w:sz="0" w:space="0" w:color="auto"/>
            <w:right w:val="none" w:sz="0" w:space="0" w:color="auto"/>
          </w:divBdr>
          <w:divsChild>
            <w:div w:id="82190733">
              <w:marLeft w:val="0"/>
              <w:marRight w:val="0"/>
              <w:marTop w:val="0"/>
              <w:marBottom w:val="0"/>
              <w:divBdr>
                <w:top w:val="none" w:sz="0" w:space="0" w:color="auto"/>
                <w:left w:val="none" w:sz="0" w:space="0" w:color="auto"/>
                <w:bottom w:val="none" w:sz="0" w:space="0" w:color="auto"/>
                <w:right w:val="none" w:sz="0" w:space="0" w:color="auto"/>
              </w:divBdr>
              <w:divsChild>
                <w:div w:id="1508448975">
                  <w:marLeft w:val="46"/>
                  <w:marRight w:val="46"/>
                  <w:marTop w:val="46"/>
                  <w:marBottom w:val="46"/>
                  <w:divBdr>
                    <w:top w:val="none" w:sz="0" w:space="0" w:color="auto"/>
                    <w:left w:val="none" w:sz="0" w:space="0" w:color="auto"/>
                    <w:bottom w:val="none" w:sz="0" w:space="0" w:color="auto"/>
                    <w:right w:val="none" w:sz="0" w:space="0" w:color="auto"/>
                  </w:divBdr>
                  <w:divsChild>
                    <w:div w:id="1091317672">
                      <w:marLeft w:val="0"/>
                      <w:marRight w:val="0"/>
                      <w:marTop w:val="0"/>
                      <w:marBottom w:val="0"/>
                      <w:divBdr>
                        <w:top w:val="none" w:sz="0" w:space="0" w:color="auto"/>
                        <w:left w:val="none" w:sz="0" w:space="0" w:color="auto"/>
                        <w:bottom w:val="none" w:sz="0" w:space="0" w:color="auto"/>
                        <w:right w:val="none" w:sz="0" w:space="0" w:color="auto"/>
                      </w:divBdr>
                      <w:divsChild>
                        <w:div w:id="1491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1541088701">
      <w:bodyDiv w:val="1"/>
      <w:marLeft w:val="31"/>
      <w:marRight w:val="31"/>
      <w:marTop w:val="31"/>
      <w:marBottom w:val="31"/>
      <w:divBdr>
        <w:top w:val="none" w:sz="0" w:space="0" w:color="auto"/>
        <w:left w:val="none" w:sz="0" w:space="0" w:color="auto"/>
        <w:bottom w:val="none" w:sz="0" w:space="0" w:color="auto"/>
        <w:right w:val="none" w:sz="0" w:space="0" w:color="auto"/>
      </w:divBdr>
      <w:divsChild>
        <w:div w:id="217673384">
          <w:marLeft w:val="0"/>
          <w:marRight w:val="0"/>
          <w:marTop w:val="0"/>
          <w:marBottom w:val="0"/>
          <w:divBdr>
            <w:top w:val="none" w:sz="0" w:space="0" w:color="auto"/>
            <w:left w:val="none" w:sz="0" w:space="0" w:color="auto"/>
            <w:bottom w:val="none" w:sz="0" w:space="0" w:color="auto"/>
            <w:right w:val="none" w:sz="0" w:space="0" w:color="auto"/>
          </w:divBdr>
          <w:divsChild>
            <w:div w:id="1510216085">
              <w:marLeft w:val="0"/>
              <w:marRight w:val="0"/>
              <w:marTop w:val="0"/>
              <w:marBottom w:val="0"/>
              <w:divBdr>
                <w:top w:val="none" w:sz="0" w:space="0" w:color="auto"/>
                <w:left w:val="none" w:sz="0" w:space="0" w:color="auto"/>
                <w:bottom w:val="none" w:sz="0" w:space="0" w:color="auto"/>
                <w:right w:val="none" w:sz="0" w:space="0" w:color="auto"/>
              </w:divBdr>
              <w:divsChild>
                <w:div w:id="1404529794">
                  <w:marLeft w:val="46"/>
                  <w:marRight w:val="46"/>
                  <w:marTop w:val="46"/>
                  <w:marBottom w:val="46"/>
                  <w:divBdr>
                    <w:top w:val="none" w:sz="0" w:space="0" w:color="auto"/>
                    <w:left w:val="none" w:sz="0" w:space="0" w:color="auto"/>
                    <w:bottom w:val="none" w:sz="0" w:space="0" w:color="auto"/>
                    <w:right w:val="none" w:sz="0" w:space="0" w:color="auto"/>
                  </w:divBdr>
                  <w:divsChild>
                    <w:div w:id="2032104151">
                      <w:marLeft w:val="0"/>
                      <w:marRight w:val="0"/>
                      <w:marTop w:val="0"/>
                      <w:marBottom w:val="0"/>
                      <w:divBdr>
                        <w:top w:val="none" w:sz="0" w:space="0" w:color="auto"/>
                        <w:left w:val="none" w:sz="0" w:space="0" w:color="auto"/>
                        <w:bottom w:val="none" w:sz="0" w:space="0" w:color="auto"/>
                        <w:right w:val="none" w:sz="0" w:space="0" w:color="auto"/>
                      </w:divBdr>
                      <w:divsChild>
                        <w:div w:id="19936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2.westlaw.com/find/default.wl?returnto=BusinessNameReturnTo&amp;docname=CIK(LE00178478)&amp;rp=%2ffind%2fdefault.wl&amp;sv=Split&amp;rs=WLW11.04&amp;db=BC-COMPANYSRBD&amp;findtype=l&amp;fn=_top&amp;mt=430&amp;vr=2.0&amp;lvb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39FB-46D1-4B3B-8CBD-1E04747E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75B33C7F.dotm</Template>
  <TotalTime>0</TotalTime>
  <Pages>19</Pages>
  <Words>5788</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Minnesota Judicial Branch</Company>
  <LinksUpToDate>false</LinksUpToDate>
  <CharactersWithSpaces>38703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SCAO</dc:creator>
  <cp:keywords/>
  <dc:description/>
  <cp:lastModifiedBy>Kyle Christopherson</cp:lastModifiedBy>
  <cp:revision>2</cp:revision>
  <cp:lastPrinted>2011-10-13T15:22:00Z</cp:lastPrinted>
  <dcterms:created xsi:type="dcterms:W3CDTF">2011-12-12T18:37:00Z</dcterms:created>
  <dcterms:modified xsi:type="dcterms:W3CDTF">2011-12-12T18:37:00Z</dcterms:modified>
</cp:coreProperties>
</file>