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BF" w:rsidRDefault="00E778BF">
      <w:bookmarkStart w:id="0" w:name="_GoBack"/>
      <w:bookmarkEnd w:id="0"/>
    </w:p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8941CA" w:rsidP="00E778BF">
      <w:pPr>
        <w:jc w:val="center"/>
      </w:pPr>
      <w:r>
        <w:t>List of July 1, 2019 through June 30, 2021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t>Anishinabe Legal Services</w:t>
      </w:r>
    </w:p>
    <w:p w:rsidR="00743AC5" w:rsidRDefault="008941CA" w:rsidP="00E778BF">
      <w:pPr>
        <w:spacing w:line="360" w:lineRule="auto"/>
      </w:pPr>
      <w:r>
        <w:t>Cancer Legal Care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743AC5" w:rsidRDefault="008941CA" w:rsidP="00E778BF">
      <w:pPr>
        <w:spacing w:line="360" w:lineRule="auto"/>
      </w:pPr>
      <w:r>
        <w:t>Community Mediation Minnesota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8941CA" w:rsidRDefault="008941CA" w:rsidP="00E778BF">
      <w:pPr>
        <w:spacing w:line="360" w:lineRule="auto"/>
      </w:pPr>
      <w:r>
        <w:t>Housing Justice Center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 xml:space="preserve">Indian Child Welfare Act </w:t>
      </w:r>
      <w:r w:rsidR="008941CA">
        <w:t xml:space="preserve">(ICWA) </w:t>
      </w:r>
      <w:r>
        <w:t>Law Center</w:t>
      </w:r>
    </w:p>
    <w:p w:rsidR="00E778BF" w:rsidRDefault="00E778BF" w:rsidP="00E778BF">
      <w:pPr>
        <w:spacing w:line="360" w:lineRule="auto"/>
      </w:pPr>
      <w:r>
        <w:t>Judicare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743AC5" w:rsidRDefault="00743AC5" w:rsidP="00E778BF">
      <w:pPr>
        <w:spacing w:line="360" w:lineRule="auto"/>
      </w:pPr>
      <w:r>
        <w:t>Standpoint (formerly known as Battered Women's Legal Advocacy Project)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3AC5"/>
    <w:rsid w:val="007460D5"/>
    <w:rsid w:val="0078743B"/>
    <w:rsid w:val="007A02ED"/>
    <w:rsid w:val="007D3930"/>
    <w:rsid w:val="008273D0"/>
    <w:rsid w:val="008941CA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4D639-0D3A-42EF-9135-DB4EBFD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2019-10-09T22:01:00Z</dcterms:created>
  <dcterms:modified xsi:type="dcterms:W3CDTF">2019-10-09T22:01:00Z</dcterms:modified>
</cp:coreProperties>
</file>